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96FD477" w:rsidR="00E114F3" w:rsidRPr="004B77DC" w:rsidRDefault="00E114F3" w:rsidP="000879A1">
      <w:pPr>
        <w:pStyle w:val="Annexetitre"/>
        <w:spacing w:before="0"/>
      </w:pPr>
      <w:r w:rsidRPr="004B77DC">
        <w:t xml:space="preserve">XXXII. MELLÉKLET – Útmutató a működési kockázatok közzétételére </w:t>
      </w:r>
      <w:r w:rsidR="000879A1">
        <w:br/>
      </w:r>
      <w:r w:rsidRPr="004B77DC">
        <w:t>szolgáló sablonokhoz</w:t>
      </w:r>
    </w:p>
    <w:p w14:paraId="672A6659" w14:textId="77777777" w:rsidR="00E114F3" w:rsidRPr="004B77DC" w:rsidRDefault="00E114F3" w:rsidP="00E114F3">
      <w:pPr>
        <w:spacing w:after="120"/>
        <w:jc w:val="both"/>
        <w:rPr>
          <w:rFonts w:ascii="Times New Roman" w:hAnsi="Times New Roman"/>
          <w:b/>
          <w:bCs/>
          <w:sz w:val="24"/>
        </w:rPr>
      </w:pPr>
    </w:p>
    <w:p w14:paraId="384DD143" w14:textId="77777777" w:rsidR="00E114F3" w:rsidRPr="004B77DC" w:rsidRDefault="00E114F3" w:rsidP="00E114F3">
      <w:pPr>
        <w:spacing w:after="120"/>
        <w:rPr>
          <w:rFonts w:ascii="Times New Roman" w:hAnsi="Times New Roman"/>
          <w:bCs/>
          <w:sz w:val="24"/>
        </w:rPr>
      </w:pPr>
      <w:r w:rsidRPr="004B77DC">
        <w:rPr>
          <w:rFonts w:ascii="Times New Roman" w:hAnsi="Times New Roman"/>
          <w:b/>
          <w:sz w:val="24"/>
        </w:rPr>
        <w:t xml:space="preserve">EU ORA táblázat – A működési kockázatra vonatkozó kvalitatív információk. </w:t>
      </w:r>
      <w:r w:rsidRPr="004B77DC">
        <w:rPr>
          <w:rFonts w:ascii="Times New Roman" w:hAnsi="Times New Roman"/>
          <w:sz w:val="24"/>
        </w:rPr>
        <w:t>Rugalmas táblázat</w:t>
      </w:r>
    </w:p>
    <w:p w14:paraId="2E1E5572" w14:textId="6D56D6EF" w:rsidR="00E114F3" w:rsidRPr="004B77DC" w:rsidRDefault="2A1FD4BE" w:rsidP="44B77564">
      <w:pPr>
        <w:numPr>
          <w:ilvl w:val="0"/>
          <w:numId w:val="1"/>
        </w:numPr>
        <w:spacing w:after="120"/>
        <w:jc w:val="both"/>
        <w:rPr>
          <w:rFonts w:ascii="Calibri" w:eastAsia="Times New Roman" w:hAnsi="Calibri" w:cs="Times New Roman"/>
          <w:color w:val="000000"/>
        </w:rPr>
      </w:pPr>
      <w:r w:rsidRPr="004B77DC">
        <w:rPr>
          <w:rFonts w:ascii="Times New Roman" w:hAnsi="Times New Roman"/>
          <w:sz w:val="24"/>
        </w:rPr>
        <w:t>Az intézményeknek az 575/2013/EU rendelet (</w:t>
      </w:r>
      <w:r w:rsidR="00E114F3" w:rsidRPr="004B77DC">
        <w:rPr>
          <w:rStyle w:val="FootnoteReference"/>
          <w:rFonts w:ascii="Times New Roman" w:hAnsi="Times New Roman"/>
          <w:sz w:val="24"/>
          <w:szCs w:val="24"/>
        </w:rPr>
        <w:footnoteReference w:id="2"/>
      </w:r>
      <w:r w:rsidRPr="004B77DC">
        <w:rPr>
          <w:rFonts w:ascii="Times New Roman" w:hAnsi="Times New Roman"/>
          <w:sz w:val="24"/>
        </w:rPr>
        <w:t>) 435. cikke (1) bekezdésének, valamint 446. cikke (1) bekezdése a) pontjának alkalmazásában közzé kell tenniük az ebben a táblázatban szereplő információkat.</w:t>
      </w:r>
    </w:p>
    <w:p w14:paraId="728254AD" w14:textId="52B3E768" w:rsidR="00E114F3" w:rsidRPr="004B77DC" w:rsidRDefault="00E114F3" w:rsidP="00E114F3">
      <w:pPr>
        <w:numPr>
          <w:ilvl w:val="0"/>
          <w:numId w:val="1"/>
        </w:numPr>
        <w:spacing w:after="120"/>
        <w:jc w:val="both"/>
        <w:rPr>
          <w:rFonts w:ascii="Times New Roman" w:hAnsi="Times New Roman"/>
          <w:bCs/>
          <w:sz w:val="24"/>
        </w:rPr>
      </w:pPr>
      <w:r w:rsidRPr="004B77DC">
        <w:rPr>
          <w:rFonts w:ascii="Times New Roman" w:hAnsi="Times New Roman"/>
          <w:sz w:val="24"/>
        </w:rPr>
        <w:t>Az EBH informatikai megoldásainak XXXI. mellékletében ismertetett, a működési kockázat közzétételéhez rendszeresített EU ORA táblázat kitöltéséhez az intézményeknek az e mellékletben szereplő útmutatót kell alkalmazniuk.</w:t>
      </w:r>
    </w:p>
    <w:tbl>
      <w:tblPr>
        <w:tblW w:w="8926" w:type="dxa"/>
        <w:tblLook w:val="04A0" w:firstRow="1" w:lastRow="0" w:firstColumn="1" w:lastColumn="0" w:noHBand="0" w:noVBand="1"/>
      </w:tblPr>
      <w:tblGrid>
        <w:gridCol w:w="1555"/>
        <w:gridCol w:w="7371"/>
      </w:tblGrid>
      <w:tr w:rsidR="00E114F3" w:rsidRPr="004B77DC"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4B77DC" w:rsidRDefault="00E114F3">
            <w:pPr>
              <w:spacing w:after="120"/>
              <w:rPr>
                <w:rFonts w:ascii="Times New Roman" w:eastAsia="Times New Roman" w:hAnsi="Times New Roman" w:cs="Times New Roman"/>
                <w:b/>
                <w:bCs/>
                <w:color w:val="000000"/>
                <w:sz w:val="24"/>
              </w:rPr>
            </w:pPr>
            <w:r w:rsidRPr="004B77DC">
              <w:rPr>
                <w:rFonts w:ascii="Times New Roman" w:hAnsi="Times New Roman"/>
                <w:b/>
                <w:color w:val="000000"/>
                <w:sz w:val="24"/>
              </w:rPr>
              <w:t>Jogszabályi hivatkozások és útmutató</w:t>
            </w:r>
          </w:p>
        </w:tc>
      </w:tr>
      <w:tr w:rsidR="00E114F3" w:rsidRPr="004B77DC"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4B77DC" w:rsidRDefault="00E114F3">
            <w:pPr>
              <w:spacing w:after="120"/>
              <w:rPr>
                <w:rFonts w:ascii="Times New Roman" w:eastAsia="Times New Roman" w:hAnsi="Times New Roman" w:cs="Times New Roman"/>
                <w:b/>
                <w:bCs/>
                <w:color w:val="000000"/>
                <w:sz w:val="24"/>
              </w:rPr>
            </w:pPr>
            <w:r w:rsidRPr="004B77DC">
              <w:rPr>
                <w:rFonts w:ascii="Times New Roman" w:hAnsi="Times New Roman"/>
                <w:b/>
                <w:color w:val="000000"/>
                <w:sz w:val="24"/>
              </w:rPr>
              <w:t xml:space="preserve">Sor száma </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4B77DC" w:rsidRDefault="00E114F3">
            <w:pPr>
              <w:spacing w:after="120"/>
              <w:rPr>
                <w:rFonts w:ascii="Times New Roman" w:eastAsia="Times New Roman" w:hAnsi="Times New Roman" w:cs="Times New Roman"/>
                <w:b/>
                <w:bCs/>
                <w:color w:val="000000"/>
                <w:sz w:val="24"/>
              </w:rPr>
            </w:pPr>
            <w:r w:rsidRPr="004B77DC">
              <w:rPr>
                <w:rFonts w:ascii="Times New Roman" w:hAnsi="Times New Roman"/>
                <w:b/>
                <w:color w:val="000000"/>
                <w:sz w:val="24"/>
              </w:rPr>
              <w:t>Magyarázat</w:t>
            </w:r>
          </w:p>
        </w:tc>
      </w:tr>
      <w:tr w:rsidR="00E114F3" w:rsidRPr="004B77DC"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4B77DC" w:rsidRDefault="00E114F3">
            <w:pPr>
              <w:spacing w:after="120"/>
              <w:jc w:val="center"/>
              <w:rPr>
                <w:rFonts w:ascii="Times New Roman" w:eastAsia="Times New Roman" w:hAnsi="Times New Roman" w:cs="Times New Roman"/>
                <w:color w:val="000000"/>
                <w:sz w:val="24"/>
              </w:rPr>
            </w:pPr>
            <w:r w:rsidRPr="004B77DC">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4B77DC" w:rsidRDefault="00E114F3">
            <w:pPr>
              <w:spacing w:after="120"/>
              <w:jc w:val="both"/>
              <w:rPr>
                <w:rFonts w:ascii="Times New Roman" w:eastAsia="Times New Roman" w:hAnsi="Times New Roman" w:cs="Times New Roman"/>
                <w:b/>
                <w:color w:val="000000"/>
                <w:sz w:val="24"/>
              </w:rPr>
            </w:pPr>
            <w:r w:rsidRPr="004B77DC">
              <w:rPr>
                <w:rFonts w:ascii="Times New Roman" w:hAnsi="Times New Roman"/>
                <w:b/>
                <w:color w:val="000000"/>
                <w:sz w:val="24"/>
              </w:rPr>
              <w:t>A kockázatkezelési célkitűzések és szabályok közzététele</w:t>
            </w:r>
          </w:p>
          <w:p w14:paraId="65684A44" w14:textId="36ED8962" w:rsidR="00E114F3" w:rsidRPr="004B77DC" w:rsidRDefault="2A1FD4BE">
            <w:pPr>
              <w:spacing w:after="120"/>
              <w:rPr>
                <w:rFonts w:ascii="Times New Roman" w:eastAsia="Times New Roman" w:hAnsi="Times New Roman" w:cs="Times New Roman"/>
                <w:color w:val="000000"/>
                <w:sz w:val="24"/>
              </w:rPr>
            </w:pPr>
            <w:r w:rsidRPr="004B77DC">
              <w:rPr>
                <w:rFonts w:ascii="Times New Roman" w:hAnsi="Times New Roman"/>
                <w:color w:val="000000" w:themeColor="text1"/>
                <w:sz w:val="24"/>
              </w:rPr>
              <w:t>Az 575/2013/EU rendelet 435. cikke (1) bekezdésének a) pontjával összhangban az intézményeknek nyilvánosságra kell hozniuk a működési kockázat kezelésére vonatkozó célkitűzéseiket, szabályzataikat, kereteiket és iránymutatásaikat, beleértve az adott kockázat kezelésére szolgáló stratégiákat és eljárásokat is.</w:t>
            </w:r>
          </w:p>
        </w:tc>
      </w:tr>
      <w:tr w:rsidR="00E114F3" w:rsidRPr="004B77DC"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4B77DC" w:rsidRDefault="00E114F3">
            <w:pPr>
              <w:spacing w:after="120"/>
              <w:jc w:val="center"/>
              <w:rPr>
                <w:rFonts w:ascii="Times New Roman" w:eastAsia="Times New Roman" w:hAnsi="Times New Roman" w:cs="Times New Roman"/>
                <w:color w:val="000000"/>
                <w:sz w:val="24"/>
              </w:rPr>
            </w:pPr>
            <w:r w:rsidRPr="004B77DC">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4B77DC" w:rsidRDefault="00885AC5" w:rsidP="00885AC5">
            <w:pPr>
              <w:spacing w:before="120" w:after="120"/>
              <w:jc w:val="both"/>
              <w:rPr>
                <w:rFonts w:ascii="Times New Roman" w:eastAsia="Times New Roman" w:hAnsi="Times New Roman" w:cs="Times New Roman"/>
                <w:b/>
                <w:color w:val="000000"/>
                <w:sz w:val="24"/>
              </w:rPr>
            </w:pPr>
            <w:r w:rsidRPr="004B77DC">
              <w:rPr>
                <w:rFonts w:ascii="Times New Roman" w:hAnsi="Times New Roman"/>
                <w:b/>
                <w:color w:val="000000"/>
                <w:sz w:val="24"/>
              </w:rPr>
              <w:t>A működésikockázat-kezelési részleg szerkezetének és szervezeti felépítésének közzététele</w:t>
            </w:r>
          </w:p>
          <w:p w14:paraId="739779F0" w14:textId="092C61F0" w:rsidR="00E114F3" w:rsidRPr="004B77DC" w:rsidRDefault="00885AC5">
            <w:pPr>
              <w:spacing w:after="120"/>
              <w:jc w:val="both"/>
              <w:rPr>
                <w:rFonts w:ascii="Times New Roman" w:eastAsia="Times New Roman" w:hAnsi="Times New Roman" w:cs="Times New Roman"/>
                <w:color w:val="000000"/>
                <w:sz w:val="24"/>
              </w:rPr>
            </w:pPr>
            <w:r w:rsidRPr="004B77DC">
              <w:rPr>
                <w:rFonts w:ascii="Times New Roman" w:hAnsi="Times New Roman"/>
                <w:color w:val="000000" w:themeColor="text1"/>
                <w:sz w:val="24"/>
              </w:rPr>
              <w:t>Az 575/2013/EU rendelet 435. cikke (1) bekezdésének b) pontjával összhangban az intézményeknek nyilvánosságra kell hozniuk a működésikockázat-kezelési részleg szerkezeti és szervezeti felépítését, beleértve a felhatalmazásának alapjára, hatásköreire és elszámoltathatóságára vonatkozó információkat az intézmény létesítő és irányítási dokumentumainak megfelelően.</w:t>
            </w:r>
          </w:p>
        </w:tc>
      </w:tr>
      <w:tr w:rsidR="00E114F3" w:rsidRPr="004B77DC"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4B77DC" w:rsidRDefault="00E114F3">
            <w:pPr>
              <w:spacing w:after="120"/>
              <w:jc w:val="center"/>
              <w:rPr>
                <w:rFonts w:ascii="Times New Roman" w:eastAsia="Times New Roman" w:hAnsi="Times New Roman" w:cs="Times New Roman"/>
                <w:color w:val="000000"/>
                <w:sz w:val="24"/>
              </w:rPr>
            </w:pPr>
            <w:r w:rsidRPr="004B77DC">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4B77DC" w:rsidRDefault="005129A3" w:rsidP="005129A3">
            <w:pPr>
              <w:spacing w:before="120" w:after="120"/>
              <w:jc w:val="both"/>
              <w:rPr>
                <w:rFonts w:ascii="Times New Roman" w:eastAsia="Times New Roman" w:hAnsi="Times New Roman" w:cs="Times New Roman"/>
                <w:b/>
                <w:color w:val="000000"/>
                <w:sz w:val="24"/>
              </w:rPr>
            </w:pPr>
            <w:r w:rsidRPr="004B77DC">
              <w:rPr>
                <w:rFonts w:ascii="Times New Roman" w:hAnsi="Times New Roman"/>
                <w:b/>
                <w:color w:val="000000"/>
                <w:sz w:val="24"/>
              </w:rPr>
              <w:t>A mérési rendszer hatókörének és jellegének ismertetése</w:t>
            </w:r>
          </w:p>
          <w:p w14:paraId="2426746E" w14:textId="624D178E" w:rsidR="00E114F3" w:rsidRPr="004B77DC" w:rsidRDefault="005129A3">
            <w:pPr>
              <w:spacing w:after="120"/>
              <w:jc w:val="both"/>
              <w:rPr>
                <w:rFonts w:ascii="Times New Roman" w:eastAsia="Times New Roman" w:hAnsi="Times New Roman" w:cs="Times New Roman"/>
                <w:color w:val="000000"/>
                <w:sz w:val="24"/>
              </w:rPr>
            </w:pPr>
            <w:r w:rsidRPr="004B77DC">
              <w:rPr>
                <w:rFonts w:ascii="Times New Roman" w:hAnsi="Times New Roman"/>
                <w:color w:val="000000" w:themeColor="text1"/>
                <w:sz w:val="24"/>
              </w:rPr>
              <w:t>Az 575/2013/EU rendelet 435. cikke (1) bekezdésének c) pontjával összhangban az intézményeknek közzé kell tenniük a működési kockázat mérési rendszerének hatókörét és jellegét (azaz a működési kockázati tőkekövetelmény becslése céljából a működési kockázat méréséhez használt rendszereket és adatokat).</w:t>
            </w:r>
          </w:p>
        </w:tc>
      </w:tr>
      <w:tr w:rsidR="00E114F3" w:rsidRPr="004B77DC"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4B77DC" w:rsidRDefault="00E114F3">
            <w:pPr>
              <w:spacing w:after="120"/>
              <w:jc w:val="center"/>
              <w:rPr>
                <w:rFonts w:ascii="Times New Roman" w:eastAsia="Times New Roman" w:hAnsi="Times New Roman" w:cs="Times New Roman"/>
                <w:color w:val="000000"/>
                <w:sz w:val="24"/>
              </w:rPr>
            </w:pPr>
            <w:r w:rsidRPr="004B77DC">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4B77DC" w:rsidRDefault="005D02AE" w:rsidP="005D02AE">
            <w:pPr>
              <w:spacing w:before="120" w:after="120"/>
              <w:jc w:val="both"/>
              <w:rPr>
                <w:rFonts w:ascii="Times New Roman" w:eastAsia="Times New Roman" w:hAnsi="Times New Roman" w:cs="Times New Roman"/>
                <w:b/>
                <w:color w:val="000000"/>
                <w:sz w:val="24"/>
              </w:rPr>
            </w:pPr>
            <w:r w:rsidRPr="004B77DC">
              <w:rPr>
                <w:rFonts w:ascii="Times New Roman" w:hAnsi="Times New Roman"/>
                <w:b/>
                <w:color w:val="000000" w:themeColor="text1"/>
                <w:sz w:val="24"/>
              </w:rPr>
              <w:t>A működési kockázatra vonatkozó adatszolgáltatási keretrendszer hatókörének és jellegének ismertetése</w:t>
            </w:r>
          </w:p>
          <w:p w14:paraId="1EE9A69D" w14:textId="428D8604" w:rsidR="00E114F3" w:rsidRPr="004B77DC" w:rsidRDefault="005D02AE">
            <w:pPr>
              <w:spacing w:after="120"/>
              <w:jc w:val="both"/>
              <w:rPr>
                <w:rFonts w:ascii="Times New Roman" w:eastAsia="Times New Roman" w:hAnsi="Times New Roman" w:cs="Times New Roman"/>
                <w:color w:val="000000"/>
                <w:sz w:val="24"/>
              </w:rPr>
            </w:pPr>
            <w:r w:rsidRPr="004B77DC">
              <w:rPr>
                <w:rFonts w:ascii="Times New Roman" w:hAnsi="Times New Roman"/>
                <w:color w:val="000000" w:themeColor="text1"/>
                <w:sz w:val="24"/>
              </w:rPr>
              <w:t xml:space="preserve">Az 575/2013/EU rendelet 435. cikke (1) bekezdésének c) pontjával összhangban az intézményeknek közzé kell tenniük a működési kockázati </w:t>
            </w:r>
            <w:r w:rsidRPr="004B77DC">
              <w:rPr>
                <w:rFonts w:ascii="Times New Roman" w:hAnsi="Times New Roman"/>
                <w:color w:val="000000" w:themeColor="text1"/>
                <w:sz w:val="24"/>
              </w:rPr>
              <w:lastRenderedPageBreak/>
              <w:t>adatszolgáltatási keretrendszer hatályát és jellegét a vezetőség és az igazgatóság számára.</w:t>
            </w:r>
          </w:p>
        </w:tc>
      </w:tr>
      <w:tr w:rsidR="00E5460F" w:rsidRPr="004B77DC"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4B77DC" w:rsidRDefault="00E5460F">
            <w:pPr>
              <w:spacing w:after="120"/>
              <w:jc w:val="center"/>
              <w:rPr>
                <w:rFonts w:ascii="Times New Roman" w:eastAsia="Times New Roman" w:hAnsi="Times New Roman" w:cs="Times New Roman"/>
                <w:color w:val="000000"/>
                <w:sz w:val="24"/>
              </w:rPr>
            </w:pPr>
            <w:r w:rsidRPr="004B77DC">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4B77DC" w:rsidRDefault="00E25C0C" w:rsidP="00E25C0C">
            <w:pPr>
              <w:spacing w:before="120" w:after="120"/>
              <w:jc w:val="both"/>
              <w:rPr>
                <w:rFonts w:ascii="Times New Roman" w:eastAsia="Times New Roman" w:hAnsi="Times New Roman" w:cs="Times New Roman"/>
                <w:color w:val="000000"/>
                <w:sz w:val="24"/>
              </w:rPr>
            </w:pPr>
            <w:r w:rsidRPr="004B77DC">
              <w:rPr>
                <w:rFonts w:ascii="Times New Roman" w:hAnsi="Times New Roman"/>
                <w:b/>
                <w:color w:val="000000" w:themeColor="text1"/>
                <w:sz w:val="24"/>
              </w:rPr>
              <w:t>A kockázat mérséklésére és -fedezésére vonatkozó politikák és stratégiák ismertetése</w:t>
            </w:r>
          </w:p>
          <w:p w14:paraId="443DC7A5" w14:textId="7D68A10D" w:rsidR="00E5460F" w:rsidRPr="004B77DC" w:rsidDel="009A4E43" w:rsidRDefault="00E25C0C" w:rsidP="00E25C0C">
            <w:pPr>
              <w:spacing w:after="120"/>
              <w:jc w:val="both"/>
              <w:rPr>
                <w:rFonts w:ascii="Times New Roman" w:eastAsia="Times New Roman" w:hAnsi="Times New Roman" w:cs="Times New Roman"/>
                <w:b/>
                <w:color w:val="000000"/>
                <w:sz w:val="24"/>
              </w:rPr>
            </w:pPr>
            <w:r w:rsidRPr="004B77DC">
              <w:rPr>
                <w:rFonts w:ascii="Times New Roman" w:hAnsi="Times New Roman"/>
                <w:color w:val="000000" w:themeColor="text1"/>
                <w:sz w:val="24"/>
              </w:rPr>
              <w:t>Az 575/2013/EU rendelet 435. cikke (1) bekezdése d) pontjának megfelelően az intézményeknek nyilvánosságra kell hozniuk a működési kockázat kezelése során alkalmazott kockázatmérséklési és -fedezési politikáikat és stratégiáikat, ideértve azokat az eseteket is, amikor a működési kockázat mérséklése a politika alkalmazásával valósul meg (ebben az esetben közzé kell tenniük a kockázati kultúrára, a kockázati hajlandóságra és a kiszervezésre vonatkozó politikákat is), vagy amikor az magas kockázatú üzleti tevékenységekből való kivonulás vagy ellenőrzések bevezetése révén valósul meg. Az intézményeknek közzé kell tenniük azokat a fennmaradó kitettségeket is, amelyeket maguk az intézmények „nyelnek le”, vagy, adott esetben, azokat a fennmaradó kitettségeket is, amelyeket különböző módokon, többek között biztosítás révén ruháznak át.</w:t>
            </w:r>
          </w:p>
        </w:tc>
      </w:tr>
    </w:tbl>
    <w:p w14:paraId="0A37501D" w14:textId="77777777" w:rsidR="00E114F3" w:rsidRPr="004B77DC" w:rsidRDefault="00E114F3" w:rsidP="00E114F3">
      <w:pPr>
        <w:spacing w:after="120"/>
        <w:jc w:val="both"/>
        <w:rPr>
          <w:rFonts w:ascii="Times New Roman" w:hAnsi="Times New Roman" w:cs="Times New Roman"/>
          <w:b/>
          <w:bCs/>
          <w:sz w:val="24"/>
        </w:rPr>
      </w:pPr>
    </w:p>
    <w:p w14:paraId="73228265" w14:textId="2825D40F" w:rsidR="00E114F3" w:rsidRPr="004B77DC" w:rsidRDefault="00E114F3" w:rsidP="00E114F3">
      <w:pPr>
        <w:spacing w:after="120"/>
        <w:jc w:val="both"/>
        <w:rPr>
          <w:rFonts w:ascii="Times New Roman" w:hAnsi="Times New Roman" w:cs="Times New Roman"/>
          <w:bCs/>
          <w:sz w:val="24"/>
        </w:rPr>
      </w:pPr>
      <w:r w:rsidRPr="004B77DC">
        <w:rPr>
          <w:rFonts w:ascii="Times New Roman" w:hAnsi="Times New Roman"/>
          <w:b/>
          <w:sz w:val="24"/>
        </w:rPr>
        <w:t xml:space="preserve">EU OR1 sablon – Működési kockázati veszteségek. </w:t>
      </w:r>
      <w:r w:rsidRPr="004B77DC">
        <w:rPr>
          <w:rFonts w:ascii="Times New Roman" w:hAnsi="Times New Roman"/>
          <w:sz w:val="24"/>
        </w:rPr>
        <w:t>Rögzített sablon</w:t>
      </w:r>
    </w:p>
    <w:p w14:paraId="70B287DB" w14:textId="7164F419"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Az intézményeknek az EU OR1 sablonban szereplő információkat az 575/2013/EU rendelet 446. cikke (2) bekezdése a) és b) pontjának alkalmazásában kell közzé tenniük. Ez a sablon az elmúlt 10 évben felmerült éves működési kockázati veszteségekről nyújt tájékoztatást, a felmerült veszteségek számviteli időpontja alapján. Ezek az éves működési kockázati veszteségek, amelyeket az 575/2013/EU rendelet 316. cikkének (1) bekezdésével összhangban kell kiszámítani, magukban foglalják, az 575/2013/EU rendelet 317. cikkének (2) bekezdésével összhangban, a konszolidáció körébe tartozó összes szervezet valamennyi működési kockázati eseményének adatait, beleértve az egyesített/</w:t>
      </w:r>
      <w:proofErr w:type="spellStart"/>
      <w:r w:rsidRPr="004B77DC">
        <w:rPr>
          <w:rFonts w:ascii="Times New Roman" w:hAnsi="Times New Roman"/>
          <w:sz w:val="24"/>
        </w:rPr>
        <w:t>felvásárolt</w:t>
      </w:r>
      <w:proofErr w:type="spellEnd"/>
      <w:r w:rsidRPr="004B77DC">
        <w:rPr>
          <w:rFonts w:ascii="Times New Roman" w:hAnsi="Times New Roman"/>
          <w:sz w:val="24"/>
        </w:rPr>
        <w:t xml:space="preserve"> vállalkozások veszteségeit is (az 575/2013/EU rendelet 321. cikkének (1) bekezdése szerint). Ezt az információt a rendelkezésre álló mértékben és a legnagyobb gondosság elve alapján kell megadni mindaddig, amíg az 575/2013/EU rendelet 316. cikkének (3) bekezdése, 317. cikkének (9) bekezdése, 320. cikkének (3) bekezdése és 321. cikkének (2) bekezdése alkalmazandóvá nem válik.</w:t>
      </w:r>
    </w:p>
    <w:p w14:paraId="0C12CA7B" w14:textId="77777777" w:rsidR="00D740B8" w:rsidRPr="004B77DC" w:rsidRDefault="00D740B8" w:rsidP="00D740B8">
      <w:pPr>
        <w:ind w:left="360"/>
        <w:jc w:val="both"/>
        <w:rPr>
          <w:rFonts w:ascii="Times New Roman" w:hAnsi="Times New Roman" w:cs="Times New Roman"/>
          <w:bCs/>
          <w:sz w:val="24"/>
        </w:rPr>
      </w:pPr>
    </w:p>
    <w:p w14:paraId="47EE9624" w14:textId="4A5B22B7" w:rsidR="00D740B8" w:rsidRPr="004B77DC" w:rsidRDefault="00D740B8" w:rsidP="00D740B8">
      <w:pPr>
        <w:numPr>
          <w:ilvl w:val="0"/>
          <w:numId w:val="1"/>
        </w:numPr>
        <w:jc w:val="both"/>
        <w:rPr>
          <w:rFonts w:ascii="Times New Roman" w:hAnsi="Times New Roman" w:cs="Times New Roman"/>
          <w:sz w:val="24"/>
        </w:rPr>
      </w:pPr>
      <w:r w:rsidRPr="004B77DC">
        <w:rPr>
          <w:rFonts w:ascii="Times New Roman" w:hAnsi="Times New Roman"/>
          <w:sz w:val="24"/>
        </w:rPr>
        <w:t xml:space="preserve">Az intézményeknek az utolsó 10 év mindegyikére vonatkozóan adatokat kell szolgáltatniuk a működési kockázati veszteségek és a kizárt működési kockázati veszteségek számáról, a működési kockázati veszteségek </w:t>
      </w:r>
      <w:proofErr w:type="spellStart"/>
      <w:r w:rsidRPr="004B77DC">
        <w:rPr>
          <w:rFonts w:ascii="Times New Roman" w:hAnsi="Times New Roman"/>
          <w:sz w:val="24"/>
        </w:rPr>
        <w:t>megtérülésekkel</w:t>
      </w:r>
      <w:proofErr w:type="spellEnd"/>
      <w:r w:rsidRPr="004B77DC">
        <w:rPr>
          <w:rFonts w:ascii="Times New Roman" w:hAnsi="Times New Roman"/>
          <w:sz w:val="24"/>
        </w:rPr>
        <w:t xml:space="preserve"> csökkentett teljes összegéről, valamint a működési kockázati veszteségek </w:t>
      </w:r>
      <w:proofErr w:type="spellStart"/>
      <w:r w:rsidRPr="004B77DC">
        <w:rPr>
          <w:rFonts w:ascii="Times New Roman" w:hAnsi="Times New Roman"/>
          <w:sz w:val="24"/>
        </w:rPr>
        <w:t>megtérülésekkel</w:t>
      </w:r>
      <w:proofErr w:type="spellEnd"/>
      <w:r w:rsidRPr="004B77DC">
        <w:rPr>
          <w:rFonts w:ascii="Times New Roman" w:hAnsi="Times New Roman"/>
          <w:sz w:val="24"/>
        </w:rPr>
        <w:t xml:space="preserve"> és kizárt veszteségekkel csökkentett teljes összegéről. A működési kockázati veszteségek teljes éves összegét az adott pénzügyi év azon összes nettó veszteségének összegeként kell kiszámítani, az 575/2013/EU rendelet 318. cikke (1) bekezdésének megfelelően, amelyek elérik vagy meghaladják a rendelet 319. cikkének (1) bekezdésében vagy (2) bekezdésében meghatározott veszteségadat-küszöbértéket (azaz a 20 000 EUR-t, illetve a 100 000 EUR-t). Azonban a közös működési kockázati esemény vagy az ugyanazon működési kockázati eseményhez („</w:t>
      </w:r>
      <w:proofErr w:type="gramStart"/>
      <w:r w:rsidRPr="004B77DC">
        <w:rPr>
          <w:rFonts w:ascii="Times New Roman" w:hAnsi="Times New Roman"/>
          <w:sz w:val="24"/>
        </w:rPr>
        <w:t>gyökéresemény”-</w:t>
      </w:r>
      <w:proofErr w:type="spellStart"/>
      <w:proofErr w:type="gramEnd"/>
      <w:r w:rsidRPr="004B77DC">
        <w:rPr>
          <w:rFonts w:ascii="Times New Roman" w:hAnsi="Times New Roman"/>
          <w:sz w:val="24"/>
        </w:rPr>
        <w:t>hez</w:t>
      </w:r>
      <w:proofErr w:type="spellEnd"/>
      <w:r w:rsidRPr="004B77DC">
        <w:rPr>
          <w:rFonts w:ascii="Times New Roman" w:hAnsi="Times New Roman"/>
          <w:sz w:val="24"/>
        </w:rPr>
        <w:t xml:space="preserve">) kapcsolódó több esemény által okozott veszteségeket, amelyeket különböző számviteli években számolnak el, össze kell adni az utolsó 10 évre vonatkozóan annak megállapítása érdekében, hogy a közzétételi küszöbértéket túllépték-e vagy sem. A veszteségeket és kiigazításokat az 575/2013/EU rendelet 317. cikke (3) bekezdésének c) </w:t>
      </w:r>
      <w:r w:rsidRPr="004B77DC">
        <w:rPr>
          <w:rFonts w:ascii="Times New Roman" w:hAnsi="Times New Roman"/>
          <w:sz w:val="24"/>
        </w:rPr>
        <w:lastRenderedPageBreak/>
        <w:t>pontjában és 318. cikkében foglalt rendelkezéseknek megfelelően kell közzétenni. Ezeket az összegeket abban az évben kell közzétenni, amelyben azok a pénzügyi kimutatásokban szerepeltek.</w:t>
      </w:r>
    </w:p>
    <w:p w14:paraId="2702CB88" w14:textId="77777777" w:rsidR="00D740B8" w:rsidRPr="004B77DC" w:rsidRDefault="00D740B8" w:rsidP="00D740B8">
      <w:pPr>
        <w:pStyle w:val="ListParagraph"/>
        <w:rPr>
          <w:rFonts w:ascii="Times New Roman" w:hAnsi="Times New Roman"/>
          <w:bCs/>
          <w:sz w:val="24"/>
        </w:rPr>
      </w:pPr>
    </w:p>
    <w:p w14:paraId="3146DBD3" w14:textId="48F555B9"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 xml:space="preserve"> A kísérő szöveges magyarázatban az intézményeknek összesítve kell közzé tenniük az éves működési kockázati veszteségek számításából kizárt rendkívüli működési kockázati események indokolását, az 575/2013/EU rendelet 446. cikke (2) bekezdésének b) pontjával összhangban.</w:t>
      </w:r>
    </w:p>
    <w:p w14:paraId="066C0912" w14:textId="77777777" w:rsidR="00D740B8" w:rsidRPr="004B77DC" w:rsidRDefault="00D740B8" w:rsidP="00D740B8">
      <w:pPr>
        <w:pStyle w:val="ListParagraph"/>
        <w:rPr>
          <w:rFonts w:ascii="Times New Roman" w:hAnsi="Times New Roman"/>
          <w:bCs/>
          <w:sz w:val="24"/>
        </w:rPr>
      </w:pPr>
    </w:p>
    <w:p w14:paraId="79A49BBA" w14:textId="5D2F1C9E"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 xml:space="preserve"> Az intézményeknek összesítve kell közzé tenniük minden olyan lényeges információt is, a bizalmas és a védett információk kivételével, amely segítheti a felhasználókat az intézmény múltbeli veszteségeinek, megtérüléseinek és jogszabályban előírt </w:t>
      </w:r>
      <w:proofErr w:type="spellStart"/>
      <w:r w:rsidRPr="004B77DC">
        <w:rPr>
          <w:rFonts w:ascii="Times New Roman" w:hAnsi="Times New Roman"/>
          <w:sz w:val="24"/>
        </w:rPr>
        <w:t>tartalékainak</w:t>
      </w:r>
      <w:proofErr w:type="spellEnd"/>
      <w:r w:rsidRPr="004B77DC">
        <w:rPr>
          <w:rFonts w:ascii="Times New Roman" w:hAnsi="Times New Roman"/>
          <w:sz w:val="24"/>
        </w:rPr>
        <w:t xml:space="preserve"> megértésében.</w:t>
      </w:r>
    </w:p>
    <w:p w14:paraId="3AF72482" w14:textId="77777777" w:rsidR="00D740B8" w:rsidRPr="004B77DC" w:rsidRDefault="00D740B8" w:rsidP="00D740B8">
      <w:pPr>
        <w:pStyle w:val="ListParagraph"/>
        <w:rPr>
          <w:rFonts w:ascii="Times New Roman" w:hAnsi="Times New Roman"/>
          <w:bCs/>
          <w:sz w:val="24"/>
        </w:rPr>
      </w:pPr>
    </w:p>
    <w:p w14:paraId="36406578" w14:textId="77777777" w:rsidR="00D740B8" w:rsidRPr="004B77DC"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4B77DC" w14:paraId="7E388732" w14:textId="77777777">
        <w:tc>
          <w:tcPr>
            <w:tcW w:w="1271" w:type="dxa"/>
            <w:shd w:val="clear" w:color="auto" w:fill="BFBFBF" w:themeFill="background1" w:themeFillShade="BF"/>
          </w:tcPr>
          <w:p w14:paraId="5F81890E" w14:textId="77777777" w:rsidR="00D740B8" w:rsidRPr="004B77DC" w:rsidRDefault="00D740B8">
            <w:pPr>
              <w:autoSpaceDE w:val="0"/>
              <w:autoSpaceDN w:val="0"/>
              <w:adjustRightInd w:val="0"/>
              <w:rPr>
                <w:rFonts w:ascii="Times New Roman" w:hAnsi="Times New Roman"/>
                <w:bCs/>
                <w:sz w:val="24"/>
              </w:rPr>
            </w:pPr>
            <w:r w:rsidRPr="004B77DC">
              <w:rPr>
                <w:rFonts w:ascii="Times New Roman" w:hAnsi="Times New Roman"/>
                <w:b/>
                <w:sz w:val="24"/>
              </w:rPr>
              <w:t>Oszlop</w:t>
            </w:r>
          </w:p>
        </w:tc>
        <w:tc>
          <w:tcPr>
            <w:tcW w:w="7745" w:type="dxa"/>
            <w:shd w:val="clear" w:color="auto" w:fill="BFBFBF" w:themeFill="background1" w:themeFillShade="BF"/>
          </w:tcPr>
          <w:p w14:paraId="0773BD79" w14:textId="77777777" w:rsidR="00D740B8" w:rsidRPr="004B77DC" w:rsidRDefault="00D740B8">
            <w:pPr>
              <w:spacing w:before="60" w:after="120"/>
              <w:jc w:val="both"/>
              <w:rPr>
                <w:rFonts w:ascii="Times New Roman" w:eastAsia="Times New Roman" w:hAnsi="Times New Roman" w:cs="Times New Roman"/>
                <w:b/>
                <w:sz w:val="24"/>
              </w:rPr>
            </w:pPr>
            <w:r w:rsidRPr="004B77DC">
              <w:rPr>
                <w:rFonts w:ascii="Times New Roman" w:hAnsi="Times New Roman"/>
                <w:b/>
                <w:sz w:val="24"/>
              </w:rPr>
              <w:t>Jogszabályi hivatkozások és útmutató</w:t>
            </w:r>
          </w:p>
        </w:tc>
      </w:tr>
      <w:tr w:rsidR="00D740B8" w:rsidRPr="004B77DC" w14:paraId="4A7B0862" w14:textId="77777777">
        <w:tc>
          <w:tcPr>
            <w:tcW w:w="1271" w:type="dxa"/>
          </w:tcPr>
          <w:p w14:paraId="59A78ADD" w14:textId="77777777" w:rsidR="00D740B8" w:rsidRPr="004B77DC" w:rsidRDefault="00D740B8">
            <w:pPr>
              <w:autoSpaceDE w:val="0"/>
              <w:autoSpaceDN w:val="0"/>
              <w:adjustRightInd w:val="0"/>
              <w:jc w:val="center"/>
              <w:rPr>
                <w:rFonts w:ascii="Times New Roman" w:hAnsi="Times New Roman"/>
                <w:bCs/>
                <w:sz w:val="24"/>
              </w:rPr>
            </w:pPr>
            <w:r w:rsidRPr="004B77DC">
              <w:rPr>
                <w:rFonts w:ascii="Times New Roman" w:hAnsi="Times New Roman"/>
                <w:sz w:val="24"/>
              </w:rPr>
              <w:t>a-</w:t>
            </w:r>
            <w:proofErr w:type="spellStart"/>
            <w:r w:rsidRPr="004B77DC">
              <w:rPr>
                <w:rFonts w:ascii="Times New Roman" w:hAnsi="Times New Roman"/>
                <w:sz w:val="24"/>
              </w:rPr>
              <w:t>tól</w:t>
            </w:r>
            <w:proofErr w:type="spellEnd"/>
            <w:r w:rsidRPr="004B77DC">
              <w:rPr>
                <w:rFonts w:ascii="Times New Roman" w:hAnsi="Times New Roman"/>
                <w:sz w:val="24"/>
              </w:rPr>
              <w:t xml:space="preserve"> j-</w:t>
            </w:r>
            <w:proofErr w:type="spellStart"/>
            <w:r w:rsidRPr="004B77DC">
              <w:rPr>
                <w:rFonts w:ascii="Times New Roman" w:hAnsi="Times New Roman"/>
                <w:sz w:val="24"/>
              </w:rPr>
              <w:t>ig</w:t>
            </w:r>
            <w:proofErr w:type="spellEnd"/>
          </w:p>
        </w:tc>
        <w:tc>
          <w:tcPr>
            <w:tcW w:w="7745" w:type="dxa"/>
          </w:tcPr>
          <w:p w14:paraId="0B872A50" w14:textId="77777777" w:rsidR="00D740B8" w:rsidRPr="004B77DC" w:rsidRDefault="00D740B8">
            <w:pPr>
              <w:spacing w:before="120" w:after="120"/>
              <w:jc w:val="both"/>
              <w:rPr>
                <w:rFonts w:ascii="Times New Roman" w:eastAsia="Times New Roman" w:hAnsi="Times New Roman" w:cs="Times New Roman"/>
                <w:sz w:val="24"/>
              </w:rPr>
            </w:pPr>
            <w:r w:rsidRPr="004B77DC">
              <w:rPr>
                <w:rFonts w:ascii="Times New Roman" w:hAnsi="Times New Roman"/>
                <w:b/>
                <w:sz w:val="24"/>
              </w:rPr>
              <w:t>Év (T, T-1, T-2, T-3, T-4, T-5, T-6, T-7, T-8, T-9)</w:t>
            </w:r>
          </w:p>
          <w:p w14:paraId="5B6EF35C" w14:textId="3033D1CC" w:rsidR="00D740B8" w:rsidRPr="004B77DC" w:rsidRDefault="00D740B8">
            <w:pPr>
              <w:spacing w:before="120" w:after="120"/>
              <w:rPr>
                <w:rFonts w:ascii="Times New Roman" w:hAnsi="Times New Roman"/>
                <w:sz w:val="24"/>
              </w:rPr>
            </w:pPr>
            <w:r w:rsidRPr="004B77DC">
              <w:rPr>
                <w:rFonts w:ascii="Times New Roman" w:hAnsi="Times New Roman"/>
                <w:sz w:val="24"/>
              </w:rPr>
              <w:t xml:space="preserve">A megfelelő sorban feltüntetett érték az utolsó 10 pénzügyi évre vonatkozóan. </w:t>
            </w:r>
          </w:p>
        </w:tc>
      </w:tr>
      <w:tr w:rsidR="00D740B8" w:rsidRPr="004B77DC" w14:paraId="7D63969A" w14:textId="77777777">
        <w:tc>
          <w:tcPr>
            <w:tcW w:w="1271" w:type="dxa"/>
          </w:tcPr>
          <w:p w14:paraId="6CFD6A05" w14:textId="77777777" w:rsidR="00D740B8" w:rsidRPr="004B77DC" w:rsidRDefault="00D740B8">
            <w:pPr>
              <w:autoSpaceDE w:val="0"/>
              <w:autoSpaceDN w:val="0"/>
              <w:adjustRightInd w:val="0"/>
              <w:jc w:val="center"/>
              <w:rPr>
                <w:rFonts w:ascii="Times New Roman" w:hAnsi="Times New Roman"/>
                <w:bCs/>
                <w:sz w:val="24"/>
              </w:rPr>
            </w:pPr>
            <w:r w:rsidRPr="004B77DC">
              <w:rPr>
                <w:rFonts w:ascii="Times New Roman" w:hAnsi="Times New Roman"/>
                <w:sz w:val="24"/>
              </w:rPr>
              <w:t>k</w:t>
            </w:r>
          </w:p>
        </w:tc>
        <w:tc>
          <w:tcPr>
            <w:tcW w:w="7745" w:type="dxa"/>
          </w:tcPr>
          <w:p w14:paraId="50D93A86" w14:textId="77777777" w:rsidR="00D740B8" w:rsidRPr="004B77DC" w:rsidRDefault="00D740B8">
            <w:pPr>
              <w:spacing w:before="120" w:after="120"/>
              <w:jc w:val="both"/>
              <w:rPr>
                <w:rFonts w:ascii="Times New Roman" w:eastAsia="Times New Roman" w:hAnsi="Times New Roman" w:cs="Times New Roman"/>
                <w:b/>
                <w:sz w:val="24"/>
              </w:rPr>
            </w:pPr>
            <w:r w:rsidRPr="004B77DC">
              <w:rPr>
                <w:rFonts w:ascii="Times New Roman" w:hAnsi="Times New Roman"/>
                <w:b/>
                <w:sz w:val="24"/>
              </w:rPr>
              <w:t>Tízéves átlag</w:t>
            </w:r>
          </w:p>
          <w:p w14:paraId="38A7187F" w14:textId="0CB464F2" w:rsidR="00D740B8" w:rsidRPr="004B77DC" w:rsidRDefault="00D740B8">
            <w:pPr>
              <w:spacing w:before="120" w:after="120"/>
              <w:rPr>
                <w:rFonts w:ascii="Times New Roman" w:hAnsi="Times New Roman"/>
                <w:bCs/>
                <w:sz w:val="24"/>
              </w:rPr>
            </w:pPr>
            <w:r w:rsidRPr="004B77DC">
              <w:rPr>
                <w:rFonts w:ascii="Times New Roman" w:hAnsi="Times New Roman"/>
                <w:sz w:val="24"/>
              </w:rPr>
              <w:t>A megfelelő sorban feltüntetett értékek átlaga az utolsó 10 évben.</w:t>
            </w:r>
          </w:p>
        </w:tc>
      </w:tr>
    </w:tbl>
    <w:p w14:paraId="7095834F" w14:textId="77777777" w:rsidR="00D740B8" w:rsidRPr="004B77DC" w:rsidRDefault="00D740B8" w:rsidP="00D740B8">
      <w:pPr>
        <w:pStyle w:val="ListParagraph"/>
        <w:rPr>
          <w:rFonts w:ascii="Times New Roman" w:hAnsi="Times New Roman"/>
          <w:bCs/>
          <w:sz w:val="24"/>
        </w:rPr>
      </w:pPr>
    </w:p>
    <w:p w14:paraId="32DB6729" w14:textId="77777777" w:rsidR="00D740B8" w:rsidRPr="004B77DC" w:rsidRDefault="00D740B8" w:rsidP="00D740B8">
      <w:pPr>
        <w:pStyle w:val="ListParagraph"/>
        <w:rPr>
          <w:rFonts w:ascii="Times New Roman" w:hAnsi="Times New Roman"/>
          <w:bCs/>
          <w:sz w:val="24"/>
        </w:rPr>
      </w:pPr>
    </w:p>
    <w:p w14:paraId="2611544E" w14:textId="77777777" w:rsidR="00D740B8" w:rsidRPr="004B77DC"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B77DC"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4B77DC" w:rsidRDefault="00D740B8">
            <w:pPr>
              <w:autoSpaceDE w:val="0"/>
              <w:autoSpaceDN w:val="0"/>
              <w:adjustRightInd w:val="0"/>
              <w:rPr>
                <w:rFonts w:ascii="Times New Roman" w:hAnsi="Times New Roman" w:cs="Times New Roman"/>
                <w:b/>
                <w:sz w:val="24"/>
              </w:rPr>
            </w:pPr>
            <w:r w:rsidRPr="004B77DC">
              <w:rPr>
                <w:rFonts w:ascii="Times New Roman" w:hAnsi="Times New Roman"/>
                <w:b/>
                <w:sz w:val="24"/>
              </w:rPr>
              <w:t>Sor</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4B77DC" w:rsidRDefault="00D740B8">
            <w:pPr>
              <w:rPr>
                <w:rFonts w:ascii="Times New Roman" w:hAnsi="Times New Roman" w:cs="Times New Roman"/>
                <w:b/>
                <w:sz w:val="24"/>
              </w:rPr>
            </w:pPr>
            <w:r w:rsidRPr="004B77DC">
              <w:rPr>
                <w:rFonts w:ascii="Times New Roman" w:hAnsi="Times New Roman"/>
                <w:b/>
                <w:sz w:val="24"/>
              </w:rPr>
              <w:t>Jogszabályi hivatkozások és útmutató</w:t>
            </w:r>
          </w:p>
        </w:tc>
      </w:tr>
      <w:tr w:rsidR="00D740B8" w:rsidRPr="004B77DC"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4B77DC" w:rsidRDefault="00D740B8">
            <w:pPr>
              <w:spacing w:before="120" w:after="120"/>
              <w:jc w:val="both"/>
              <w:rPr>
                <w:rFonts w:ascii="Times New Roman" w:eastAsia="Times New Roman" w:hAnsi="Times New Roman" w:cs="Times New Roman"/>
                <w:b/>
                <w:sz w:val="24"/>
              </w:rPr>
            </w:pPr>
            <w:r w:rsidRPr="004B77DC">
              <w:rPr>
                <w:rFonts w:ascii="Times New Roman" w:hAnsi="Times New Roman"/>
                <w:b/>
                <w:sz w:val="24"/>
              </w:rPr>
              <w:t xml:space="preserve">A működési kockázati veszteségek teljes összege a </w:t>
            </w:r>
            <w:proofErr w:type="spellStart"/>
            <w:r w:rsidRPr="004B77DC">
              <w:rPr>
                <w:rFonts w:ascii="Times New Roman" w:hAnsi="Times New Roman"/>
                <w:b/>
                <w:sz w:val="24"/>
              </w:rPr>
              <w:t>megtérülések</w:t>
            </w:r>
            <w:proofErr w:type="spellEnd"/>
            <w:r w:rsidRPr="004B77DC">
              <w:rPr>
                <w:rFonts w:ascii="Times New Roman" w:hAnsi="Times New Roman"/>
                <w:b/>
                <w:sz w:val="24"/>
              </w:rPr>
              <w:t xml:space="preserve"> levonása után (nincs kizárás)</w:t>
            </w:r>
          </w:p>
          <w:p w14:paraId="73A6B59F" w14:textId="42A729DD" w:rsidR="00D740B8" w:rsidRPr="004B77DC" w:rsidRDefault="00D740B8">
            <w:pPr>
              <w:spacing w:before="120" w:after="120"/>
              <w:jc w:val="both"/>
              <w:rPr>
                <w:rFonts w:ascii="Times New Roman" w:eastAsia="Times New Roman" w:hAnsi="Times New Roman" w:cs="Times New Roman"/>
                <w:sz w:val="24"/>
              </w:rPr>
            </w:pPr>
            <w:r w:rsidRPr="004B77DC">
              <w:rPr>
                <w:rFonts w:ascii="Times New Roman" w:hAnsi="Times New Roman"/>
                <w:sz w:val="24"/>
              </w:rPr>
              <w:t>Az 575/2013/EU rendelet 446. cikke (2) bekezdésének a) pontja és 316. cikkének (1) bekezdése.</w:t>
            </w:r>
          </w:p>
          <w:p w14:paraId="5D929629" w14:textId="254FA976" w:rsidR="00D740B8" w:rsidRPr="004B77DC" w:rsidRDefault="002B0785">
            <w:pPr>
              <w:spacing w:before="120" w:after="120"/>
              <w:jc w:val="both"/>
              <w:rPr>
                <w:rFonts w:ascii="Times New Roman" w:eastAsia="Times New Roman" w:hAnsi="Times New Roman" w:cs="Times New Roman"/>
                <w:b/>
                <w:sz w:val="24"/>
              </w:rPr>
            </w:pPr>
            <w:r w:rsidRPr="004B77DC">
              <w:rPr>
                <w:rFonts w:ascii="Times New Roman" w:hAnsi="Times New Roman"/>
                <w:sz w:val="24"/>
              </w:rPr>
              <w:t xml:space="preserve">Ez a sor az utolsó 10 adatszolgáltatási időszak mindegyikére vonatkozóan tartalmazza a 20 000 EUR összegű veszteségesemény-küszöbérték feletti veszteségeseményekből eredő, </w:t>
            </w:r>
            <w:proofErr w:type="spellStart"/>
            <w:r w:rsidRPr="004B77DC">
              <w:rPr>
                <w:rFonts w:ascii="Times New Roman" w:hAnsi="Times New Roman"/>
                <w:sz w:val="24"/>
              </w:rPr>
              <w:t>megtérülésekkel</w:t>
            </w:r>
            <w:proofErr w:type="spellEnd"/>
            <w:r w:rsidRPr="004B77DC">
              <w:rPr>
                <w:rFonts w:ascii="Times New Roman" w:hAnsi="Times New Roman"/>
                <w:sz w:val="24"/>
              </w:rPr>
              <w:t xml:space="preserve"> csökkentett teljes veszteségösszeget, beleértve az egyesülésekből és felvásárlásokból származó veszteségeket is. A közös működési kockázati esemény vagy ugyanazon működési kockázati eseményhez kapcsolódó több esemény által okozott veszteségeket, amelyeket különböző számviteli években ismernek el, az utolsó 10 évre vonatkozóan össze kell adni annak megállapítása érdekében, hogy a közzétételi küszöbértéket túllépték-e vagy sem. Az e sorra vonatkozó tétel kiszámítása során továbbra is figyelembe kell venni az év azon rendkívüli működési kockázati eseményeit, amelyek már nem relevánsak az intézmény kockázati profilja szempontjából, és amelyek tekintetében az intézmény az 575/2013/EU rendelet 320. cikkének (1) bekezdésével összhangban engedélyt kapott az illetékes hatóságtól azok kizárására az intézmény éves működési kockázati veszteségeiből.</w:t>
            </w:r>
          </w:p>
        </w:tc>
      </w:tr>
      <w:tr w:rsidR="00D740B8" w:rsidRPr="004B77DC"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4B77DC" w:rsidRDefault="00D740B8" w:rsidP="000879A1">
            <w:pPr>
              <w:keepNext/>
              <w:spacing w:before="120" w:after="120"/>
              <w:jc w:val="both"/>
              <w:rPr>
                <w:rFonts w:ascii="Times New Roman" w:eastAsia="Times New Roman" w:hAnsi="Times New Roman" w:cs="Times New Roman"/>
                <w:b/>
                <w:sz w:val="24"/>
              </w:rPr>
            </w:pPr>
            <w:r w:rsidRPr="004B77DC">
              <w:rPr>
                <w:rFonts w:ascii="Times New Roman" w:hAnsi="Times New Roman"/>
                <w:b/>
                <w:sz w:val="24"/>
              </w:rPr>
              <w:t>A működési kockázati veszteségek teljes száma</w:t>
            </w:r>
          </w:p>
          <w:p w14:paraId="2EA91375" w14:textId="28AF0058" w:rsidR="00D740B8" w:rsidRPr="004B77DC" w:rsidRDefault="00D740B8">
            <w:pPr>
              <w:spacing w:before="120" w:after="120"/>
              <w:jc w:val="both"/>
              <w:rPr>
                <w:rFonts w:ascii="Times New Roman" w:eastAsia="Times New Roman" w:hAnsi="Times New Roman" w:cs="Times New Roman"/>
                <w:sz w:val="24"/>
              </w:rPr>
            </w:pPr>
            <w:r w:rsidRPr="004B77DC">
              <w:rPr>
                <w:rFonts w:ascii="Times New Roman" w:hAnsi="Times New Roman"/>
                <w:sz w:val="24"/>
              </w:rPr>
              <w:t>Az 575/2013/EU rendelet 446. cikke (2) bekezdésének a) pontja és 316. cikkének (1) bekezdése.</w:t>
            </w:r>
          </w:p>
          <w:p w14:paraId="275C478C" w14:textId="69738AFF" w:rsidR="00D740B8" w:rsidRPr="004B77DC" w:rsidRDefault="00471410">
            <w:pPr>
              <w:spacing w:before="120" w:after="120"/>
              <w:rPr>
                <w:rFonts w:ascii="Times New Roman" w:eastAsia="Times New Roman" w:hAnsi="Times New Roman" w:cs="Times New Roman"/>
                <w:sz w:val="24"/>
              </w:rPr>
            </w:pPr>
            <w:r w:rsidRPr="004B77DC">
              <w:rPr>
                <w:rFonts w:ascii="Times New Roman" w:hAnsi="Times New Roman"/>
                <w:sz w:val="24"/>
              </w:rPr>
              <w:t>A veszteségesemény 20,000 EUR összegű küszöbértékét meghaladó működési kockázati veszteségek teljes száma.</w:t>
            </w:r>
          </w:p>
        </w:tc>
      </w:tr>
      <w:tr w:rsidR="00D740B8" w:rsidRPr="004B77DC"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4B77DC" w:rsidRDefault="00D740B8">
            <w:pPr>
              <w:spacing w:before="120" w:after="120"/>
              <w:jc w:val="both"/>
              <w:rPr>
                <w:rFonts w:ascii="Times New Roman" w:eastAsia="Times New Roman" w:hAnsi="Times New Roman" w:cs="Times New Roman"/>
                <w:b/>
                <w:sz w:val="24"/>
              </w:rPr>
            </w:pPr>
            <w:r w:rsidRPr="004B77DC">
              <w:rPr>
                <w:rFonts w:ascii="Times New Roman" w:hAnsi="Times New Roman"/>
                <w:b/>
                <w:sz w:val="24"/>
              </w:rPr>
              <w:t>A kizárt működési kockázati veszteségek teljes összege</w:t>
            </w:r>
          </w:p>
          <w:p w14:paraId="5C1A66AF" w14:textId="5CAD041D" w:rsidR="00D740B8" w:rsidRPr="004B77DC" w:rsidRDefault="00D740B8">
            <w:pPr>
              <w:spacing w:before="120" w:after="120"/>
              <w:rPr>
                <w:rFonts w:ascii="Times New Roman" w:eastAsia="Times New Roman" w:hAnsi="Times New Roman" w:cs="Times New Roman"/>
                <w:sz w:val="24"/>
              </w:rPr>
            </w:pPr>
            <w:r w:rsidRPr="004B77DC">
              <w:rPr>
                <w:rFonts w:ascii="Times New Roman" w:hAnsi="Times New Roman"/>
                <w:sz w:val="24"/>
              </w:rPr>
              <w:t>Az 575/2013/EU rendelet 446. cikke (2) bekezdésének b) pontja és 320. cikkének (1) bekezdése.</w:t>
            </w:r>
          </w:p>
          <w:p w14:paraId="7BE235CA" w14:textId="7483A5B2" w:rsidR="00D740B8" w:rsidRPr="004B77DC" w:rsidRDefault="002B0785">
            <w:pPr>
              <w:spacing w:before="120" w:after="120"/>
              <w:rPr>
                <w:rFonts w:ascii="Times New Roman" w:eastAsia="Times New Roman" w:hAnsi="Times New Roman" w:cs="Times New Roman"/>
                <w:sz w:val="24"/>
              </w:rPr>
            </w:pPr>
            <w:r w:rsidRPr="004B77DC">
              <w:rPr>
                <w:rFonts w:ascii="Times New Roman" w:hAnsi="Times New Roman"/>
                <w:sz w:val="24"/>
              </w:rPr>
              <w:t>Az 575/2013/EU rendelet 320. cikkének (1) bekezdésével összhangban kizárt, 20 000 EUR összegű veszteségküszöb feletti teljes nettó veszteségérték az utolsó 10 adatszolgáltatási időszak mindegyikére vonatkozóan.</w:t>
            </w:r>
          </w:p>
        </w:tc>
      </w:tr>
      <w:tr w:rsidR="00D740B8" w:rsidRPr="004B77DC"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4B77DC" w:rsidRDefault="00D740B8">
            <w:pPr>
              <w:spacing w:before="12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 kizárt működési kockázati események teljes száma</w:t>
            </w:r>
          </w:p>
          <w:p w14:paraId="7914E462" w14:textId="7978A3B5" w:rsidR="00D740B8" w:rsidRPr="004B77DC" w:rsidRDefault="00D740B8">
            <w:pPr>
              <w:spacing w:before="120" w:after="120"/>
              <w:rPr>
                <w:rFonts w:ascii="Times New Roman" w:eastAsia="Times New Roman" w:hAnsi="Times New Roman" w:cs="Times New Roman"/>
                <w:sz w:val="24"/>
              </w:rPr>
            </w:pPr>
            <w:r w:rsidRPr="004B77DC">
              <w:rPr>
                <w:rFonts w:ascii="Times New Roman" w:hAnsi="Times New Roman"/>
                <w:sz w:val="24"/>
              </w:rPr>
              <w:t>Az 575/2013/EU rendelet 446. cikke (2) bekezdésének b) pontja és 320. cikkének (1) bekezdése.</w:t>
            </w:r>
          </w:p>
          <w:p w14:paraId="318A732C" w14:textId="242D554F" w:rsidR="00D740B8" w:rsidRPr="004B77DC" w:rsidRDefault="009D4A12">
            <w:pPr>
              <w:spacing w:before="120" w:after="120"/>
              <w:jc w:val="both"/>
              <w:rPr>
                <w:rFonts w:ascii="Times New Roman" w:eastAsia="Times New Roman" w:hAnsi="Times New Roman" w:cs="Times New Roman"/>
                <w:sz w:val="24"/>
              </w:rPr>
            </w:pPr>
            <w:r w:rsidRPr="004B77DC">
              <w:rPr>
                <w:rFonts w:ascii="Times New Roman" w:hAnsi="Times New Roman"/>
                <w:sz w:val="24"/>
              </w:rPr>
              <w:t xml:space="preserve">Az utolsó 10 jelentési időszak mindegyikében az 575/2013/EU rendelet 320. cikke (1) bekezdésének megfelelően kizárt, a 20 000 EUR összegű veszteségküszöböt meghaladó rendkívüli működési kockázati események teljes száma. </w:t>
            </w:r>
          </w:p>
        </w:tc>
      </w:tr>
      <w:tr w:rsidR="00D740B8" w:rsidRPr="004B77DC"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4B77DC" w:rsidRDefault="00D740B8">
            <w:pPr>
              <w:spacing w:before="12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 xml:space="preserve">A működési kockázati veszteségek teljes összege, a </w:t>
            </w:r>
            <w:proofErr w:type="spellStart"/>
            <w:r w:rsidRPr="004B77DC">
              <w:rPr>
                <w:rStyle w:val="InstructionsTabelleberschrift"/>
                <w:rFonts w:ascii="Times New Roman" w:hAnsi="Times New Roman"/>
                <w:sz w:val="24"/>
                <w:u w:val="none"/>
              </w:rPr>
              <w:t>megtérülések</w:t>
            </w:r>
            <w:proofErr w:type="spellEnd"/>
            <w:r w:rsidRPr="004B77DC">
              <w:rPr>
                <w:rStyle w:val="InstructionsTabelleberschrift"/>
                <w:rFonts w:ascii="Times New Roman" w:hAnsi="Times New Roman"/>
                <w:sz w:val="24"/>
                <w:u w:val="none"/>
              </w:rPr>
              <w:t xml:space="preserve"> és a kizárt veszteségek levonása után</w:t>
            </w:r>
          </w:p>
          <w:p w14:paraId="4203582A" w14:textId="7C24EBAE" w:rsidR="00D740B8" w:rsidRPr="004B77DC" w:rsidRDefault="002B0785">
            <w:pPr>
              <w:spacing w:before="120" w:after="120"/>
              <w:jc w:val="both"/>
              <w:rPr>
                <w:rFonts w:ascii="Times New Roman" w:eastAsia="Times New Roman" w:hAnsi="Times New Roman" w:cs="Times New Roman"/>
                <w:sz w:val="24"/>
              </w:rPr>
            </w:pPr>
            <w:r w:rsidRPr="004B77DC">
              <w:rPr>
                <w:rFonts w:ascii="Times New Roman" w:hAnsi="Times New Roman"/>
                <w:sz w:val="24"/>
              </w:rPr>
              <w:t xml:space="preserve">A működési kockázati veszteségek teljes összege, csökkentve az 1. sorban megadott </w:t>
            </w:r>
            <w:proofErr w:type="spellStart"/>
            <w:r w:rsidRPr="004B77DC">
              <w:rPr>
                <w:rFonts w:ascii="Times New Roman" w:hAnsi="Times New Roman"/>
                <w:sz w:val="24"/>
              </w:rPr>
              <w:t>megtérülések</w:t>
            </w:r>
            <w:proofErr w:type="spellEnd"/>
            <w:r w:rsidRPr="004B77DC">
              <w:rPr>
                <w:rFonts w:ascii="Times New Roman" w:hAnsi="Times New Roman"/>
                <w:sz w:val="24"/>
              </w:rPr>
              <w:t xml:space="preserve"> összegével és a 3. sorban megadott kizárt veszteségekkel.</w:t>
            </w:r>
          </w:p>
        </w:tc>
      </w:tr>
      <w:tr w:rsidR="00D740B8" w:rsidRPr="004B77DC"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4B77DC" w:rsidRDefault="00D740B8">
            <w:pPr>
              <w:spacing w:before="120" w:after="120"/>
              <w:jc w:val="both"/>
              <w:rPr>
                <w:rFonts w:ascii="Times New Roman" w:eastAsia="Times New Roman" w:hAnsi="Times New Roman" w:cs="Times New Roman"/>
                <w:b/>
                <w:sz w:val="24"/>
              </w:rPr>
            </w:pPr>
            <w:r w:rsidRPr="004B77DC">
              <w:rPr>
                <w:rFonts w:ascii="Times New Roman" w:hAnsi="Times New Roman"/>
                <w:b/>
                <w:sz w:val="24"/>
              </w:rPr>
              <w:t xml:space="preserve">A működési kockázati veszteségek teljes összege a </w:t>
            </w:r>
            <w:proofErr w:type="spellStart"/>
            <w:r w:rsidRPr="004B77DC">
              <w:rPr>
                <w:rFonts w:ascii="Times New Roman" w:hAnsi="Times New Roman"/>
                <w:b/>
                <w:sz w:val="24"/>
              </w:rPr>
              <w:t>megtérülések</w:t>
            </w:r>
            <w:proofErr w:type="spellEnd"/>
            <w:r w:rsidRPr="004B77DC">
              <w:rPr>
                <w:rFonts w:ascii="Times New Roman" w:hAnsi="Times New Roman"/>
                <w:b/>
                <w:sz w:val="24"/>
              </w:rPr>
              <w:t xml:space="preserve"> levonása után (nincs kizárás)</w:t>
            </w:r>
          </w:p>
          <w:p w14:paraId="647BDEC8" w14:textId="66617A83" w:rsidR="00D740B8" w:rsidRPr="004B77DC" w:rsidRDefault="00D740B8">
            <w:pPr>
              <w:spacing w:before="120" w:after="120"/>
              <w:jc w:val="both"/>
              <w:rPr>
                <w:rFonts w:ascii="Times New Roman" w:eastAsia="Times New Roman" w:hAnsi="Times New Roman" w:cs="Times New Roman"/>
                <w:sz w:val="24"/>
              </w:rPr>
            </w:pPr>
            <w:r w:rsidRPr="004B77DC">
              <w:rPr>
                <w:rFonts w:ascii="Times New Roman" w:hAnsi="Times New Roman"/>
                <w:sz w:val="24"/>
              </w:rPr>
              <w:t>Az 575/2013/EU rendelet 446. cikke (2) bekezdésének a) pontja és 316. cikkének (1) bekezdése.</w:t>
            </w:r>
          </w:p>
          <w:p w14:paraId="7F1E94AA" w14:textId="3C3700EE" w:rsidR="00D740B8" w:rsidRPr="004B77DC" w:rsidRDefault="003D54AC">
            <w:pPr>
              <w:spacing w:before="120" w:after="120"/>
              <w:jc w:val="both"/>
              <w:rPr>
                <w:rStyle w:val="InstructionsTabelleberschrift"/>
                <w:rFonts w:ascii="Times New Roman" w:eastAsia="Times New Roman" w:hAnsi="Times New Roman"/>
                <w:bCs w:val="0"/>
                <w:sz w:val="24"/>
              </w:rPr>
            </w:pPr>
            <w:r w:rsidRPr="004B77DC">
              <w:rPr>
                <w:rFonts w:ascii="Times New Roman" w:hAnsi="Times New Roman"/>
                <w:sz w:val="24"/>
              </w:rPr>
              <w:t>Az utolsó 10 adatszolgáltatási időszak mindegyikére vonatkozóan a megtérült veszteségek összegével csökkentett, a 100 000 EUR összegű veszteségesemény-küszöbértéket meghaladó veszteségeseményekből eredő működési kockázati veszteségek teljes összege, beleértve az egyesülésekből és a felvásárlásokból származó veszteségeket is. A közös működési kockázati esemény vagy ugyanazon működési kockázati eseményhez kapcsolódó több esemény által okozott veszteségeket, amelyeket különböző számviteli években ismernek el, az utolsó 10 évre vonatkozóan össze kell adni annak megállapítása érdekében, hogy a közzétételi küszöbértéket túllépték-e vagy sem. Az e sorra vonatkozó tétel kiszámítása során továbbra is figyelembe kell venni az év azon rendkívüli működési kockázati eseményeit, amelyek már nem relevánsak az intézmény kockázati profilja szempontjából, és amelyek tekintetében az intézmény az 575/2013/EU rendelet 320. cikkének (1) bekezdésével összhangban engedélyt kapott az illetékes hatóságtól azok kizárására az intézmény éves működési kockázati veszteségeiből.</w:t>
            </w:r>
          </w:p>
        </w:tc>
      </w:tr>
      <w:tr w:rsidR="00D740B8" w:rsidRPr="004B77DC"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4B77DC" w:rsidRDefault="00D740B8">
            <w:pPr>
              <w:spacing w:before="120" w:after="120"/>
              <w:jc w:val="both"/>
              <w:rPr>
                <w:rFonts w:ascii="Times New Roman" w:eastAsia="Times New Roman" w:hAnsi="Times New Roman" w:cs="Times New Roman"/>
                <w:b/>
                <w:sz w:val="24"/>
              </w:rPr>
            </w:pPr>
            <w:r w:rsidRPr="004B77DC">
              <w:rPr>
                <w:rFonts w:ascii="Times New Roman" w:hAnsi="Times New Roman"/>
                <w:b/>
                <w:sz w:val="24"/>
              </w:rPr>
              <w:t>A működési kockázati veszteségek teljes száma</w:t>
            </w:r>
          </w:p>
          <w:p w14:paraId="7AD8EE0D" w14:textId="092E19E2" w:rsidR="00D740B8" w:rsidRPr="004B77DC" w:rsidRDefault="00D740B8">
            <w:pPr>
              <w:spacing w:before="120" w:after="120"/>
              <w:jc w:val="both"/>
              <w:rPr>
                <w:rFonts w:ascii="Times New Roman" w:eastAsia="Times New Roman" w:hAnsi="Times New Roman" w:cs="Times New Roman"/>
                <w:sz w:val="24"/>
              </w:rPr>
            </w:pPr>
            <w:r w:rsidRPr="004B77DC">
              <w:rPr>
                <w:rFonts w:ascii="Times New Roman" w:hAnsi="Times New Roman"/>
                <w:sz w:val="24"/>
              </w:rPr>
              <w:t>Az 575/2013/EU rendelet 446. cikke (2) bekezdésének a) pontja és 316. cikkének (1) bekezdése.</w:t>
            </w:r>
          </w:p>
          <w:p w14:paraId="6F316B8B" w14:textId="6ABB567B" w:rsidR="00D740B8" w:rsidRPr="004B77DC" w:rsidRDefault="00471410">
            <w:pPr>
              <w:spacing w:before="120" w:after="120"/>
              <w:jc w:val="both"/>
              <w:rPr>
                <w:rStyle w:val="InstructionsTabelleberschrift"/>
                <w:rFonts w:ascii="Times New Roman" w:eastAsia="Times New Roman" w:hAnsi="Times New Roman"/>
                <w:bCs w:val="0"/>
                <w:sz w:val="24"/>
              </w:rPr>
            </w:pPr>
            <w:r w:rsidRPr="004B77DC">
              <w:rPr>
                <w:rFonts w:ascii="Times New Roman" w:hAnsi="Times New Roman"/>
                <w:sz w:val="24"/>
              </w:rPr>
              <w:t>A 100 000 EUR összegű veszteségesemény-küszöbértéket meghaladó működési kockázati veszteségek teljes száma.</w:t>
            </w:r>
          </w:p>
        </w:tc>
      </w:tr>
      <w:tr w:rsidR="00D740B8" w:rsidRPr="004B77DC"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4B77DC" w:rsidRDefault="00D740B8">
            <w:pPr>
              <w:spacing w:before="120" w:after="120"/>
              <w:jc w:val="both"/>
              <w:rPr>
                <w:rFonts w:ascii="Times New Roman" w:eastAsia="Times New Roman" w:hAnsi="Times New Roman" w:cs="Times New Roman"/>
                <w:b/>
                <w:sz w:val="24"/>
              </w:rPr>
            </w:pPr>
            <w:r w:rsidRPr="004B77DC">
              <w:rPr>
                <w:rFonts w:ascii="Times New Roman" w:hAnsi="Times New Roman"/>
                <w:b/>
                <w:sz w:val="24"/>
              </w:rPr>
              <w:t>A kizárt működési kockázati veszteségek teljes összege</w:t>
            </w:r>
          </w:p>
          <w:p w14:paraId="71DECF65" w14:textId="48A395A5" w:rsidR="00D740B8" w:rsidRPr="004B77DC" w:rsidRDefault="00D740B8">
            <w:pPr>
              <w:spacing w:before="120" w:after="120"/>
              <w:rPr>
                <w:rFonts w:ascii="Times New Roman" w:eastAsia="Times New Roman" w:hAnsi="Times New Roman" w:cs="Times New Roman"/>
                <w:sz w:val="24"/>
              </w:rPr>
            </w:pPr>
            <w:r w:rsidRPr="004B77DC">
              <w:rPr>
                <w:rFonts w:ascii="Times New Roman" w:hAnsi="Times New Roman"/>
                <w:sz w:val="24"/>
              </w:rPr>
              <w:t>Az 575/2013/EU rendelet 446. cikke (2) bekezdésének b) pontja és 320. cikkének (1) bekezdése.</w:t>
            </w:r>
          </w:p>
          <w:p w14:paraId="0BC74916" w14:textId="396B699A" w:rsidR="00D740B8" w:rsidRPr="004B77DC" w:rsidRDefault="003D54AC">
            <w:pPr>
              <w:spacing w:before="120" w:after="120"/>
              <w:jc w:val="both"/>
              <w:rPr>
                <w:rStyle w:val="InstructionsTabelleberschrift"/>
                <w:rFonts w:ascii="Times New Roman" w:eastAsia="Times New Roman" w:hAnsi="Times New Roman"/>
                <w:bCs w:val="0"/>
                <w:sz w:val="24"/>
              </w:rPr>
            </w:pPr>
            <w:r w:rsidRPr="004B77DC">
              <w:rPr>
                <w:rFonts w:ascii="Times New Roman" w:hAnsi="Times New Roman"/>
                <w:sz w:val="24"/>
              </w:rPr>
              <w:t>A 100 000 EUR összegű veszteségesemény-küszöbértéket meghaladó, az 575/2013/EU rendelet 320. cikkének (1) bekezdésével összhangban kizárt teljes nettó veszteségérték az utolsó 10 adatszolgáltatási időszak mindegyikére vonatkozóan.</w:t>
            </w:r>
          </w:p>
        </w:tc>
      </w:tr>
      <w:tr w:rsidR="00D740B8" w:rsidRPr="004B77DC"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4B77DC" w:rsidRDefault="00D740B8">
            <w:pPr>
              <w:spacing w:before="12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 kizárt működési kockázati események teljes száma</w:t>
            </w:r>
          </w:p>
          <w:p w14:paraId="2B56754D" w14:textId="46B0AAAA" w:rsidR="00D740B8" w:rsidRPr="004B77DC" w:rsidRDefault="00D740B8">
            <w:pPr>
              <w:spacing w:before="120" w:after="120"/>
              <w:rPr>
                <w:rFonts w:ascii="Times New Roman" w:eastAsia="Times New Roman" w:hAnsi="Times New Roman" w:cs="Times New Roman"/>
                <w:sz w:val="24"/>
              </w:rPr>
            </w:pPr>
            <w:r w:rsidRPr="004B77DC">
              <w:rPr>
                <w:rFonts w:ascii="Times New Roman" w:hAnsi="Times New Roman"/>
                <w:sz w:val="24"/>
              </w:rPr>
              <w:t>Az 575/2013/EU rendelet 446. cikke (2) bekezdésének b) pontja és 320. cikkének (1) bekezdése.</w:t>
            </w:r>
          </w:p>
          <w:p w14:paraId="2EDEC8CA" w14:textId="252B783D" w:rsidR="00D740B8" w:rsidRPr="004B77DC" w:rsidRDefault="00471410">
            <w:pPr>
              <w:spacing w:before="120" w:after="120"/>
              <w:jc w:val="both"/>
              <w:rPr>
                <w:rStyle w:val="InstructionsTabelleberschrift"/>
                <w:rFonts w:ascii="Times New Roman" w:eastAsia="Times New Roman" w:hAnsi="Times New Roman"/>
                <w:bCs w:val="0"/>
                <w:sz w:val="24"/>
              </w:rPr>
            </w:pPr>
            <w:r w:rsidRPr="004B77DC">
              <w:rPr>
                <w:rFonts w:ascii="Times New Roman" w:hAnsi="Times New Roman"/>
                <w:sz w:val="24"/>
              </w:rPr>
              <w:t>Az utolsó 10 adatszolgáltatási időszak mindegyikére vonatkozóan a 100 000 EUR összegű veszteségérték-küszöböt meghaladó, az 575/2013/EU rendelet 320. cikke (1) bekezdésének megfelelően kizárt rendkívüli működési kockázati események teljes száma.</w:t>
            </w:r>
          </w:p>
        </w:tc>
      </w:tr>
      <w:tr w:rsidR="00D740B8" w:rsidRPr="004B77DC"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4B77DC" w:rsidRDefault="00D740B8">
            <w:pPr>
              <w:spacing w:before="12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 xml:space="preserve">A működési kockázati veszteségek teljes összege, a </w:t>
            </w:r>
            <w:proofErr w:type="spellStart"/>
            <w:r w:rsidRPr="004B77DC">
              <w:rPr>
                <w:rStyle w:val="InstructionsTabelleberschrift"/>
                <w:rFonts w:ascii="Times New Roman" w:hAnsi="Times New Roman"/>
                <w:sz w:val="24"/>
                <w:u w:val="none"/>
              </w:rPr>
              <w:t>megtérülések</w:t>
            </w:r>
            <w:proofErr w:type="spellEnd"/>
            <w:r w:rsidRPr="004B77DC">
              <w:rPr>
                <w:rStyle w:val="InstructionsTabelleberschrift"/>
                <w:rFonts w:ascii="Times New Roman" w:hAnsi="Times New Roman"/>
                <w:sz w:val="24"/>
                <w:u w:val="none"/>
              </w:rPr>
              <w:t xml:space="preserve"> és a kizárt veszteségek levonása után</w:t>
            </w:r>
          </w:p>
          <w:p w14:paraId="65622881" w14:textId="32C07686" w:rsidR="00D740B8" w:rsidRPr="004B77DC" w:rsidRDefault="006943D3">
            <w:pPr>
              <w:spacing w:before="120" w:after="120"/>
              <w:jc w:val="both"/>
              <w:rPr>
                <w:rStyle w:val="InstructionsTabelleberschrift"/>
                <w:rFonts w:ascii="Times New Roman" w:eastAsia="Times New Roman" w:hAnsi="Times New Roman"/>
                <w:bCs w:val="0"/>
                <w:sz w:val="24"/>
              </w:rPr>
            </w:pPr>
            <w:r w:rsidRPr="004B77DC">
              <w:rPr>
                <w:rFonts w:ascii="Times New Roman" w:hAnsi="Times New Roman"/>
                <w:sz w:val="24"/>
              </w:rPr>
              <w:t xml:space="preserve">Ebben a sorban a működési kockázati veszteségek teljes összegét kell megadni, csökkentve a 6.sorban megadott </w:t>
            </w:r>
            <w:proofErr w:type="spellStart"/>
            <w:r w:rsidRPr="004B77DC">
              <w:rPr>
                <w:rFonts w:ascii="Times New Roman" w:hAnsi="Times New Roman"/>
                <w:sz w:val="24"/>
              </w:rPr>
              <w:t>megtérülések</w:t>
            </w:r>
            <w:proofErr w:type="spellEnd"/>
            <w:r w:rsidRPr="004B77DC">
              <w:rPr>
                <w:rFonts w:ascii="Times New Roman" w:hAnsi="Times New Roman"/>
                <w:sz w:val="24"/>
              </w:rPr>
              <w:t xml:space="preserve"> és a 8. sorban megadott kizárt veszteségek összegével.</w:t>
            </w:r>
          </w:p>
        </w:tc>
      </w:tr>
      <w:tr w:rsidR="00D740B8" w:rsidRPr="004B77DC"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4B77DC"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4B77DC">
              <w:rPr>
                <w:rFonts w:ascii="Times New Roman" w:hAnsi="Times New Roman"/>
                <w:sz w:val="24"/>
              </w:rPr>
              <w:t>Nem alkalmazható.</w:t>
            </w:r>
          </w:p>
        </w:tc>
      </w:tr>
      <w:tr w:rsidR="00D740B8" w:rsidRPr="004B77DC"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4B77DC" w:rsidRDefault="00D740B8">
            <w:pPr>
              <w:spacing w:before="12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Nem alkalmazható.</w:t>
            </w:r>
          </w:p>
        </w:tc>
      </w:tr>
      <w:tr w:rsidR="00D740B8" w:rsidRPr="004B77DC"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4B77DC" w:rsidRDefault="00D740B8">
            <w:pPr>
              <w:spacing w:before="12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Nem alkalmazható.</w:t>
            </w:r>
          </w:p>
        </w:tc>
      </w:tr>
    </w:tbl>
    <w:p w14:paraId="25A698B0" w14:textId="77777777" w:rsidR="00D740B8" w:rsidRPr="004B77DC" w:rsidRDefault="00D740B8" w:rsidP="00D740B8">
      <w:pPr>
        <w:pStyle w:val="InstructionsText2"/>
        <w:numPr>
          <w:ilvl w:val="0"/>
          <w:numId w:val="0"/>
        </w:numPr>
        <w:ind w:left="360"/>
        <w:rPr>
          <w:lang w:val="en-US"/>
        </w:rPr>
      </w:pPr>
    </w:p>
    <w:p w14:paraId="033C5861" w14:textId="77777777" w:rsidR="00D740B8" w:rsidRPr="004B77DC" w:rsidRDefault="00D740B8" w:rsidP="00D740B8">
      <w:pPr>
        <w:jc w:val="both"/>
        <w:rPr>
          <w:rFonts w:ascii="Times New Roman" w:hAnsi="Times New Roman" w:cs="Times New Roman"/>
          <w:bCs/>
          <w:sz w:val="24"/>
        </w:rPr>
      </w:pPr>
      <w:r w:rsidRPr="004B77DC">
        <w:rPr>
          <w:rFonts w:ascii="Times New Roman" w:hAnsi="Times New Roman"/>
          <w:b/>
          <w:sz w:val="24"/>
        </w:rPr>
        <w:t xml:space="preserve">EU OR2 sablon – Üzleti mutató, komponensek és részkomponensek. </w:t>
      </w:r>
      <w:r w:rsidRPr="004B77DC">
        <w:rPr>
          <w:rFonts w:ascii="Times New Roman" w:hAnsi="Times New Roman"/>
          <w:sz w:val="24"/>
        </w:rPr>
        <w:t>Rögzített sablon</w:t>
      </w:r>
    </w:p>
    <w:p w14:paraId="3D173CCF" w14:textId="77777777" w:rsidR="00D740B8" w:rsidRPr="004B77DC" w:rsidRDefault="00D740B8" w:rsidP="00D740B8">
      <w:pPr>
        <w:ind w:left="360"/>
        <w:jc w:val="both"/>
        <w:rPr>
          <w:rFonts w:ascii="Times New Roman" w:hAnsi="Times New Roman" w:cs="Times New Roman"/>
          <w:bCs/>
          <w:sz w:val="24"/>
        </w:rPr>
      </w:pPr>
    </w:p>
    <w:p w14:paraId="3F849430" w14:textId="414C531B"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Az intézményeknek az EU OR2 sablonban szereplő információkat az 575/2013/EU rendelet 446. cikke (1) bekezdésének c) és d) pontja alkalmazásában közzé kell tenniük. Ez a sablon tájékoztatást nyújt az üzletimutató-komponensnek (BIC) az 575/2013/EU rendelet 313. cikkével összhangban, valamint az üzleti mutatónak (BI), komponenseinek és részkomponenseinek az 575/2013/EU rendelet 314. cikkével összhangban történő kiszámításáról. Ezenkívül ez a sablon, a 315. cikk (2) bekezdésének megfelelően, tájékoztatást nyújt az üzleti mutatóból kizárt, elidegenített gazdálkodó egységekhez vagy tevékenységekhez kapcsolódó összegekről is.</w:t>
      </w:r>
    </w:p>
    <w:p w14:paraId="5C35CEC0" w14:textId="77777777" w:rsidR="00D740B8" w:rsidRPr="004B77DC" w:rsidRDefault="00D740B8" w:rsidP="00D740B8">
      <w:pPr>
        <w:ind w:left="360"/>
        <w:jc w:val="both"/>
        <w:rPr>
          <w:rFonts w:ascii="Times New Roman" w:hAnsi="Times New Roman" w:cs="Times New Roman"/>
          <w:bCs/>
          <w:sz w:val="24"/>
        </w:rPr>
      </w:pPr>
    </w:p>
    <w:p w14:paraId="1749895F" w14:textId="07869965"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lastRenderedPageBreak/>
        <w:t xml:space="preserve">Az intézményeknek az utolsó három pénzügyi évre vonatkozóan adatokat kell szolgáltatniuk azon tételek releváns jegyzékének összegéről, amelyek, a BI részkomponensei kiszámításának részeként, </w:t>
      </w:r>
      <w:proofErr w:type="gramStart"/>
      <w:r w:rsidRPr="004B77DC">
        <w:rPr>
          <w:rFonts w:ascii="Times New Roman" w:hAnsi="Times New Roman"/>
          <w:sz w:val="24"/>
        </w:rPr>
        <w:t>figyelembe vételre</w:t>
      </w:r>
      <w:proofErr w:type="gramEnd"/>
      <w:r w:rsidRPr="004B77DC">
        <w:rPr>
          <w:rFonts w:ascii="Times New Roman" w:hAnsi="Times New Roman"/>
          <w:sz w:val="24"/>
        </w:rPr>
        <w:t xml:space="preserve"> kerülnek a működési kockázatszavatolótőke-követelményének kiszámításához.</w:t>
      </w:r>
    </w:p>
    <w:p w14:paraId="7B27D162" w14:textId="77777777" w:rsidR="00D740B8" w:rsidRPr="004B77DC" w:rsidRDefault="00D740B8" w:rsidP="00D740B8">
      <w:pPr>
        <w:pStyle w:val="ListParagraph"/>
        <w:rPr>
          <w:rFonts w:ascii="Times New Roman" w:hAnsi="Times New Roman"/>
          <w:bCs/>
          <w:sz w:val="24"/>
        </w:rPr>
      </w:pPr>
    </w:p>
    <w:p w14:paraId="41988E91" w14:textId="281D16EA"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 xml:space="preserve">Az 575/2013/EU rendelet 314. cikke (8) bekezdésének megfelelően, ha nem állnak rendelkezésre múltbeli adatok, az intézményeknek </w:t>
      </w:r>
      <w:proofErr w:type="spellStart"/>
      <w:r w:rsidRPr="004B77DC">
        <w:rPr>
          <w:rFonts w:ascii="Times New Roman" w:hAnsi="Times New Roman"/>
          <w:sz w:val="24"/>
        </w:rPr>
        <w:t>előretekintő</w:t>
      </w:r>
      <w:proofErr w:type="spellEnd"/>
      <w:r w:rsidRPr="004B77DC">
        <w:rPr>
          <w:rFonts w:ascii="Times New Roman" w:hAnsi="Times New Roman"/>
          <w:sz w:val="24"/>
        </w:rPr>
        <w:t xml:space="preserve"> üzleti becsléseket kell jelenteniük.</w:t>
      </w:r>
    </w:p>
    <w:p w14:paraId="14A23528" w14:textId="485ED75C" w:rsidR="00D740B8" w:rsidRPr="004B77DC" w:rsidRDefault="00D740B8" w:rsidP="00D740B8">
      <w:pPr>
        <w:pStyle w:val="numberedparagraph"/>
        <w:numPr>
          <w:ilvl w:val="0"/>
          <w:numId w:val="1"/>
        </w:numPr>
        <w:rPr>
          <w:rFonts w:ascii="Times New Roman" w:hAnsi="Times New Roman" w:cs="Times New Roman"/>
          <w:sz w:val="24"/>
        </w:rPr>
      </w:pPr>
      <w:r w:rsidRPr="004B77DC">
        <w:rPr>
          <w:rFonts w:ascii="Times New Roman" w:hAnsi="Times New Roman"/>
          <w:sz w:val="24"/>
        </w:rPr>
        <w:t xml:space="preserve">Ha az intézménynek kevesebb mint 3 évnyi adat áll rendelkezésére a BI komponenseinek részletes tételeivel kapcsolatban, a rendelkezésre álló historikus adatokat fontossági sorrendben kell hozzárendelni a sablon megfelelő oszlopaihoz. Ha az intézmények csak egy évre vonatkozóan rendelkeznek az üzleti mutató komponenseivel kapcsolatos történeti adatokkal, akkor ezeket az adatokat a legutóbbi (pl. a tavalyi) évnek megfelelő oszlopban kell feltüntetni. Amennyiben észszerűnek tűnik, az </w:t>
      </w:r>
      <w:proofErr w:type="spellStart"/>
      <w:r w:rsidRPr="004B77DC">
        <w:rPr>
          <w:rFonts w:ascii="Times New Roman" w:hAnsi="Times New Roman"/>
          <w:sz w:val="24"/>
        </w:rPr>
        <w:t>előretekintő</w:t>
      </w:r>
      <w:proofErr w:type="spellEnd"/>
      <w:r w:rsidRPr="004B77DC">
        <w:rPr>
          <w:rFonts w:ascii="Times New Roman" w:hAnsi="Times New Roman"/>
          <w:sz w:val="24"/>
        </w:rPr>
        <w:t xml:space="preserve"> becsléseket bele kell foglalni a -1., illetve a -2 évbe mindaddig, amíg ezek az adatok rendelkezésre nem állnak.</w:t>
      </w:r>
    </w:p>
    <w:p w14:paraId="2DDE0943" w14:textId="7F04DC41" w:rsidR="00D740B8" w:rsidRPr="004B77DC" w:rsidRDefault="00D740B8" w:rsidP="00D740B8">
      <w:pPr>
        <w:pStyle w:val="numberedparagraph"/>
        <w:numPr>
          <w:ilvl w:val="0"/>
          <w:numId w:val="1"/>
        </w:numPr>
        <w:rPr>
          <w:rFonts w:ascii="Times New Roman" w:hAnsi="Times New Roman" w:cs="Times New Roman"/>
          <w:sz w:val="24"/>
        </w:rPr>
      </w:pPr>
      <w:r w:rsidRPr="004B77DC">
        <w:rPr>
          <w:rFonts w:ascii="Times New Roman" w:hAnsi="Times New Roman"/>
          <w:sz w:val="24"/>
        </w:rPr>
        <w:t>Az intézmények nem szerepeltethetik a kamat-, lízing-, osztalékkomponens (ILDC) részét képező résztételekben az azon konkrét leányvállalati intézményekhez kapcsolódó számadatokat, amelyek ILDC-jét külön kell kiszámítani az 575/2013/EU rendelet 314. cikke (3) bekezdésének megfelelően.</w:t>
      </w:r>
    </w:p>
    <w:p w14:paraId="3512454B" w14:textId="27224DC8" w:rsidR="00841A0D"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Az intézmények nem szerepeltethetik az ILDC (kamat-, lízing- és osztalékkomponens) részét képező résztételekben a lakossági banki és/vagy kereskedelmi banki üzletágakból származó adatokat azokban az esetekben, amikor az intézmény engedélyt kapott az 575/2013/EU rendelet 314. cikkének (4) bekezdése alkalmazására.</w:t>
      </w:r>
    </w:p>
    <w:p w14:paraId="22AE3E22" w14:textId="77777777" w:rsidR="00841A0D" w:rsidRPr="004B77DC" w:rsidRDefault="00841A0D" w:rsidP="00841A0D">
      <w:pPr>
        <w:ind w:left="360"/>
        <w:jc w:val="both"/>
        <w:rPr>
          <w:rFonts w:ascii="Times New Roman" w:hAnsi="Times New Roman" w:cs="Times New Roman"/>
          <w:bCs/>
          <w:sz w:val="24"/>
        </w:rPr>
      </w:pPr>
    </w:p>
    <w:p w14:paraId="3A161EFD" w14:textId="7882B43A" w:rsidR="00D740B8" w:rsidRPr="004B77DC" w:rsidRDefault="003826D3" w:rsidP="00D740B8">
      <w:pPr>
        <w:numPr>
          <w:ilvl w:val="0"/>
          <w:numId w:val="1"/>
        </w:numPr>
        <w:jc w:val="both"/>
        <w:rPr>
          <w:rFonts w:ascii="Times New Roman" w:hAnsi="Times New Roman" w:cs="Times New Roman"/>
          <w:bCs/>
          <w:sz w:val="24"/>
        </w:rPr>
      </w:pPr>
      <w:r w:rsidRPr="004B77DC">
        <w:rPr>
          <w:rFonts w:ascii="Times New Roman" w:hAnsi="Times New Roman"/>
          <w:sz w:val="24"/>
        </w:rPr>
        <w:t>Mindazonáltal az intézményeknek az 1. sorban jelenteniük kell az ILDC teljes összegét, beleértve az 575/2013/EU rendelet 314. cikke (3) bekezdésének megfelelően kiszámított összegeket is. Az EU 1. sorban a 314. cikk (3) bekezdésében figyelembe vett gazdálkodó szervezeteket nem tartalmazó ILDC-t is jelenteni kell.</w:t>
      </w:r>
    </w:p>
    <w:p w14:paraId="7DAFACF8" w14:textId="77777777" w:rsidR="00D740B8" w:rsidRPr="004B77DC" w:rsidRDefault="00D740B8" w:rsidP="00D740B8">
      <w:pPr>
        <w:ind w:left="360"/>
        <w:jc w:val="both"/>
        <w:rPr>
          <w:rFonts w:ascii="Times New Roman" w:hAnsi="Times New Roman" w:cs="Times New Roman"/>
          <w:bCs/>
          <w:sz w:val="24"/>
        </w:rPr>
      </w:pPr>
    </w:p>
    <w:p w14:paraId="578B96DC" w14:textId="494916C5" w:rsidR="00D740B8" w:rsidRPr="004B77DC" w:rsidRDefault="00D740B8" w:rsidP="00D740B8">
      <w:pPr>
        <w:numPr>
          <w:ilvl w:val="0"/>
          <w:numId w:val="1"/>
        </w:numPr>
        <w:jc w:val="both"/>
        <w:rPr>
          <w:rFonts w:ascii="Times New Roman" w:hAnsi="Times New Roman" w:cs="Times New Roman"/>
          <w:bCs/>
          <w:sz w:val="24"/>
        </w:rPr>
      </w:pPr>
      <w:r w:rsidRPr="004B77DC">
        <w:rPr>
          <w:rFonts w:ascii="Times New Roman" w:hAnsi="Times New Roman"/>
          <w:sz w:val="24"/>
        </w:rPr>
        <w:t>A kísérő magyarázatban, az 575/2013/EU rendelet 446. cikke (1) bekezdésének megfelelően, az intézményeknek közzé kell tenniük az üzleti mutatóból való minden egyes kizárás indokait, kivéve a 314. cikk (4) bekezdésében figyelembe vett lakossági és kereskedelmi üzletágak kizárását.</w:t>
      </w:r>
    </w:p>
    <w:p w14:paraId="22C673C4" w14:textId="77777777" w:rsidR="00393FEF" w:rsidRPr="004B77DC" w:rsidRDefault="00393FEF" w:rsidP="00532CFA">
      <w:pPr>
        <w:pStyle w:val="ListParagraph"/>
        <w:rPr>
          <w:rFonts w:ascii="Times New Roman" w:hAnsi="Times New Roman"/>
          <w:bCs/>
          <w:sz w:val="24"/>
        </w:rPr>
      </w:pPr>
    </w:p>
    <w:p w14:paraId="7DD11602" w14:textId="2BC0B288" w:rsidR="00393FEF" w:rsidRPr="004B77DC" w:rsidRDefault="006020C0" w:rsidP="00D740B8">
      <w:pPr>
        <w:numPr>
          <w:ilvl w:val="0"/>
          <w:numId w:val="1"/>
        </w:numPr>
        <w:jc w:val="both"/>
        <w:rPr>
          <w:rFonts w:ascii="Times New Roman" w:hAnsi="Times New Roman" w:cs="Times New Roman"/>
          <w:bCs/>
          <w:sz w:val="24"/>
        </w:rPr>
      </w:pPr>
      <w:r w:rsidRPr="004B77DC">
        <w:rPr>
          <w:rFonts w:ascii="Times New Roman" w:hAnsi="Times New Roman"/>
          <w:sz w:val="24"/>
        </w:rPr>
        <w:t>Tekintettel a működési kockázat közzétételére vonatkozó követelmények és az intézmény pénzügyi kimutatásai közötti szoros kapcsolatra, az útmutató az EBH informatikai megoldásainak (FINREP) V. mellékletében szereplő adatszolgáltatási követelményekre hivatkozik.</w:t>
      </w:r>
    </w:p>
    <w:p w14:paraId="1D4913E2" w14:textId="77777777" w:rsidR="00DD1D82" w:rsidRPr="004B77DC" w:rsidRDefault="00DD1D82" w:rsidP="00DD1D82">
      <w:pPr>
        <w:pStyle w:val="ListParagraph"/>
        <w:rPr>
          <w:rFonts w:ascii="Times New Roman" w:hAnsi="Times New Roman"/>
          <w:bCs/>
          <w:sz w:val="24"/>
        </w:rPr>
      </w:pPr>
    </w:p>
    <w:p w14:paraId="11E51AFD" w14:textId="3D720718" w:rsidR="00DD1D82" w:rsidRPr="004B77DC" w:rsidRDefault="00050ABA" w:rsidP="001257B6">
      <w:pPr>
        <w:numPr>
          <w:ilvl w:val="0"/>
          <w:numId w:val="1"/>
        </w:numPr>
        <w:jc w:val="both"/>
        <w:rPr>
          <w:rFonts w:ascii="Times New Roman" w:hAnsi="Times New Roman" w:cs="Times New Roman"/>
          <w:bCs/>
          <w:sz w:val="24"/>
        </w:rPr>
      </w:pPr>
      <w:r w:rsidRPr="004B77DC">
        <w:rPr>
          <w:rFonts w:ascii="Times New Roman" w:hAnsi="Times New Roman"/>
          <w:sz w:val="24"/>
        </w:rPr>
        <w:t>Az e sablon kitöltésére vonatkozó aláírási konvencióknak az EBH informatikai megoldásainak V. mellékletében szereplő konvenciókat kell követniük.</w:t>
      </w:r>
    </w:p>
    <w:p w14:paraId="21275E00" w14:textId="77777777" w:rsidR="00D740B8" w:rsidRPr="004B77DC"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4B77DC" w14:paraId="069EA903" w14:textId="77777777">
        <w:trPr>
          <w:trHeight w:val="300"/>
        </w:trPr>
        <w:tc>
          <w:tcPr>
            <w:tcW w:w="1260" w:type="dxa"/>
            <w:shd w:val="clear" w:color="auto" w:fill="BFBFBF" w:themeFill="background1" w:themeFillShade="BF"/>
          </w:tcPr>
          <w:p w14:paraId="7E4DE4F0" w14:textId="77777777" w:rsidR="00D740B8" w:rsidRPr="004B77DC" w:rsidRDefault="00D740B8" w:rsidP="000879A1">
            <w:pPr>
              <w:pageBreakBefore/>
              <w:autoSpaceDE w:val="0"/>
              <w:autoSpaceDN w:val="0"/>
              <w:adjustRightInd w:val="0"/>
              <w:rPr>
                <w:rFonts w:ascii="Times New Roman" w:hAnsi="Times New Roman" w:cs="Times New Roman"/>
                <w:b/>
                <w:sz w:val="24"/>
              </w:rPr>
            </w:pPr>
            <w:r w:rsidRPr="004B77DC">
              <w:rPr>
                <w:rFonts w:ascii="Times New Roman" w:hAnsi="Times New Roman"/>
                <w:b/>
                <w:sz w:val="24"/>
              </w:rPr>
              <w:lastRenderedPageBreak/>
              <w:t>Oszlop</w:t>
            </w:r>
          </w:p>
        </w:tc>
        <w:tc>
          <w:tcPr>
            <w:tcW w:w="7756" w:type="dxa"/>
            <w:shd w:val="clear" w:color="auto" w:fill="BFBFBF" w:themeFill="background1" w:themeFillShade="BF"/>
          </w:tcPr>
          <w:p w14:paraId="0D54BB35" w14:textId="77777777" w:rsidR="00D740B8" w:rsidRPr="004B77DC" w:rsidDel="00B46ADB" w:rsidRDefault="00D740B8" w:rsidP="000879A1">
            <w:pPr>
              <w:keepNext/>
              <w:pageBreakBefore/>
              <w:autoSpaceDE w:val="0"/>
              <w:autoSpaceDN w:val="0"/>
              <w:adjustRightInd w:val="0"/>
              <w:rPr>
                <w:bCs/>
              </w:rPr>
            </w:pPr>
            <w:r w:rsidRPr="004B77DC">
              <w:rPr>
                <w:rFonts w:ascii="Times New Roman" w:hAnsi="Times New Roman"/>
                <w:b/>
                <w:sz w:val="24"/>
              </w:rPr>
              <w:t>Jogszabályi hivatkozások és útmutató</w:t>
            </w:r>
          </w:p>
        </w:tc>
      </w:tr>
      <w:tr w:rsidR="00D740B8" w:rsidRPr="004B77DC" w14:paraId="7AE7216D" w14:textId="77777777">
        <w:trPr>
          <w:trHeight w:val="300"/>
        </w:trPr>
        <w:tc>
          <w:tcPr>
            <w:tcW w:w="1260" w:type="dxa"/>
          </w:tcPr>
          <w:p w14:paraId="0FC699E1" w14:textId="0D76C831" w:rsidR="00D740B8" w:rsidRPr="004B77DC" w:rsidRDefault="00D740B8" w:rsidP="00165BEF">
            <w:pPr>
              <w:autoSpaceDE w:val="0"/>
              <w:autoSpaceDN w:val="0"/>
              <w:adjustRightInd w:val="0"/>
              <w:jc w:val="center"/>
              <w:rPr>
                <w:rFonts w:ascii="Times New Roman" w:hAnsi="Times New Roman"/>
                <w:bCs/>
                <w:sz w:val="24"/>
              </w:rPr>
            </w:pPr>
            <w:r w:rsidRPr="004B77DC">
              <w:rPr>
                <w:rFonts w:ascii="Times New Roman" w:hAnsi="Times New Roman"/>
                <w:sz w:val="24"/>
              </w:rPr>
              <w:t>a, b, c</w:t>
            </w:r>
          </w:p>
        </w:tc>
        <w:tc>
          <w:tcPr>
            <w:tcW w:w="7756" w:type="dxa"/>
          </w:tcPr>
          <w:p w14:paraId="510A12A5" w14:textId="13FB6D98" w:rsidR="00D740B8" w:rsidRPr="004B77DC" w:rsidRDefault="00D740B8" w:rsidP="000879A1">
            <w:pPr>
              <w:keepNext/>
              <w:pageBreakBefore/>
              <w:autoSpaceDE w:val="0"/>
              <w:autoSpaceDN w:val="0"/>
              <w:adjustRightInd w:val="0"/>
              <w:rPr>
                <w:rStyle w:val="InstructionsTabelleberschrift"/>
                <w:rFonts w:ascii="Times New Roman" w:hAnsi="Times New Roman"/>
                <w:sz w:val="24"/>
                <w:u w:val="none"/>
              </w:rPr>
            </w:pPr>
            <w:r w:rsidRPr="004B77DC">
              <w:rPr>
                <w:rStyle w:val="InstructionsTabelleberschrift"/>
                <w:rFonts w:ascii="Times New Roman" w:hAnsi="Times New Roman"/>
                <w:sz w:val="24"/>
                <w:u w:val="none"/>
              </w:rPr>
              <w:t>Érték</w:t>
            </w:r>
          </w:p>
          <w:p w14:paraId="0A7A2FD7" w14:textId="77777777" w:rsidR="00D740B8" w:rsidRPr="004B77DC" w:rsidRDefault="00D740B8" w:rsidP="000879A1">
            <w:pPr>
              <w:keepNext/>
              <w:pageBreakBefore/>
              <w:rPr>
                <w:rFonts w:ascii="Times New Roman" w:hAnsi="Times New Roman"/>
                <w:sz w:val="24"/>
                <w:lang w:eastAsia="de-DE"/>
              </w:rPr>
            </w:pPr>
          </w:p>
          <w:p w14:paraId="0C8A142A" w14:textId="4CAB13C5" w:rsidR="00D740B8" w:rsidRPr="004B77DC" w:rsidRDefault="00D740B8" w:rsidP="000879A1">
            <w:pPr>
              <w:keepNext/>
              <w:pageBreakBefore/>
              <w:autoSpaceDE w:val="0"/>
              <w:autoSpaceDN w:val="0"/>
              <w:adjustRightInd w:val="0"/>
              <w:rPr>
                <w:rFonts w:ascii="Times New Roman" w:hAnsi="Times New Roman" w:cs="Times New Roman"/>
                <w:bCs/>
                <w:sz w:val="24"/>
              </w:rPr>
            </w:pPr>
            <w:r w:rsidRPr="004B77DC">
              <w:rPr>
                <w:rFonts w:ascii="Times New Roman" w:hAnsi="Times New Roman"/>
                <w:sz w:val="24"/>
              </w:rPr>
              <w:t>Az 575/2013/EU rendelet 446. cikke (1) bekezdésének d) pontja és 314. cikkének (1) bekezdése.</w:t>
            </w:r>
          </w:p>
          <w:p w14:paraId="7883915F" w14:textId="77777777" w:rsidR="00D740B8" w:rsidRPr="004B77DC" w:rsidRDefault="00D740B8" w:rsidP="000879A1">
            <w:pPr>
              <w:keepNext/>
              <w:pageBreakBefore/>
              <w:autoSpaceDE w:val="0"/>
              <w:autoSpaceDN w:val="0"/>
              <w:adjustRightInd w:val="0"/>
              <w:rPr>
                <w:rFonts w:ascii="Times New Roman" w:hAnsi="Times New Roman"/>
                <w:bCs/>
                <w:sz w:val="24"/>
                <w:lang w:eastAsia="nl-BE"/>
              </w:rPr>
            </w:pPr>
          </w:p>
          <w:p w14:paraId="558CD9DA" w14:textId="2FA81485" w:rsidR="00EA10B1" w:rsidRPr="004B77DC" w:rsidRDefault="002F3CFA" w:rsidP="000879A1">
            <w:pPr>
              <w:pStyle w:val="paragraph"/>
              <w:keepNext/>
              <w:pageBreakBefore/>
              <w:spacing w:before="0" w:beforeAutospacing="0" w:after="0" w:afterAutospacing="0"/>
              <w:textAlignment w:val="baseline"/>
            </w:pPr>
            <w:r w:rsidRPr="004B77DC">
              <w:t>A BI és összetevőinek (ILDC, szolgáltatási összetevő (SC) és pénzügyi összetevő (FC)) kiszámításában szereplő tételek listájának értéke az utolsó három pénzügyi évre vonatkozóan alkalmazandó számviteli standardok szerint.</w:t>
            </w:r>
          </w:p>
          <w:p w14:paraId="3414DDFE" w14:textId="77777777" w:rsidR="007B3E62" w:rsidRPr="004B77DC" w:rsidRDefault="007B3E62" w:rsidP="000879A1">
            <w:pPr>
              <w:pStyle w:val="paragraph"/>
              <w:keepNext/>
              <w:pageBreakBefore/>
              <w:spacing w:before="0" w:beforeAutospacing="0" w:after="0" w:afterAutospacing="0"/>
              <w:textAlignment w:val="baseline"/>
              <w:rPr>
                <w:lang w:eastAsia="de-DE"/>
              </w:rPr>
            </w:pPr>
          </w:p>
          <w:p w14:paraId="374E1BCA" w14:textId="5E2803E9" w:rsidR="007B3E62" w:rsidRPr="004B77DC" w:rsidRDefault="00B76B25" w:rsidP="000879A1">
            <w:pPr>
              <w:pStyle w:val="paragraph"/>
              <w:keepNext/>
              <w:pageBreakBefore/>
              <w:spacing w:before="0" w:beforeAutospacing="0" w:after="0" w:afterAutospacing="0"/>
              <w:textAlignment w:val="baseline"/>
            </w:pPr>
            <w:r w:rsidRPr="004B77DC">
              <w:t>Az összegeket az egyesülésekhez/felvásárlásokhoz és az elidegenített tevékenységekhez kapcsolódó kiigazítások alkalmazását követően kell jelenteni.</w:t>
            </w:r>
          </w:p>
          <w:p w14:paraId="00BACA37" w14:textId="77777777" w:rsidR="00EA10B1" w:rsidRPr="004B77DC" w:rsidRDefault="00EA10B1" w:rsidP="000879A1">
            <w:pPr>
              <w:pStyle w:val="paragraph"/>
              <w:keepNext/>
              <w:pageBreakBefore/>
              <w:spacing w:before="0" w:beforeAutospacing="0" w:after="0" w:afterAutospacing="0"/>
              <w:textAlignment w:val="baseline"/>
              <w:rPr>
                <w:lang w:eastAsia="de-DE"/>
              </w:rPr>
            </w:pPr>
          </w:p>
          <w:p w14:paraId="21635601" w14:textId="1A8DE566" w:rsidR="00D740B8" w:rsidRPr="004B77DC" w:rsidRDefault="00D740B8" w:rsidP="000879A1">
            <w:pPr>
              <w:pStyle w:val="paragraph"/>
              <w:keepNext/>
              <w:pageBreakBefore/>
              <w:spacing w:before="0" w:beforeAutospacing="0" w:after="0" w:afterAutospacing="0"/>
              <w:textAlignment w:val="baseline"/>
            </w:pPr>
            <w:r w:rsidRPr="004B77DC">
              <w:t xml:space="preserve">Az FC esetében a közzéteendő értékek a kereskedési könyv és a banki könyv tételeinek azonosítására az utolsó három pénzügyi év mindegyikére vonatkozóan a számvitelihatár- vagy a </w:t>
            </w:r>
            <w:proofErr w:type="spellStart"/>
            <w:r w:rsidRPr="004B77DC">
              <w:t>prudenciálishatár</w:t>
            </w:r>
            <w:proofErr w:type="spellEnd"/>
            <w:r w:rsidRPr="004B77DC">
              <w:t>-módszer (PBA) alkalmazásával meghatározott számviteli értékeket tükrözik az 575/2013/EU rendelet 314. cikkének (6) bekezdésével összhangban.</w:t>
            </w:r>
          </w:p>
        </w:tc>
      </w:tr>
      <w:tr w:rsidR="00D740B8" w:rsidRPr="004B77DC" w14:paraId="3103AD05" w14:textId="77777777">
        <w:trPr>
          <w:trHeight w:val="300"/>
        </w:trPr>
        <w:tc>
          <w:tcPr>
            <w:tcW w:w="1260" w:type="dxa"/>
          </w:tcPr>
          <w:p w14:paraId="0FFA543A" w14:textId="77777777" w:rsidR="00D740B8" w:rsidRPr="004B77DC" w:rsidRDefault="00D740B8" w:rsidP="00165BEF">
            <w:pPr>
              <w:autoSpaceDE w:val="0"/>
              <w:autoSpaceDN w:val="0"/>
              <w:adjustRightInd w:val="0"/>
              <w:jc w:val="center"/>
              <w:rPr>
                <w:rFonts w:ascii="Times New Roman" w:hAnsi="Times New Roman"/>
                <w:bCs/>
                <w:sz w:val="24"/>
              </w:rPr>
            </w:pPr>
            <w:r w:rsidRPr="004B77DC">
              <w:rPr>
                <w:rFonts w:ascii="Times New Roman" w:hAnsi="Times New Roman"/>
                <w:sz w:val="24"/>
              </w:rPr>
              <w:t>d</w:t>
            </w:r>
          </w:p>
        </w:tc>
        <w:tc>
          <w:tcPr>
            <w:tcW w:w="7756" w:type="dxa"/>
          </w:tcPr>
          <w:p w14:paraId="117DF1D7" w14:textId="77777777" w:rsidR="00D740B8" w:rsidRPr="004B77DC" w:rsidRDefault="00D740B8">
            <w:pPr>
              <w:autoSpaceDE w:val="0"/>
              <w:autoSpaceDN w:val="0"/>
              <w:adjustRightInd w:val="0"/>
              <w:rPr>
                <w:rStyle w:val="InstructionsTabelleberschrift"/>
                <w:rFonts w:ascii="Times New Roman" w:hAnsi="Times New Roman"/>
                <w:sz w:val="24"/>
                <w:u w:val="none"/>
              </w:rPr>
            </w:pPr>
            <w:r w:rsidRPr="004B77DC">
              <w:rPr>
                <w:rStyle w:val="InstructionsTabelleberschrift"/>
                <w:rFonts w:ascii="Times New Roman" w:hAnsi="Times New Roman"/>
                <w:sz w:val="24"/>
                <w:u w:val="none"/>
              </w:rPr>
              <w:t>Átlagérték</w:t>
            </w:r>
          </w:p>
          <w:p w14:paraId="27B3847F" w14:textId="77777777" w:rsidR="00D740B8" w:rsidRPr="004B77DC" w:rsidRDefault="00D740B8">
            <w:pPr>
              <w:autoSpaceDE w:val="0"/>
              <w:autoSpaceDN w:val="0"/>
              <w:adjustRightInd w:val="0"/>
              <w:rPr>
                <w:rFonts w:ascii="Times New Roman" w:hAnsi="Times New Roman"/>
                <w:sz w:val="24"/>
                <w:lang w:eastAsia="de-DE"/>
              </w:rPr>
            </w:pPr>
          </w:p>
          <w:p w14:paraId="2CEEC93D" w14:textId="277817D6" w:rsidR="00D740B8" w:rsidRPr="004B77DC" w:rsidRDefault="00D740B8">
            <w:pPr>
              <w:autoSpaceDE w:val="0"/>
              <w:autoSpaceDN w:val="0"/>
              <w:adjustRightInd w:val="0"/>
              <w:rPr>
                <w:rFonts w:ascii="Times New Roman" w:hAnsi="Times New Roman" w:cs="Times New Roman"/>
                <w:bCs/>
                <w:sz w:val="24"/>
              </w:rPr>
            </w:pPr>
            <w:r w:rsidRPr="004B77DC">
              <w:rPr>
                <w:rFonts w:ascii="Times New Roman" w:hAnsi="Times New Roman"/>
                <w:sz w:val="24"/>
              </w:rPr>
              <w:t>Az 575/2013/EU rendelet 314. cikkének (2), (5) és (6) bekezdése.</w:t>
            </w:r>
          </w:p>
          <w:p w14:paraId="5FAAFF7A" w14:textId="77777777" w:rsidR="00D740B8" w:rsidRPr="004B77DC" w:rsidRDefault="00D740B8">
            <w:pPr>
              <w:autoSpaceDE w:val="0"/>
              <w:autoSpaceDN w:val="0"/>
              <w:adjustRightInd w:val="0"/>
              <w:rPr>
                <w:rStyle w:val="InstructionsTabelleberschrift"/>
                <w:rFonts w:ascii="Times New Roman" w:hAnsi="Times New Roman"/>
                <w:sz w:val="24"/>
              </w:rPr>
            </w:pPr>
          </w:p>
          <w:p w14:paraId="3E17CEC0" w14:textId="402AFA6E" w:rsidR="00D740B8" w:rsidRPr="004B77DC" w:rsidRDefault="00D740B8">
            <w:pPr>
              <w:pStyle w:val="paragraph"/>
              <w:spacing w:before="0" w:beforeAutospacing="0" w:after="0" w:afterAutospacing="0"/>
              <w:textAlignment w:val="baseline"/>
              <w:rPr>
                <w:rStyle w:val="normaltextrun"/>
              </w:rPr>
            </w:pPr>
            <w:r w:rsidRPr="004B77DC">
              <w:rPr>
                <w:rStyle w:val="normaltextrun"/>
              </w:rPr>
              <w:t>Az ILDC-, SC- és FC-komponensek számított értékei, valamint a kapcsolódó részkomponenseik átlagértéke, amelyeket az utolsó három pénzügyi évre vonatkozóan számítottak ki, és amelyek a T évre vonatkoznak.</w:t>
            </w:r>
          </w:p>
          <w:p w14:paraId="32637704" w14:textId="35682543" w:rsidR="00D740B8" w:rsidRPr="004B77DC" w:rsidRDefault="00D740B8">
            <w:pPr>
              <w:pStyle w:val="paragraph"/>
              <w:spacing w:before="0" w:beforeAutospacing="0" w:after="0" w:afterAutospacing="0"/>
              <w:textAlignment w:val="baseline"/>
              <w:rPr>
                <w:rStyle w:val="normaltextrun"/>
              </w:rPr>
            </w:pPr>
          </w:p>
          <w:p w14:paraId="6C270BFC" w14:textId="453723AA" w:rsidR="00D740B8" w:rsidRPr="004B77DC"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4B77DC">
              <w:rPr>
                <w:rStyle w:val="normaltextrun"/>
              </w:rPr>
              <w:t xml:space="preserve">Az átlagot az utolsó 3 év mindegyikére vonatkozó számviteli értékek figyelembevételével számítják ki. </w:t>
            </w:r>
          </w:p>
        </w:tc>
      </w:tr>
    </w:tbl>
    <w:p w14:paraId="75117700" w14:textId="77777777" w:rsidR="00D740B8" w:rsidRPr="004B77DC"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B77DC"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4B77DC" w:rsidRDefault="00D740B8">
            <w:pPr>
              <w:autoSpaceDE w:val="0"/>
              <w:autoSpaceDN w:val="0"/>
              <w:adjustRightInd w:val="0"/>
              <w:rPr>
                <w:rFonts w:ascii="Times New Roman" w:hAnsi="Times New Roman" w:cs="Times New Roman"/>
                <w:b/>
                <w:sz w:val="24"/>
              </w:rPr>
            </w:pPr>
            <w:r w:rsidRPr="004B77DC">
              <w:rPr>
                <w:rFonts w:ascii="Times New Roman" w:hAnsi="Times New Roman"/>
                <w:b/>
                <w:sz w:val="24"/>
              </w:rPr>
              <w:t>Sor</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4B77DC" w:rsidRDefault="00D740B8">
            <w:pPr>
              <w:rPr>
                <w:rFonts w:ascii="Times New Roman" w:hAnsi="Times New Roman" w:cs="Times New Roman"/>
                <w:b/>
                <w:sz w:val="24"/>
              </w:rPr>
            </w:pPr>
            <w:r w:rsidRPr="004B77DC">
              <w:rPr>
                <w:rFonts w:ascii="Times New Roman" w:hAnsi="Times New Roman"/>
                <w:b/>
                <w:sz w:val="24"/>
              </w:rPr>
              <w:t>Jogszabályi hivatkozások és útmutató</w:t>
            </w:r>
          </w:p>
        </w:tc>
      </w:tr>
      <w:tr w:rsidR="00D740B8" w:rsidRPr="004B77DC"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4B77DC" w:rsidRDefault="00D740B8">
            <w:pPr>
              <w:spacing w:before="60" w:after="120"/>
              <w:jc w:val="both"/>
              <w:rPr>
                <w:rFonts w:ascii="Times New Roman" w:eastAsia="Times New Roman" w:hAnsi="Times New Roman" w:cs="Times New Roman"/>
                <w:b/>
                <w:sz w:val="24"/>
              </w:rPr>
            </w:pPr>
            <w:r w:rsidRPr="004B77DC">
              <w:rPr>
                <w:rFonts w:ascii="Times New Roman" w:hAnsi="Times New Roman"/>
                <w:b/>
                <w:sz w:val="24"/>
              </w:rPr>
              <w:t>Kamat-, lízing- és osztalékkomponens (ILDC)</w:t>
            </w:r>
          </w:p>
          <w:p w14:paraId="78381763" w14:textId="2625CE0B" w:rsidR="00D740B8" w:rsidRPr="004B77DC" w:rsidRDefault="00D740B8">
            <w:pPr>
              <w:spacing w:before="60" w:after="120"/>
              <w:jc w:val="both"/>
              <w:rPr>
                <w:rFonts w:ascii="Times New Roman" w:eastAsia="Times New Roman" w:hAnsi="Times New Roman" w:cs="Times New Roman"/>
                <w:b/>
                <w:sz w:val="24"/>
              </w:rPr>
            </w:pPr>
            <w:r w:rsidRPr="004B77DC">
              <w:rPr>
                <w:rFonts w:ascii="Times New Roman" w:hAnsi="Times New Roman"/>
                <w:sz w:val="24"/>
              </w:rPr>
              <w:t>A kamat-, lízing- és osztalékkomponenst (ILDC-t) az 575/2013/EU rendelet 314. cikkének (2) bekezdésével összhangban kell kiszámítani, ideértve, adott esetben, az 575/2013/EU rendelet 314. cikkének (3) bekezdésével összhangban kiszámított összegeket is. Ha egy intézményre az 575/2013/EU rendelet 314. cikkének (4) bekezdésében említett eltérés vonatkozik, az intézmény nem szerepeltetheti sem a lakossági banki, sem a kereskedelmi banki üzletágak számadatait.</w:t>
            </w:r>
          </w:p>
        </w:tc>
      </w:tr>
      <w:tr w:rsidR="00456F97" w:rsidRPr="004B77DC"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4B77DC" w:rsidRDefault="00E03FA1">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4B77DC" w:rsidRDefault="00E2624F">
            <w:pPr>
              <w:spacing w:before="60" w:after="120"/>
              <w:jc w:val="both"/>
              <w:rPr>
                <w:rFonts w:ascii="Times New Roman" w:eastAsia="Times New Roman" w:hAnsi="Times New Roman" w:cs="Times New Roman"/>
                <w:b/>
                <w:sz w:val="24"/>
              </w:rPr>
            </w:pPr>
            <w:r w:rsidRPr="004B77DC">
              <w:rPr>
                <w:rFonts w:ascii="Times New Roman" w:hAnsi="Times New Roman"/>
                <w:b/>
                <w:sz w:val="24"/>
              </w:rPr>
              <w:t>Adott intézményre/konszolidált csoportra vonatkozó ILDC (a 314. cikk (3) bekezdése szerint figyelembe vett gazdálkodó szervezetek kivételével)</w:t>
            </w:r>
          </w:p>
          <w:p w14:paraId="3B4A0231" w14:textId="6A33703B" w:rsidR="00E2624F" w:rsidRPr="004B77DC" w:rsidRDefault="00E2624F" w:rsidP="00413B96">
            <w:pPr>
              <w:rPr>
                <w:rFonts w:ascii="Times New Roman" w:hAnsi="Times New Roman"/>
                <w:color w:val="000000" w:themeColor="text1"/>
                <w:sz w:val="24"/>
              </w:rPr>
            </w:pPr>
            <w:r w:rsidRPr="004B77DC">
              <w:rPr>
                <w:rFonts w:ascii="Times New Roman" w:hAnsi="Times New Roman"/>
                <w:sz w:val="24"/>
              </w:rPr>
              <w:t xml:space="preserve">Az 575/2013/EU rendelet 314. cikke (2) bekezdésének megfelelően számított kamat-, lízing- és osztalékkomponens (ILDC), kivéve azokat az adatokat, amelyek az ILDC számításának részét képezik azokban az esetekben, amikor </w:t>
            </w:r>
            <w:proofErr w:type="gramStart"/>
            <w:r w:rsidRPr="004B77DC">
              <w:rPr>
                <w:rFonts w:ascii="Times New Roman" w:hAnsi="Times New Roman"/>
                <w:sz w:val="24"/>
              </w:rPr>
              <w:t>a</w:t>
            </w:r>
            <w:proofErr w:type="gramEnd"/>
            <w:r w:rsidRPr="004B77DC">
              <w:rPr>
                <w:rFonts w:ascii="Times New Roman" w:hAnsi="Times New Roman"/>
                <w:sz w:val="24"/>
              </w:rPr>
              <w:t xml:space="preserve"> intézmény az 575/2013/EU rendelet 314. cikkének (3) bekezdése szerinti eltérést alkalmazza.</w:t>
            </w:r>
          </w:p>
        </w:tc>
      </w:tr>
      <w:tr w:rsidR="00D740B8" w:rsidRPr="004B77DC"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4B77DC" w:rsidRDefault="00D740B8">
            <w:pPr>
              <w:spacing w:before="60" w:after="120"/>
              <w:jc w:val="both"/>
              <w:rPr>
                <w:rFonts w:ascii="Times New Roman" w:eastAsia="Times New Roman" w:hAnsi="Times New Roman" w:cs="Times New Roman"/>
                <w:b/>
                <w:sz w:val="24"/>
              </w:rPr>
            </w:pPr>
            <w:r w:rsidRPr="004B77DC">
              <w:rPr>
                <w:rFonts w:ascii="Times New Roman" w:hAnsi="Times New Roman"/>
                <w:b/>
                <w:sz w:val="24"/>
              </w:rPr>
              <w:t>Kamat- és lízingbevétel</w:t>
            </w:r>
          </w:p>
          <w:p w14:paraId="33CCD1CB" w14:textId="130AE220" w:rsidR="00BD248A" w:rsidRPr="004B77DC" w:rsidRDefault="00D740B8">
            <w:pPr>
              <w:rPr>
                <w:rFonts w:ascii="Times New Roman" w:eastAsia="Times New Roman" w:hAnsi="Times New Roman" w:cs="Times New Roman"/>
                <w:sz w:val="24"/>
              </w:rPr>
            </w:pPr>
            <w:r w:rsidRPr="004B77DC">
              <w:rPr>
                <w:rFonts w:ascii="Times New Roman" w:hAnsi="Times New Roman"/>
                <w:sz w:val="24"/>
              </w:rPr>
              <w:t>Az összes pénzügyi eszközből származó kamatbevétel, a lízingelt eszközökből származó egyéb bevételek és a lízingelt eszközökből származó nyereség összege, az EBH informatikai megoldásainak V. mellékletével összhangban.</w:t>
            </w:r>
          </w:p>
          <w:p w14:paraId="76D4A1E7" w14:textId="77777777" w:rsidR="00BD248A" w:rsidRPr="004B77DC" w:rsidRDefault="00BD248A">
            <w:pPr>
              <w:rPr>
                <w:rFonts w:ascii="Times New Roman" w:eastAsia="Times New Roman" w:hAnsi="Times New Roman" w:cs="Times New Roman"/>
                <w:sz w:val="24"/>
              </w:rPr>
            </w:pPr>
          </w:p>
          <w:p w14:paraId="19841383" w14:textId="08257E38" w:rsidR="00F5221D" w:rsidRPr="004B77DC" w:rsidRDefault="004F220F">
            <w:pPr>
              <w:rPr>
                <w:rFonts w:ascii="Times New Roman" w:eastAsia="Times New Roman" w:hAnsi="Times New Roman" w:cs="Times New Roman"/>
                <w:sz w:val="24"/>
              </w:rPr>
            </w:pPr>
            <w:r w:rsidRPr="004B77DC">
              <w:rPr>
                <w:rFonts w:ascii="Times New Roman" w:hAnsi="Times New Roman"/>
                <w:sz w:val="24"/>
              </w:rPr>
              <w:t>Az összes pénzügyi eszköz kamatbevételeit az EBH informatikai megoldásai V. melléklete 2. részének 31. bekezdésével összhangban, továbbá az EBH informatikai megoldásai V. melléklete 2. részének 187., 189. és 194ii. bekezdésében foglalt további előírások alapján kell kiszámítani.</w:t>
            </w:r>
          </w:p>
          <w:p w14:paraId="55B6FFE6" w14:textId="77777777" w:rsidR="00F5221D" w:rsidRPr="004B77DC" w:rsidRDefault="00F5221D">
            <w:pPr>
              <w:rPr>
                <w:rFonts w:ascii="Times New Roman" w:eastAsia="Times New Roman" w:hAnsi="Times New Roman" w:cs="Times New Roman"/>
                <w:sz w:val="24"/>
              </w:rPr>
            </w:pPr>
          </w:p>
          <w:p w14:paraId="00ED9136" w14:textId="12CD18AE" w:rsidR="00E76AA5" w:rsidRPr="004B77DC" w:rsidRDefault="00F5221D" w:rsidP="007535CB">
            <w:pPr>
              <w:rPr>
                <w:rFonts w:ascii="Times New Roman" w:eastAsia="Times New Roman" w:hAnsi="Times New Roman" w:cs="Times New Roman"/>
                <w:sz w:val="24"/>
              </w:rPr>
            </w:pPr>
            <w:r w:rsidRPr="004B77DC">
              <w:rPr>
                <w:rFonts w:ascii="Times New Roman" w:hAnsi="Times New Roman"/>
                <w:sz w:val="24"/>
              </w:rPr>
              <w:t>A (pénzügyi és működési) lízingelt eszközökből származó egyéb bevétel nem tartalmazza a kamatbevételt. Ez az összeg, amelyet az EBH informatikai megoldásai V. melléklete 2. részének 314. és 315. pontjával összhangban kell kiszámítani, a következőket jelenti: (i) a bérleti díjat generáló, és a valósérték-modell szerint értékelt befektetési célú ingatlanok valós értékének változásából származó bevétel; és/vagy (ii) operatív lízingekből származó bevétel, beleértve a befektetési célú ingatlanok bérleti díjából származó bevételt is.</w:t>
            </w:r>
          </w:p>
          <w:p w14:paraId="6C1BE770" w14:textId="77777777" w:rsidR="007535CB" w:rsidRPr="004B77DC" w:rsidRDefault="007535CB" w:rsidP="007535CB">
            <w:pPr>
              <w:rPr>
                <w:rFonts w:ascii="Times New Roman" w:eastAsia="Times New Roman" w:hAnsi="Times New Roman" w:cs="Times New Roman"/>
                <w:sz w:val="24"/>
              </w:rPr>
            </w:pPr>
          </w:p>
          <w:p w14:paraId="742C7468" w14:textId="3A50C109" w:rsidR="00D740B8" w:rsidRPr="004B77DC" w:rsidRDefault="00BB0B3D" w:rsidP="004F34D4">
            <w:pPr>
              <w:rPr>
                <w:rFonts w:ascii="Times New Roman" w:eastAsia="Times New Roman" w:hAnsi="Times New Roman" w:cs="Times New Roman"/>
                <w:sz w:val="24"/>
              </w:rPr>
            </w:pPr>
            <w:r w:rsidRPr="004B77DC">
              <w:rPr>
                <w:rFonts w:ascii="Times New Roman" w:hAnsi="Times New Roman"/>
                <w:sz w:val="24"/>
              </w:rPr>
              <w:t>A (pénzügyi és működési) lízingelt eszközökből származó nyereség a következőket foglalja magában: (i) a lízingmódosításokból származó nyereségek az EBH informatikai megoldásai V. melléklete 2. részének 49. bekezdésével összhangban; (ii) a többi egyéb működési bevétel (egyéb működési bevételek) az EBH informatikai megoldásai V. melléklete 2. részének 314. és 316. bekezdésével összhangban, ha (pénzügyi és működési) lízingelt eszközökhöz kapcsolódnak.</w:t>
            </w:r>
          </w:p>
        </w:tc>
      </w:tr>
      <w:tr w:rsidR="00D740B8" w:rsidRPr="004B77DC"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4B77DC" w:rsidRDefault="00D740B8">
            <w:pPr>
              <w:spacing w:before="60" w:after="120"/>
              <w:jc w:val="both"/>
              <w:rPr>
                <w:rFonts w:ascii="Times New Roman" w:eastAsia="Times New Roman" w:hAnsi="Times New Roman" w:cs="Times New Roman"/>
                <w:b/>
                <w:sz w:val="24"/>
              </w:rPr>
            </w:pPr>
            <w:r w:rsidRPr="004B77DC">
              <w:rPr>
                <w:rFonts w:ascii="Times New Roman" w:hAnsi="Times New Roman"/>
                <w:b/>
                <w:sz w:val="24"/>
              </w:rPr>
              <w:t>Kamat- és lízingráfordítások</w:t>
            </w:r>
          </w:p>
          <w:p w14:paraId="65B73157" w14:textId="72BA8427" w:rsidR="00EC1398" w:rsidRPr="004B77DC" w:rsidRDefault="00D740B8">
            <w:pPr>
              <w:rPr>
                <w:rFonts w:ascii="Times New Roman" w:eastAsia="Times New Roman" w:hAnsi="Times New Roman" w:cs="Times New Roman"/>
                <w:sz w:val="24"/>
              </w:rPr>
            </w:pPr>
            <w:r w:rsidRPr="004B77DC">
              <w:rPr>
                <w:rFonts w:ascii="Times New Roman" w:hAnsi="Times New Roman"/>
                <w:sz w:val="24"/>
              </w:rPr>
              <w:t>Az összes pénzügyi kötelezettség miatti kamatráfordítások, a lízingelt eszközökhöz kapcsolódó ráfordítások és a lízingelt eszközök értékcsökkenésének, értékvesztésének és veszteségének összege, az EBH informatikai megoldásainak V. mellékletében említettek szerint.</w:t>
            </w:r>
          </w:p>
          <w:p w14:paraId="06CEDDA9" w14:textId="77777777" w:rsidR="00BA33C3" w:rsidRPr="004B77DC" w:rsidRDefault="00BA33C3">
            <w:pPr>
              <w:rPr>
                <w:rFonts w:ascii="Times New Roman" w:eastAsia="Times New Roman" w:hAnsi="Times New Roman" w:cs="Times New Roman"/>
                <w:sz w:val="24"/>
              </w:rPr>
            </w:pPr>
          </w:p>
          <w:p w14:paraId="3ACFF991" w14:textId="1BCDC8C4" w:rsidR="00BA33C3" w:rsidRPr="004B77DC" w:rsidRDefault="00BA33C3">
            <w:pPr>
              <w:rPr>
                <w:rFonts w:ascii="Times New Roman" w:eastAsia="Times New Roman" w:hAnsi="Times New Roman" w:cs="Times New Roman"/>
                <w:sz w:val="24"/>
              </w:rPr>
            </w:pPr>
            <w:r w:rsidRPr="004B77DC">
              <w:rPr>
                <w:rFonts w:ascii="Times New Roman" w:hAnsi="Times New Roman"/>
                <w:sz w:val="24"/>
              </w:rPr>
              <w:t>Az összes pénzügyi kötelezettség miatti kamatráfordításokat az EBH informatikai megoldásai V. melléklete 2. részének 31. pontja szerint, valamint az EBH informatikai megoldásai V. melléklete 2. részének 188., 190. és 194. ii) pontjában szereplő további előírásoknak megfelelően kell kiszámítani. A működési kockázati események miatt felmerült kamatráfordításokat nem kell feltüntetni. Ehelyett a szolgáltatási komponensben kell szerepeltetni őket, az 575/2013/EU rendelet 314. cikke (5) bekezdésének megfelelően.</w:t>
            </w:r>
          </w:p>
          <w:p w14:paraId="2D079DF5" w14:textId="77777777" w:rsidR="003D0A4B" w:rsidRPr="004B77DC" w:rsidRDefault="003D0A4B">
            <w:pPr>
              <w:rPr>
                <w:rFonts w:ascii="Times New Roman" w:eastAsia="Times New Roman" w:hAnsi="Times New Roman" w:cs="Times New Roman"/>
                <w:sz w:val="24"/>
              </w:rPr>
            </w:pPr>
          </w:p>
          <w:p w14:paraId="08A94531" w14:textId="1EA15404" w:rsidR="003D0A4B" w:rsidRPr="004B77DC" w:rsidRDefault="003D0A4B" w:rsidP="00D136A0">
            <w:pPr>
              <w:rPr>
                <w:rFonts w:ascii="Times New Roman" w:eastAsia="Times New Roman" w:hAnsi="Times New Roman" w:cs="Times New Roman"/>
                <w:sz w:val="24"/>
              </w:rPr>
            </w:pPr>
            <w:r w:rsidRPr="004B77DC">
              <w:rPr>
                <w:rFonts w:ascii="Times New Roman" w:hAnsi="Times New Roman"/>
                <w:sz w:val="24"/>
              </w:rPr>
              <w:t xml:space="preserve">A (működési) lízingelt eszközökhöz kapcsolódó ráfordítások, amelyek az operatív lízinggel kapcsolatos ráfordításokat tartalmazzák, az EBA informatikai megoldásai V. melléklete 2. részének 314. és 315. pontjában foglaltaknak megfelelően, a következők: (i) a bérleti díjat generáló, a valósérték-modell szerint értékelt befektetési célú ingatlanok valós értékének változásához kapcsolódó ráfordítások; és (ii) az operatív lízinggel kapcsolatos ráfordítások, beleértve a bérleti díjat generáló befektetési célú ingatlanok közvetlen működési ráfordításait. Ezen túlmenően az intézményeknek itt kell jelenteniük az operatívlízing-eszközökkel kapcsolatos egyéb igazgatási </w:t>
            </w:r>
            <w:r w:rsidRPr="004B77DC">
              <w:rPr>
                <w:rFonts w:ascii="Times New Roman" w:hAnsi="Times New Roman"/>
                <w:sz w:val="24"/>
              </w:rPr>
              <w:lastRenderedPageBreak/>
              <w:t>ráfordításokat az EBA informatikai megoldásai V. melléklete 2. részének 208ix. pontja szerint. A működési kockázati események miatti ráfordításokat nem kell feltüntetni. Ehelyett a szolgáltatási komponensben kell szerepeltetni őket, az 575/2013/EU rendelet 314. cikke (5) bekezdésének megfelelően.</w:t>
            </w:r>
          </w:p>
          <w:p w14:paraId="61020FEC" w14:textId="77777777" w:rsidR="00376B14" w:rsidRPr="004B77DC" w:rsidRDefault="00376B14">
            <w:pPr>
              <w:rPr>
                <w:rFonts w:ascii="Times New Roman" w:eastAsia="Times New Roman" w:hAnsi="Times New Roman" w:cs="Times New Roman"/>
                <w:sz w:val="24"/>
              </w:rPr>
            </w:pPr>
          </w:p>
          <w:p w14:paraId="5D976FDD" w14:textId="0FB08478" w:rsidR="00376B14" w:rsidRPr="004B77DC" w:rsidRDefault="00376B14">
            <w:pPr>
              <w:rPr>
                <w:rFonts w:ascii="Times New Roman" w:eastAsia="Times New Roman" w:hAnsi="Times New Roman" w:cs="Times New Roman"/>
                <w:sz w:val="24"/>
              </w:rPr>
            </w:pPr>
            <w:r w:rsidRPr="004B77DC">
              <w:rPr>
                <w:rFonts w:ascii="Times New Roman" w:hAnsi="Times New Roman"/>
                <w:sz w:val="24"/>
              </w:rPr>
              <w:t>A lízingelt eszközök értékcsökkenésének meg kell egyeznie a Nemzetközi Számviteli Standardok (IAS) 1. számú standardjának 102. és 104. bekezdése szerint jelentett értékcsökkenési ráfordításokkal, azonban kizárólag azon operatívlízing-eszközökhöz kapcsolódó ráfordításokkal, amelyekből származó bevételek, vagy amelyekhez kapcsolódó ráfordítások a kamatkomponens kiszámításában szerepelnek.</w:t>
            </w:r>
          </w:p>
          <w:p w14:paraId="5D82FC67" w14:textId="77777777" w:rsidR="00DA24A2" w:rsidRPr="004B77DC" w:rsidRDefault="00DA24A2">
            <w:pPr>
              <w:rPr>
                <w:rFonts w:ascii="Times New Roman" w:eastAsia="Times New Roman" w:hAnsi="Times New Roman" w:cs="Times New Roman"/>
                <w:sz w:val="24"/>
              </w:rPr>
            </w:pPr>
          </w:p>
          <w:p w14:paraId="1D89DE9C" w14:textId="6D7B59E2" w:rsidR="00DA24A2" w:rsidRPr="004B77DC" w:rsidRDefault="00DA24A2">
            <w:pPr>
              <w:rPr>
                <w:rFonts w:ascii="Times New Roman" w:eastAsia="Times New Roman" w:hAnsi="Times New Roman" w:cs="Times New Roman"/>
                <w:sz w:val="24"/>
              </w:rPr>
            </w:pPr>
            <w:r w:rsidRPr="004B77DC">
              <w:rPr>
                <w:rFonts w:ascii="Times New Roman" w:hAnsi="Times New Roman"/>
                <w:sz w:val="24"/>
              </w:rPr>
              <w:t>A lízingelt eszközök értékvesztésének meg kell egyeznie az operatívlízing-eszközökhöz kapcsolódó azon ráfordításokkal, amelyek az operatívlízing-eszközök értékvesztését vagy értékvesztés-visszaírását jelentik, az IAS 36. számú standardja 126. bekezdése a) és b) pontjának megfelelően.</w:t>
            </w:r>
          </w:p>
          <w:p w14:paraId="11B36ACB" w14:textId="77777777" w:rsidR="00DA24A2" w:rsidRPr="004B77DC" w:rsidRDefault="00DA24A2">
            <w:pPr>
              <w:rPr>
                <w:rFonts w:ascii="Times New Roman" w:eastAsia="Times New Roman" w:hAnsi="Times New Roman" w:cs="Times New Roman"/>
                <w:sz w:val="24"/>
              </w:rPr>
            </w:pPr>
          </w:p>
          <w:p w14:paraId="0FA351B6" w14:textId="470A5833" w:rsidR="00D740B8" w:rsidRPr="004B77DC" w:rsidRDefault="00DA24A2" w:rsidP="004F34D4">
            <w:pPr>
              <w:rPr>
                <w:rFonts w:ascii="Times New Roman" w:hAnsi="Times New Roman"/>
                <w:sz w:val="24"/>
              </w:rPr>
            </w:pPr>
            <w:r w:rsidRPr="004B77DC">
              <w:rPr>
                <w:rFonts w:ascii="Times New Roman" w:hAnsi="Times New Roman"/>
                <w:sz w:val="24"/>
              </w:rPr>
              <w:t>A lízingelt eszközök veszteségei megegyeznek az egyéb működési ráfordítások (Egyéb működési ráfordítások) fennmaradó részével az EBH informatikai megoldásai V. melléklete 2. részének 29.3. szakasza 316. bekezdésével összhangban, ha azok operatívlízing-eszközökhöz kapcsolódnak. A működési kockázati eseményekből eredő veszteségeket nem kell feltüntetni. Ehelyett a szolgáltatási komponensben kell szerepeltetni őket, az 575/2013/EU rendelet 314. cikke (5) bekezdésének megfelelően.</w:t>
            </w:r>
          </w:p>
        </w:tc>
      </w:tr>
      <w:tr w:rsidR="00D740B8" w:rsidRPr="004B77DC"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4B77DC" w:rsidRDefault="00B76736">
            <w:pPr>
              <w:spacing w:before="60" w:after="120"/>
              <w:jc w:val="both"/>
              <w:rPr>
                <w:rStyle w:val="InstructionsTabelleberschrift"/>
                <w:rFonts w:ascii="Times New Roman" w:eastAsia="Times New Roman" w:hAnsi="Times New Roman"/>
                <w:sz w:val="24"/>
                <w:u w:val="none"/>
              </w:rPr>
            </w:pPr>
            <w:r w:rsidRPr="004B77DC">
              <w:rPr>
                <w:rStyle w:val="InstructionsTabelleberschrift"/>
                <w:rFonts w:ascii="Times New Roman" w:hAnsi="Times New Roman"/>
                <w:sz w:val="24"/>
                <w:u w:val="none"/>
              </w:rPr>
              <w:t>Összes eszköz/Eszközkomponens</w:t>
            </w:r>
          </w:p>
          <w:p w14:paraId="15501679" w14:textId="3EB04379" w:rsidR="00D740B8" w:rsidRPr="004B77DC" w:rsidRDefault="00B76736">
            <w:pPr>
              <w:spacing w:before="60" w:after="120"/>
              <w:jc w:val="both"/>
              <w:rPr>
                <w:rFonts w:ascii="Times New Roman" w:eastAsia="Times New Roman" w:hAnsi="Times New Roman" w:cs="Times New Roman"/>
                <w:sz w:val="24"/>
              </w:rPr>
            </w:pPr>
            <w:r w:rsidRPr="004B77DC">
              <w:rPr>
                <w:rFonts w:ascii="Times New Roman" w:hAnsi="Times New Roman"/>
                <w:sz w:val="24"/>
              </w:rPr>
              <w:t>A d) oszlopban az eszközkomponenst az 575/2013/EU rendelet 314. cikkének (2) bekezdésével összhangban kell kiszámítani.</w:t>
            </w:r>
          </w:p>
          <w:p w14:paraId="65FF56C9" w14:textId="24401D0D" w:rsidR="004E3E86" w:rsidRPr="004B77DC" w:rsidRDefault="003E3201" w:rsidP="00373F9D">
            <w:pPr>
              <w:rPr>
                <w:rFonts w:ascii="Times New Roman" w:hAnsi="Times New Roman"/>
                <w:sz w:val="24"/>
              </w:rPr>
            </w:pPr>
            <w:r w:rsidRPr="004B77DC">
              <w:rPr>
                <w:rFonts w:ascii="Times New Roman" w:hAnsi="Times New Roman"/>
                <w:sz w:val="24"/>
              </w:rPr>
              <w:t>A többi oszlopban az összes eszköznek meg kell egyeznie a központi bankokkal szembeni számlakövetelések és egyéb látra szóló betétek, hitelviszonyt megtestesítő értékpapírok, kölcsönök és előlegek bruttó könyv szerinti értékének, valamint a származtatott ügyletek (kereskedési és gazdasági fedezeti ügyletek és fedezeti elszámolások) és a lízingbe adott eszközök (tárgyi eszközök és immateriális javak) könyv szerinti értékével. Ezeknek a tételeknek az EBH informatikai megoldásainak V. mellékletére kell hivatkozniuk.</w:t>
            </w:r>
          </w:p>
          <w:p w14:paraId="2655EEC4" w14:textId="6116BB66" w:rsidR="00BC1F18" w:rsidRPr="004B77DC" w:rsidRDefault="00BC1F18" w:rsidP="00BC1F18">
            <w:pPr>
              <w:rPr>
                <w:rFonts w:ascii="Times New Roman" w:hAnsi="Times New Roman"/>
                <w:sz w:val="24"/>
              </w:rPr>
            </w:pPr>
          </w:p>
        </w:tc>
      </w:tr>
      <w:tr w:rsidR="00D740B8" w:rsidRPr="004B77DC"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4B77DC" w:rsidRDefault="00B76736">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Osztalékbevétel/Osztalékkomponens</w:t>
            </w:r>
          </w:p>
          <w:p w14:paraId="1A066B7B" w14:textId="4AA7538A" w:rsidR="00D740B8" w:rsidRPr="004B77DC" w:rsidRDefault="00B76736" w:rsidP="004E3E86">
            <w:pPr>
              <w:spacing w:before="60" w:after="120"/>
              <w:jc w:val="both"/>
              <w:rPr>
                <w:rFonts w:ascii="Times New Roman" w:eastAsia="Times New Roman" w:hAnsi="Times New Roman" w:cs="Times New Roman"/>
                <w:sz w:val="24"/>
              </w:rPr>
            </w:pPr>
            <w:r w:rsidRPr="004B77DC">
              <w:rPr>
                <w:rFonts w:ascii="Times New Roman" w:hAnsi="Times New Roman"/>
                <w:sz w:val="24"/>
              </w:rPr>
              <w:t>A d) oszlopban az osztalékkomponenst az 575/2013/EU rendelet 314. cikkének (2) bekezdésével összhangban kell kiszámítani.</w:t>
            </w:r>
          </w:p>
          <w:p w14:paraId="3F4B342E" w14:textId="23DB8876" w:rsidR="004E3E86" w:rsidRPr="004B77DC" w:rsidRDefault="004E3E86" w:rsidP="004E3E86">
            <w:pPr>
              <w:rPr>
                <w:rFonts w:ascii="Times New Roman" w:hAnsi="Times New Roman"/>
                <w:sz w:val="24"/>
              </w:rPr>
            </w:pPr>
            <w:r w:rsidRPr="004B77DC">
              <w:rPr>
                <w:rFonts w:ascii="Times New Roman" w:hAnsi="Times New Roman"/>
                <w:sz w:val="24"/>
              </w:rPr>
              <w:t>Az intézményeknek az EBH informatikai megoldásai V. melléklete 2. részének 40–42. pontja szerint kell jelenteniük az osztalékbevételeket.</w:t>
            </w:r>
          </w:p>
        </w:tc>
      </w:tr>
      <w:tr w:rsidR="003826D3" w:rsidRPr="004B77DC"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4B77DC" w:rsidRDefault="003826D3" w:rsidP="003826D3">
            <w:pPr>
              <w:spacing w:before="60" w:after="120"/>
              <w:jc w:val="both"/>
              <w:rPr>
                <w:rFonts w:ascii="Times New Roman" w:eastAsia="Times New Roman" w:hAnsi="Times New Roman" w:cs="Times New Roman"/>
                <w:b/>
                <w:sz w:val="24"/>
              </w:rPr>
            </w:pPr>
            <w:r w:rsidRPr="004B77DC">
              <w:rPr>
                <w:rFonts w:ascii="Times New Roman" w:hAnsi="Times New Roman"/>
                <w:b/>
                <w:sz w:val="24"/>
              </w:rPr>
              <w:t>Szolgáltatási komponens (SC)</w:t>
            </w:r>
          </w:p>
          <w:p w14:paraId="2D48B659" w14:textId="0264DFE4" w:rsidR="00080F37" w:rsidRPr="004B77DC" w:rsidRDefault="005E7C4C"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A szolgáltatási komponenst az 575/2013/EU rendelet 314. cikkének (5) bekezdésével összhangban kell kiszámítani.</w:t>
            </w:r>
          </w:p>
          <w:p w14:paraId="2EFCFDAF" w14:textId="3F07E77F" w:rsidR="003826D3" w:rsidRPr="004B77DC" w:rsidRDefault="0094124B" w:rsidP="003826D3">
            <w:pPr>
              <w:spacing w:before="60" w:after="120"/>
              <w:jc w:val="both"/>
              <w:rPr>
                <w:rStyle w:val="InstructionsTabelleberschrift"/>
                <w:rFonts w:ascii="Times New Roman" w:eastAsia="Times New Roman" w:hAnsi="Times New Roman"/>
                <w:bCs w:val="0"/>
                <w:sz w:val="24"/>
              </w:rPr>
            </w:pPr>
            <w:r w:rsidRPr="004B77DC">
              <w:rPr>
                <w:rFonts w:ascii="Times New Roman" w:hAnsi="Times New Roman"/>
                <w:sz w:val="24"/>
              </w:rPr>
              <w:lastRenderedPageBreak/>
              <w:t xml:space="preserve">Ha egy intézményre az 575/2013/EU rendelet 314. cikkének (4) bekezdésében említett eltérés vonatkozik, az intézmény nem szerepeltetheti sem a lakossági banki, sem a kereskedelmi banki üzletágak számadatait. </w:t>
            </w:r>
          </w:p>
        </w:tc>
      </w:tr>
      <w:tr w:rsidR="003826D3" w:rsidRPr="004B77DC"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4B77DC" w:rsidRDefault="003826D3" w:rsidP="003826D3">
            <w:pPr>
              <w:spacing w:before="60" w:after="120"/>
              <w:jc w:val="both"/>
              <w:rPr>
                <w:rFonts w:ascii="Times New Roman" w:eastAsia="Times New Roman" w:hAnsi="Times New Roman" w:cs="Times New Roman"/>
                <w:b/>
                <w:sz w:val="24"/>
              </w:rPr>
            </w:pPr>
            <w:r w:rsidRPr="004B77DC">
              <w:rPr>
                <w:rFonts w:ascii="Times New Roman" w:hAnsi="Times New Roman"/>
                <w:b/>
                <w:sz w:val="24"/>
              </w:rPr>
              <w:t>Díj- és jutalékbevételek</w:t>
            </w:r>
          </w:p>
          <w:p w14:paraId="1394D6AF" w14:textId="06AD3617" w:rsidR="003826D3" w:rsidRPr="004B77DC" w:rsidRDefault="009816D6"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Az EBH informatikai megoldások V. melléklete 2. részének 281–284. pontjában említett és az 575/2013/EU rendelet 314. cikke (5) bekezdésének megfelelően kiszámított díj- és jutalékbevételek.</w:t>
            </w:r>
          </w:p>
          <w:p w14:paraId="0EA5E8EE" w14:textId="07382D3A" w:rsidR="008D318E" w:rsidRPr="004B77DC" w:rsidRDefault="008D318E"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A pénzügyi szolgáltatások végrehajtásához szükséges informatikai tevékenységekhez hasonló kiegészítő tevékenységekből származó bevételeket is fel kell tüntetni ebben a tételben, összhangban az 575/2013/EU rendelet 314. cikkének (9) bekezdése alapján kidolgozandó RTS 7. cikkével.</w:t>
            </w:r>
          </w:p>
          <w:p w14:paraId="388F841F" w14:textId="1B0267DB" w:rsidR="00D91B18" w:rsidRPr="004B77DC" w:rsidRDefault="007D3710" w:rsidP="003826D3">
            <w:pPr>
              <w:spacing w:before="6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Az ugyanazon intézményvédelmi rendszerben tagsággal rendelkező intézményektől kapott díj- és jutalékráfordítások részét, az 575/2013/EU rendelet 314. cikkének (5) bekezdésével összhangban, le kell vonni.</w:t>
            </w:r>
          </w:p>
        </w:tc>
      </w:tr>
      <w:tr w:rsidR="003826D3" w:rsidRPr="004B77DC"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4B77DC" w:rsidRDefault="003826D3" w:rsidP="003826D3">
            <w:pPr>
              <w:spacing w:before="60" w:after="120"/>
              <w:jc w:val="both"/>
              <w:rPr>
                <w:rFonts w:ascii="Times New Roman" w:eastAsia="Times New Roman" w:hAnsi="Times New Roman" w:cs="Times New Roman"/>
                <w:b/>
                <w:sz w:val="24"/>
              </w:rPr>
            </w:pPr>
            <w:r w:rsidRPr="004B77DC">
              <w:rPr>
                <w:rFonts w:ascii="Times New Roman" w:hAnsi="Times New Roman"/>
                <w:b/>
                <w:sz w:val="24"/>
              </w:rPr>
              <w:t>Díj- és jutalékráfordítások</w:t>
            </w:r>
          </w:p>
          <w:p w14:paraId="241530E4" w14:textId="72E685E0" w:rsidR="003826D3" w:rsidRPr="004B77DC" w:rsidRDefault="009816D6"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Az EBH informatikai megoldásai V. melléklete 2. részének 281–284. pontja szerinti díj- és jutalékráfordítások, az 575/2013/EU rendelet 314. cikke (5) bekezdésének megfelelően kiszámítva.</w:t>
            </w:r>
          </w:p>
          <w:p w14:paraId="03E34B08" w14:textId="2D67624D" w:rsidR="00126683" w:rsidRPr="004B77DC" w:rsidRDefault="00126683"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Az 575/2013/EU rendelet 314. cikkének (9) bekezdése alapján kidolgozandó RTS 8. cikkében említett tevékenységek jegyzékén szereplő pénzügyi szolgáltatások nyújtásáért fizetett kiszervezési díjakat abban az esetben kell ebben a sorban jelenteni, ha azokat az alkalmazott számviteli keretrendszer szerint – az RTS 16. cikkével összhangban – igazgatási ráfordításként mutatják ki. A kiegészítő tevékenységekhez – például a pénzügyi szolgáltatás elvégzéséhez szükséges informatikai tevékenységekhez – kapcsolódó ráfordításokat is ebben a tételben kell feltüntetni.</w:t>
            </w:r>
          </w:p>
          <w:p w14:paraId="37B7C759" w14:textId="401F429B" w:rsidR="00A87543" w:rsidRPr="004B77DC" w:rsidRDefault="00A87543" w:rsidP="003826D3">
            <w:pPr>
              <w:spacing w:before="60" w:after="120"/>
              <w:jc w:val="both"/>
              <w:rPr>
                <w:rStyle w:val="InstructionsTabelleberschrift"/>
                <w:rFonts w:ascii="Times New Roman" w:eastAsia="Times New Roman" w:hAnsi="Times New Roman"/>
                <w:b w:val="0"/>
                <w:sz w:val="24"/>
              </w:rPr>
            </w:pPr>
            <w:r w:rsidRPr="004B77DC">
              <w:rPr>
                <w:rFonts w:ascii="Times New Roman" w:hAnsi="Times New Roman"/>
                <w:sz w:val="24"/>
              </w:rPr>
              <w:t>Az ugyanazon intézményvédelmi rendszerben tagsággal rendelkező intézmények részére teljesített díj- és jutalékráfordítások részét, az 575/2013/EU rendelet 314. cikkének (5) bekezdésével összhangban, le kell vonni.</w:t>
            </w:r>
          </w:p>
        </w:tc>
      </w:tr>
      <w:tr w:rsidR="003826D3" w:rsidRPr="004B77DC"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4B77DC" w:rsidRDefault="003826D3" w:rsidP="003826D3">
            <w:pPr>
              <w:spacing w:before="60" w:after="120"/>
              <w:jc w:val="both"/>
              <w:rPr>
                <w:rStyle w:val="InstructionsTabelleberschrift"/>
                <w:rFonts w:ascii="Times New Roman" w:eastAsia="Times New Roman" w:hAnsi="Times New Roman"/>
                <w:sz w:val="24"/>
                <w:u w:val="none"/>
              </w:rPr>
            </w:pPr>
            <w:r w:rsidRPr="004B77DC">
              <w:rPr>
                <w:rStyle w:val="InstructionsTabelleberschrift"/>
                <w:rFonts w:ascii="Times New Roman" w:hAnsi="Times New Roman"/>
                <w:sz w:val="24"/>
                <w:u w:val="none"/>
              </w:rPr>
              <w:t>Egyéb működési bevétel</w:t>
            </w:r>
          </w:p>
          <w:p w14:paraId="035A399D" w14:textId="7232F3EB" w:rsidR="00671F1C" w:rsidRPr="004B77DC" w:rsidRDefault="009816D6"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 xml:space="preserve">Egyéb működési bevétel, beleértve, az EBH informatikai megoldásai V. melléklete 2. részének 55. bekezdésével összhangban, a megszűnt tevékenységeknek nem minősülő, értékesítésre </w:t>
            </w:r>
            <w:proofErr w:type="spellStart"/>
            <w:r w:rsidRPr="004B77DC">
              <w:rPr>
                <w:rFonts w:ascii="Times New Roman" w:hAnsi="Times New Roman"/>
                <w:sz w:val="24"/>
              </w:rPr>
              <w:t>tartottá</w:t>
            </w:r>
            <w:proofErr w:type="spellEnd"/>
            <w:r w:rsidRPr="004B77DC">
              <w:rPr>
                <w:rFonts w:ascii="Times New Roman" w:hAnsi="Times New Roman"/>
                <w:sz w:val="24"/>
              </w:rPr>
              <w:t xml:space="preserve"> minősített befektetett eszközökből és elidegenítési csoportokból származó nyereséget (veszteségek esetén az értékeket nullának kell tekinteni), valamint az EBH informatikai megoldásai V. melléklete 2. részének 314. és 316. bekezdésében említett egyéb működési bevételt, kivéve az operatív lízingből származó bevételt és a 451/2021/EU rendelet 314. cikkének (7) bekezdésében meghatározott bármely tételt.</w:t>
            </w:r>
          </w:p>
          <w:p w14:paraId="39451B35" w14:textId="17278A47" w:rsidR="00A471E8" w:rsidRPr="004B77DC" w:rsidRDefault="007863F3"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Az igazgatási ráfordítások megtérülése nem tekinthető összhangban állónak az 575/2013/EU rendelet 314. cikke (9) bekezdése alapján kidolgozandó RTS-</w:t>
            </w:r>
            <w:proofErr w:type="spellStart"/>
            <w:r w:rsidRPr="004B77DC">
              <w:rPr>
                <w:rFonts w:ascii="Times New Roman" w:hAnsi="Times New Roman"/>
                <w:sz w:val="24"/>
              </w:rPr>
              <w:t>nek</w:t>
            </w:r>
            <w:proofErr w:type="spellEnd"/>
            <w:r w:rsidRPr="004B77DC">
              <w:rPr>
                <w:rFonts w:ascii="Times New Roman" w:hAnsi="Times New Roman"/>
                <w:sz w:val="24"/>
              </w:rPr>
              <w:t xml:space="preserve"> az üzleti mutató komponenseiről szóló 5. cikkével.</w:t>
            </w:r>
          </w:p>
          <w:p w14:paraId="0B35E56E" w14:textId="27C4774F" w:rsidR="00695D35" w:rsidRPr="004B77DC" w:rsidRDefault="00695D35" w:rsidP="003826D3">
            <w:pPr>
              <w:spacing w:before="60" w:after="120"/>
              <w:jc w:val="both"/>
              <w:rPr>
                <w:rFonts w:ascii="Times New Roman" w:eastAsia="Times New Roman" w:hAnsi="Times New Roman" w:cs="Times New Roman"/>
                <w:sz w:val="24"/>
              </w:rPr>
            </w:pPr>
            <w:r w:rsidRPr="004B77DC">
              <w:rPr>
                <w:rFonts w:ascii="Times New Roman" w:hAnsi="Times New Roman"/>
                <w:sz w:val="24"/>
              </w:rPr>
              <w:lastRenderedPageBreak/>
              <w:t>Az ugyanazon intézményvédelmi rendszerhez tartozó intézményektől kapott egyéb működési bevétel összegét, az 575/2013/EU rendelet 314. cikkének (5) bekezdésével összhangban, nem kell feltüntetni.</w:t>
            </w:r>
          </w:p>
          <w:p w14:paraId="685D1BC1" w14:textId="04DD0137" w:rsidR="00695D35" w:rsidRPr="004B77DC" w:rsidRDefault="00695D35" w:rsidP="003826D3">
            <w:pPr>
              <w:spacing w:before="60" w:after="120"/>
              <w:jc w:val="both"/>
              <w:rPr>
                <w:rStyle w:val="InstructionsTabelleberschrift"/>
                <w:rFonts w:ascii="Times New Roman" w:eastAsia="Times New Roman" w:hAnsi="Times New Roman"/>
                <w:b w:val="0"/>
                <w:bCs w:val="0"/>
                <w:sz w:val="24"/>
                <w:u w:val="none"/>
              </w:rPr>
            </w:pPr>
            <w:r w:rsidRPr="004B77DC">
              <w:rPr>
                <w:rFonts w:ascii="Times New Roman" w:hAnsi="Times New Roman"/>
                <w:sz w:val="24"/>
              </w:rPr>
              <w:t>Az e sorban feltüntetett összeget az 575/2013/EU rendelet 314. cikkének (5) bekezdésével összhangban kell kiszámítani.</w:t>
            </w:r>
          </w:p>
        </w:tc>
      </w:tr>
      <w:tr w:rsidR="003826D3" w:rsidRPr="004B77DC"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4B77DC" w:rsidRDefault="003826D3" w:rsidP="003826D3">
            <w:pPr>
              <w:spacing w:before="60" w:after="120"/>
              <w:jc w:val="both"/>
              <w:rPr>
                <w:rStyle w:val="InstructionsTabelleberschrift"/>
                <w:rFonts w:ascii="Times New Roman" w:eastAsia="Times New Roman" w:hAnsi="Times New Roman"/>
                <w:sz w:val="24"/>
                <w:u w:val="none"/>
              </w:rPr>
            </w:pPr>
            <w:r w:rsidRPr="004B77DC">
              <w:rPr>
                <w:rStyle w:val="InstructionsTabelleberschrift"/>
                <w:rFonts w:ascii="Times New Roman" w:hAnsi="Times New Roman"/>
                <w:sz w:val="24"/>
                <w:u w:val="none"/>
              </w:rPr>
              <w:t>Egyéb működési ráfordítások</w:t>
            </w:r>
          </w:p>
          <w:p w14:paraId="13FCDFA5" w14:textId="269315A4" w:rsidR="00B722D0" w:rsidRPr="004B77DC" w:rsidRDefault="009816D6" w:rsidP="003826D3">
            <w:pPr>
              <w:spacing w:before="60" w:after="120"/>
              <w:jc w:val="both"/>
              <w:rPr>
                <w:rFonts w:ascii="Times New Roman" w:eastAsia="Times New Roman" w:hAnsi="Times New Roman" w:cs="Times New Roman"/>
                <w:sz w:val="24"/>
              </w:rPr>
            </w:pPr>
            <w:r w:rsidRPr="004B77DC">
              <w:rPr>
                <w:rFonts w:ascii="Times New Roman" w:hAnsi="Times New Roman"/>
                <w:sz w:val="24"/>
              </w:rPr>
              <w:t>Egyéb működési ráfordítások, beleértve a következőket:</w:t>
            </w:r>
          </w:p>
          <w:p w14:paraId="0E760CEE" w14:textId="74A56BE8" w:rsidR="00643568" w:rsidRPr="004B77DC" w:rsidRDefault="004D0A0E" w:rsidP="002A26E9">
            <w:pPr>
              <w:pStyle w:val="ListParagraph"/>
              <w:numPr>
                <w:ilvl w:val="0"/>
                <w:numId w:val="9"/>
              </w:numPr>
              <w:spacing w:before="60" w:after="120"/>
              <w:jc w:val="both"/>
              <w:rPr>
                <w:rFonts w:ascii="Times New Roman" w:eastAsia="Times New Roman" w:hAnsi="Times New Roman"/>
                <w:sz w:val="24"/>
              </w:rPr>
            </w:pPr>
            <w:r w:rsidRPr="004B77DC">
              <w:rPr>
                <w:rFonts w:ascii="Times New Roman" w:hAnsi="Times New Roman"/>
                <w:sz w:val="24"/>
              </w:rPr>
              <w:t xml:space="preserve">A megszűnt tevékenységeknek nem minősülő, értékesítésre </w:t>
            </w:r>
            <w:proofErr w:type="spellStart"/>
            <w:r w:rsidRPr="004B77DC">
              <w:rPr>
                <w:rFonts w:ascii="Times New Roman" w:hAnsi="Times New Roman"/>
                <w:sz w:val="24"/>
              </w:rPr>
              <w:t>tartottá</w:t>
            </w:r>
            <w:proofErr w:type="spellEnd"/>
            <w:r w:rsidRPr="004B77DC">
              <w:rPr>
                <w:rFonts w:ascii="Times New Roman" w:hAnsi="Times New Roman"/>
                <w:sz w:val="24"/>
              </w:rPr>
              <w:t xml:space="preserve"> minősített befektetett eszközökből és elidegenítési csoportokból eredő veszteségek: a megszűnt tevékenységeknek nem minősülő, értékesítésre </w:t>
            </w:r>
            <w:proofErr w:type="spellStart"/>
            <w:r w:rsidRPr="004B77DC">
              <w:rPr>
                <w:rFonts w:ascii="Times New Roman" w:hAnsi="Times New Roman"/>
                <w:sz w:val="24"/>
              </w:rPr>
              <w:t>tartottá</w:t>
            </w:r>
            <w:proofErr w:type="spellEnd"/>
            <w:r w:rsidRPr="004B77DC">
              <w:rPr>
                <w:rFonts w:ascii="Times New Roman" w:hAnsi="Times New Roman"/>
                <w:sz w:val="24"/>
              </w:rPr>
              <w:t xml:space="preserve"> minősített befektetett eszközökből és elidegenítési csoportokból származó, nem működési kockázati események miatt bekövetkezett veszteségek, az EBH informatikai megoldásai V. melléklete 2. részének 55. bekezdésével összhangban. Csak a veszteségeket kell jelenteni; nyereség esetén e sor alkalmazásában az értéket nullának kell tekinteni.</w:t>
            </w:r>
          </w:p>
          <w:p w14:paraId="0334035E" w14:textId="19D6E763" w:rsidR="00EE7608" w:rsidRPr="004B77DC" w:rsidRDefault="004D0A0E" w:rsidP="00EE7608">
            <w:pPr>
              <w:pStyle w:val="ListParagraph"/>
              <w:numPr>
                <w:ilvl w:val="0"/>
                <w:numId w:val="9"/>
              </w:numPr>
              <w:spacing w:before="60" w:after="120"/>
              <w:jc w:val="both"/>
              <w:rPr>
                <w:rFonts w:ascii="Times New Roman" w:eastAsia="Times New Roman" w:hAnsi="Times New Roman"/>
                <w:sz w:val="24"/>
              </w:rPr>
            </w:pPr>
            <w:r w:rsidRPr="004B77DC">
              <w:rPr>
                <w:rFonts w:ascii="Times New Roman" w:hAnsi="Times New Roman"/>
                <w:sz w:val="24"/>
              </w:rPr>
              <w:t>A működési kockázati eseményekből eredő összes veszteség, ráfordítás, céltartalék és egyéb pénzügyi hatás: az EBH informatikai megoldásainak I. mellékletében szereplő C.16.03. sablon 0080. sorában megadott, a működési kockázati eseményekhez kapcsolódó összes veszteség, kiadás, céltartalék és egyéb pénzügyi hatás összege.</w:t>
            </w:r>
          </w:p>
          <w:p w14:paraId="2C93E8CD" w14:textId="64776E12" w:rsidR="004D0A0E" w:rsidRPr="004B77DC" w:rsidRDefault="00A37C45" w:rsidP="00EE7608">
            <w:pPr>
              <w:pStyle w:val="ListParagraph"/>
              <w:numPr>
                <w:ilvl w:val="0"/>
                <w:numId w:val="9"/>
              </w:numPr>
              <w:spacing w:before="60" w:after="120"/>
              <w:jc w:val="both"/>
              <w:rPr>
                <w:rFonts w:ascii="Times New Roman" w:eastAsia="Times New Roman" w:hAnsi="Times New Roman"/>
                <w:sz w:val="24"/>
              </w:rPr>
            </w:pPr>
            <w:r w:rsidRPr="004B77DC">
              <w:rPr>
                <w:rFonts w:ascii="Times New Roman" w:hAnsi="Times New Roman"/>
                <w:sz w:val="24"/>
              </w:rPr>
              <w:t>Az EBH informatikai megoldásai V. melléklete 2. részének 314. és 316. bekezdésével összhangban a működési kockázati eseményektől eltérő ok miatt bekövetkezett egyéb működési ráfordítások, amelyek a következőket foglalják magukban:</w:t>
            </w:r>
          </w:p>
          <w:p w14:paraId="01D56412" w14:textId="77777777" w:rsidR="004A5BBA" w:rsidRPr="004B77DC" w:rsidRDefault="004A5BBA" w:rsidP="004A5BBA">
            <w:pPr>
              <w:pStyle w:val="ListParagraph"/>
              <w:numPr>
                <w:ilvl w:val="1"/>
                <w:numId w:val="10"/>
              </w:numPr>
              <w:spacing w:before="60" w:after="120"/>
              <w:jc w:val="both"/>
              <w:rPr>
                <w:rFonts w:ascii="Times New Roman" w:eastAsia="Times New Roman" w:hAnsi="Times New Roman"/>
                <w:sz w:val="24"/>
              </w:rPr>
            </w:pPr>
            <w:r w:rsidRPr="004B77DC">
              <w:rPr>
                <w:rFonts w:ascii="Times New Roman" w:hAnsi="Times New Roman"/>
                <w:sz w:val="24"/>
              </w:rPr>
              <w:t>a valósérték-modellel értékelt tárgyi eszközök valós értékében bekövetkezett változások miatti ráfordítások, kivéve a bérleti díjat generáló és a valósérték-modell alkalmazásával értékelt befektetési célú ingatlanok valós értékében bekövetkezett változások, illetve az operatívlízing-eszközök miatti ráfordításokat;</w:t>
            </w:r>
          </w:p>
          <w:p w14:paraId="726CB5AB" w14:textId="426E3DFA" w:rsidR="004A5BBA" w:rsidRPr="004B77DC"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4B77DC" w:rsidRDefault="004A5BBA" w:rsidP="004A5BBA">
            <w:pPr>
              <w:pStyle w:val="ListParagraph"/>
              <w:numPr>
                <w:ilvl w:val="1"/>
                <w:numId w:val="10"/>
              </w:numPr>
              <w:spacing w:before="60" w:after="120"/>
              <w:jc w:val="both"/>
              <w:rPr>
                <w:rFonts w:ascii="Times New Roman" w:eastAsia="Times New Roman" w:hAnsi="Times New Roman"/>
                <w:sz w:val="24"/>
              </w:rPr>
            </w:pPr>
            <w:r w:rsidRPr="004B77DC">
              <w:rPr>
                <w:rFonts w:ascii="Times New Roman" w:hAnsi="Times New Roman"/>
                <w:sz w:val="24"/>
              </w:rPr>
              <w:t>az egyéb működési ráfordítások fennmaradó része (Egyéb működési ráfordítások) az EBH informatikai megoldásai V. melléklete 2. részének 314. és 316. bekezdésével összhangban, ha azok nem kapcsolódnak lízingelt eszközökhöz.</w:t>
            </w:r>
          </w:p>
          <w:p w14:paraId="6CDC5FBE" w14:textId="54C68FB7" w:rsidR="004A3C86" w:rsidRPr="004B77DC" w:rsidRDefault="004A3C86" w:rsidP="00EE7608">
            <w:pPr>
              <w:spacing w:before="6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Az ugyanazon intézményvédelmi rendszerben tagsággal rendelkező intézményeknek fizetett egyéb működési költségek összegét figyelmen kívül kell hagyni, az 575/2013/EU rendelet 314. cikkének (5) bekezdésével összhangban.</w:t>
            </w:r>
          </w:p>
          <w:p w14:paraId="6F1C30F0" w14:textId="3B05E985" w:rsidR="003826D3" w:rsidRPr="004B77DC" w:rsidRDefault="00DE3384" w:rsidP="003826D3">
            <w:pPr>
              <w:spacing w:before="60" w:after="120"/>
              <w:jc w:val="both"/>
              <w:rPr>
                <w:rStyle w:val="InstructionsTabelleberschrift"/>
                <w:rFonts w:ascii="Times New Roman" w:eastAsia="Times New Roman" w:hAnsi="Times New Roman"/>
                <w:sz w:val="24"/>
              </w:rPr>
            </w:pPr>
            <w:r w:rsidRPr="004B77DC">
              <w:rPr>
                <w:rFonts w:ascii="Times New Roman" w:hAnsi="Times New Roman"/>
                <w:sz w:val="24"/>
              </w:rPr>
              <w:t>Az e sorban feltüntetett összeget az 575/2013/EU rendelet 314. cikkének (5) bekezdésével összhangban kell kiszámítani.</w:t>
            </w:r>
          </w:p>
        </w:tc>
      </w:tr>
      <w:tr w:rsidR="003826D3" w:rsidRPr="004B77DC"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4B77DC" w:rsidRDefault="003826D3" w:rsidP="000879A1">
            <w:pPr>
              <w:pageBreakBefore/>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Pénzügyi komponens (FC)</w:t>
            </w:r>
          </w:p>
          <w:p w14:paraId="1C2CD9AE" w14:textId="16B8F7FC" w:rsidR="003826D3" w:rsidRPr="004B77DC" w:rsidRDefault="00DE3384" w:rsidP="003826D3">
            <w:pPr>
              <w:spacing w:before="6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 xml:space="preserve">A pénzügyi komponenst (FC-t) az 575/2013/EU rendelet 314. cikke (6) bekezdésének megfelelően kell kiszámítani. </w:t>
            </w:r>
            <w:r w:rsidRPr="004B77DC">
              <w:rPr>
                <w:rFonts w:ascii="Times New Roman" w:hAnsi="Times New Roman"/>
                <w:sz w:val="24"/>
              </w:rPr>
              <w:t>Ha egy intézményre az 575/2013/EU rendelet 314. cikkének (4) bekezdésében említett eltérés vonatkozik, az intézmény nem szerepeltetheti sem a lakossági banki, sem a kereskedelmi banki üzletágak számadatait.</w:t>
            </w:r>
          </w:p>
        </w:tc>
      </w:tr>
      <w:tr w:rsidR="003826D3" w:rsidRPr="004B77DC"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Kereskedési könyvre (TB) alkalmazandó nettó nyereség vagy (-) veszteség</w:t>
            </w:r>
          </w:p>
          <w:p w14:paraId="4E177CA3" w14:textId="4C472892" w:rsidR="003826D3" w:rsidRPr="004B77DC" w:rsidRDefault="003826D3" w:rsidP="003826D3">
            <w:pPr>
              <w:spacing w:before="60" w:after="120"/>
              <w:jc w:val="both"/>
              <w:rPr>
                <w:rStyle w:val="InstructionsTabelleberschrift"/>
                <w:rFonts w:ascii="Times New Roman" w:hAnsi="Times New Roman"/>
                <w:b w:val="0"/>
                <w:bCs w:val="0"/>
                <w:sz w:val="24"/>
                <w:u w:val="none"/>
              </w:rPr>
            </w:pPr>
            <w:r w:rsidRPr="004B77DC">
              <w:rPr>
                <w:rStyle w:val="InstructionsTabelleberschrift"/>
                <w:rFonts w:ascii="Times New Roman" w:hAnsi="Times New Roman"/>
                <w:b w:val="0"/>
                <w:sz w:val="24"/>
                <w:u w:val="none"/>
              </w:rPr>
              <w:t>A kereskedési könyvre alkalmazandó nettó nyereséget vagy veszteséget a következők összegeként kell kiszámítani:</w:t>
            </w:r>
          </w:p>
          <w:p w14:paraId="6324889B" w14:textId="380EDA28" w:rsidR="008A379C" w:rsidRPr="004B77DC" w:rsidRDefault="008A379C" w:rsidP="00232265">
            <w:pPr>
              <w:pStyle w:val="Style1"/>
              <w:rPr>
                <w:rStyle w:val="InstructionsTabelleberschrift"/>
                <w:rFonts w:ascii="Times New Roman" w:hAnsi="Times New Roman"/>
                <w:b w:val="0"/>
                <w:bCs w:val="0"/>
                <w:sz w:val="24"/>
                <w:u w:val="none"/>
              </w:rPr>
            </w:pPr>
            <w:r w:rsidRPr="004B77DC">
              <w:rPr>
                <w:u w:val="single"/>
              </w:rPr>
              <w:t>Kereskedési céllal tartott és kereskedési célú pénzügyi eszközökből és kötelezettségekből származó nyereség vagy (-) veszteség nettó értéke</w:t>
            </w:r>
            <w:r w:rsidRPr="004B77DC">
              <w:t>: a kereskedési céllal tartott pénzügyi eszközökből és kötelezettségekből származó nyereség vagy (-) veszteség az EBH informatikai megoldásai V. melléklete 2. részének 43. és 46. bekezdésével összhangban, vagy a kereskedési célú pénzügyi eszközökből és kötelezettségekből származó nyereség vagy (-) veszteség a Tanács 86/635/EGK irányelv („banki számviteli irányelv” vagy „BAD”) 27. cikke szerinti vertikális tagolás (6) bekezdésének megfelelően;</w:t>
            </w:r>
          </w:p>
          <w:p w14:paraId="0B998657" w14:textId="654F8692" w:rsidR="008A379C" w:rsidRPr="004B77DC" w:rsidRDefault="008A379C" w:rsidP="00232265">
            <w:pPr>
              <w:pStyle w:val="Style1"/>
              <w:rPr>
                <w:rStyle w:val="InstructionsTabelleberschrift"/>
                <w:rFonts w:ascii="Times New Roman" w:hAnsi="Times New Roman"/>
                <w:b w:val="0"/>
                <w:bCs w:val="0"/>
                <w:sz w:val="24"/>
                <w:u w:val="none"/>
              </w:rPr>
            </w:pPr>
            <w:r w:rsidRPr="004B77DC">
              <w:t>A fedezeti elszámolásból eredő nyereség vagy (-) veszteség nettó összege: a fedezeti elszámolásból eredő nyereség vagy (-) veszteség nettó összege a kereskedési könyvi komponens alatt szerepeltetve, kizárólag olyan kivételes körülmények között, amikor az EBH informatikai megoldásai V. melléklete 2. részének 47.bekezdésével vagy a számviteli irányelv 8. cikke (1) bekezdésének a) pontjával, (6) és (8) bekezdésével összhangban kiszámított fedezeti elszámolást kereskedési céllal tartott pénzügyi eszközök és kötelezettségek vagy kereskedési célú pénzügyi eszközök és kötelezettségek fedezésére használják; és</w:t>
            </w:r>
          </w:p>
          <w:p w14:paraId="1BC37DE4" w14:textId="36EA6A27" w:rsidR="008A379C" w:rsidRPr="004B77DC" w:rsidRDefault="008A379C" w:rsidP="00232265">
            <w:pPr>
              <w:pStyle w:val="Style1"/>
              <w:rPr>
                <w:rStyle w:val="InstructionsTabelleberschrift"/>
                <w:rFonts w:ascii="Times New Roman" w:hAnsi="Times New Roman"/>
                <w:b w:val="0"/>
                <w:bCs w:val="0"/>
                <w:sz w:val="24"/>
                <w:u w:val="none"/>
              </w:rPr>
            </w:pPr>
            <w:r w:rsidRPr="004B77DC">
              <w:t>A kereskedési könyvhöz kapcsolódó árfolyam-különbözet [nyereség vagy (-) veszteség] nettó értéke: árfolyam-különbözet [nyereség vagy (-) veszteség] nettó értéke, kizárólag akkor, ha az IAS 21. számú standardjának 28. bekezdése, 52. bekezdése a) pontjának vagy a BAD 39. cikkének megfelelően kiszámított ilyen különbözetek kereskedési céllal tartott pénzügyi eszközökből és kötelezettségekből vagy kereskedési célú pénzügyi eszközökből és kötelezettségekből származnak.</w:t>
            </w:r>
          </w:p>
          <w:p w14:paraId="761552C0" w14:textId="5BF82331" w:rsidR="001E5563" w:rsidRPr="004B77DC" w:rsidRDefault="001E5563" w:rsidP="00C65626">
            <w:pPr>
              <w:pStyle w:val="paragraph"/>
              <w:textAlignment w:val="baseline"/>
              <w:rPr>
                <w:rStyle w:val="InstructionsTabelleberschrift"/>
                <w:rFonts w:ascii="Segoe UI" w:hAnsi="Segoe UI" w:cs="Segoe UI"/>
              </w:rPr>
            </w:pPr>
            <w:r w:rsidRPr="004B77DC">
              <w:t xml:space="preserve">A közzéteendő értékek a 575/2013/EU rendelet 314. cikke (6) bekezdésének megfelelően az utolsó három pénzügyi évre vonatkozóan a kereskedési könyv és a banki könyv tételeinek azonosításához a számvitelihatár- vagy a </w:t>
            </w:r>
            <w:proofErr w:type="spellStart"/>
            <w:r w:rsidRPr="004B77DC">
              <w:t>prudenciálishatár</w:t>
            </w:r>
            <w:proofErr w:type="spellEnd"/>
            <w:r w:rsidRPr="004B77DC">
              <w:t>-módszer (PBA) alkalmazásával meghatározott számviteli értékeket tükrözik.</w:t>
            </w:r>
          </w:p>
        </w:tc>
      </w:tr>
      <w:tr w:rsidR="003826D3" w:rsidRPr="004B77DC"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 banki könyvre (BB) alkalmazandó nettó nyereség vagy (-) veszteség</w:t>
            </w:r>
          </w:p>
          <w:p w14:paraId="16F13570" w14:textId="0B537F1A" w:rsidR="003826D3" w:rsidRPr="004B77DC" w:rsidRDefault="003826D3" w:rsidP="003826D3">
            <w:pPr>
              <w:spacing w:before="6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A banki könyvre alkalmazandó nettó nyereséget vagy veszteséget a következők összegeként kell kiszámítani:</w:t>
            </w:r>
          </w:p>
          <w:p w14:paraId="4816B36A" w14:textId="59F72F36" w:rsidR="008F0781" w:rsidRPr="004B77DC" w:rsidRDefault="008F0781" w:rsidP="00232265">
            <w:pPr>
              <w:pStyle w:val="Style1"/>
            </w:pPr>
            <w:r w:rsidRPr="004B77DC">
              <w:rPr>
                <w:u w:val="single"/>
              </w:rPr>
              <w:lastRenderedPageBreak/>
              <w:t>A nyereség vagy (-) veszteség a nem eredményben elszámolt, valós értéken mért pénzügyi eszközök és kötelezettségek kimutatásból való kivezetésekor, nettó értéken</w:t>
            </w:r>
            <w:r w:rsidRPr="004B77DC">
              <w:t>: a nyereség vagy (-) veszteség a nem eredményben elszámolt, valós értéken mért pénzügyi eszközök és kötelezettségek kimutatásból való kivezetésekor, nettó értéken az EBH informatikai megoldásai V. melléklete 2. részének 45. pontja vagy a BAD 27. cikke szerinti vertikális elrendezés (6) bekezdésének megfelelően;</w:t>
            </w:r>
          </w:p>
          <w:p w14:paraId="29EDCF43" w14:textId="7ADB0AAC" w:rsidR="008F0781" w:rsidRPr="004B77DC" w:rsidRDefault="008F0781" w:rsidP="00232265">
            <w:pPr>
              <w:pStyle w:val="Style1"/>
            </w:pPr>
            <w:r w:rsidRPr="004B77DC">
              <w:rPr>
                <w:u w:val="single"/>
              </w:rPr>
              <w:t>Nem kereskedési célú pénzügyi eszközök nyeresége vagy (-) vesztesége, kötelezően valós értéken elszámolva az eredményben, nettó értéken</w:t>
            </w:r>
            <w:r w:rsidRPr="004B77DC">
              <w:t>: a nem kereskedési célú pénzügyi eszközök nyereségét vagy (-) veszteségét, amelyeket kötelezően valós értéken kell elszámolni az eredményben, nettó értékben kell jelenteni az EBH informatikai megoldásai V. melléklete 2. része 46. pontjának megfelelően;</w:t>
            </w:r>
          </w:p>
          <w:p w14:paraId="23350A71" w14:textId="40356371" w:rsidR="008F0781" w:rsidRPr="004B77DC" w:rsidRDefault="008F0781" w:rsidP="00232265">
            <w:pPr>
              <w:pStyle w:val="Style1"/>
            </w:pPr>
            <w:r w:rsidRPr="004B77DC">
              <w:t>az eredményben valós értéken történő elszámolásra megjelölt pénzügyi eszközök és kötelezettségek nyeresége vagy (–) vesztesége, nettó érték:</w:t>
            </w:r>
            <w:r w:rsidRPr="004B77DC">
              <w:br/>
              <w:t>az EBH informatikai megoldásai V. melléklete 2. részének 44. pontja szerint az eredményben valós értéken történő elszámolásra megjelölt pénzügyi eszközök és kötelezettségek nyereségei vagy (–) veszteségei, nettó érték;</w:t>
            </w:r>
          </w:p>
          <w:p w14:paraId="44DE675E" w14:textId="5B34C2BC" w:rsidR="008F0781" w:rsidRPr="004B77DC" w:rsidRDefault="008F0781" w:rsidP="00232265">
            <w:pPr>
              <w:pStyle w:val="Style1"/>
            </w:pPr>
            <w:r w:rsidRPr="004B77DC">
              <w:rPr>
                <w:u w:val="single"/>
              </w:rPr>
              <w:t>A banki könyvhöz kapcsolódó fedezeti elszámolásból származó nettó nyereség vagy (-) veszteség</w:t>
            </w:r>
            <w:r w:rsidRPr="004B77DC">
              <w:t>: a fedezeti elszámolásból származó nettó nyereség vagy (-) veszteség, az EBH informatikai megoldásai V. melléklete 2. részének 47. bekezdésével vagy a számviteli irányelv 8. cikke (1) bekezdésének a) pontjával, (6) és (8) bekezdésével összhangban, amennyiben ezek a nyereségek vagy veszteségek a banki könyvben tartott pénzügyi eszközökből és kötelezettségekből származnak; és</w:t>
            </w:r>
          </w:p>
          <w:p w14:paraId="23306495" w14:textId="6A259674" w:rsidR="008F0781" w:rsidRPr="004B77DC" w:rsidRDefault="008F0781" w:rsidP="00232265">
            <w:pPr>
              <w:pStyle w:val="Style1"/>
            </w:pPr>
            <w:r w:rsidRPr="004B77DC">
              <w:rPr>
                <w:u w:val="single"/>
              </w:rPr>
              <w:t>Árfolyam-különbözetek [nyereség vagy (-) veszteség], nettó értéken, a banki könyvhöz kapcsolódóan</w:t>
            </w:r>
            <w:r w:rsidRPr="004B77DC">
              <w:t>: árfolyam-különbözetek [nyereség vagy (-) veszteség], nettó értéken, az IAS 21. számú standardja 28. bekezdése és 52. bekezdésének a) pontja vagy a BAD 39. cikke szerint, amennyiben ezek a különbözetek a banki könyvben tartott pénzügyi eszközökből és kötelezettségekből származnak.</w:t>
            </w:r>
          </w:p>
          <w:p w14:paraId="3E9BB5BF" w14:textId="1D3FC8A9" w:rsidR="00F26A2D" w:rsidRPr="004B77DC" w:rsidRDefault="001E5563" w:rsidP="00F26A2D">
            <w:pPr>
              <w:spacing w:before="60" w:after="120"/>
              <w:jc w:val="both"/>
              <w:rPr>
                <w:rStyle w:val="InstructionsTabelleberschrift"/>
                <w:rFonts w:asciiTheme="majorBidi" w:hAnsiTheme="majorBidi" w:cstheme="majorBidi"/>
                <w:sz w:val="24"/>
                <w:u w:val="none"/>
              </w:rPr>
            </w:pPr>
            <w:r w:rsidRPr="004B77DC">
              <w:rPr>
                <w:rFonts w:asciiTheme="majorBidi" w:hAnsiTheme="majorBidi"/>
                <w:sz w:val="24"/>
              </w:rPr>
              <w:t xml:space="preserve">A közzéteendő értékek a 575/2013/EU rendelet 314. cikke (6) bekezdésének megfelelően az utolsó három pénzügyi évre vonatkozóan a kereskedési könyv és a banki könyv tételeinek azonosításához a számvitelihatár- vagy a </w:t>
            </w:r>
            <w:proofErr w:type="spellStart"/>
            <w:r w:rsidRPr="004B77DC">
              <w:rPr>
                <w:rFonts w:asciiTheme="majorBidi" w:hAnsiTheme="majorBidi"/>
                <w:sz w:val="24"/>
              </w:rPr>
              <w:t>prudenciálishatár</w:t>
            </w:r>
            <w:proofErr w:type="spellEnd"/>
            <w:r w:rsidRPr="004B77DC">
              <w:rPr>
                <w:rFonts w:asciiTheme="majorBidi" w:hAnsiTheme="majorBidi"/>
                <w:sz w:val="24"/>
              </w:rPr>
              <w:t>-módszer (PBA) alkalmazásával meghatározott számviteli értékeket tükrözik.</w:t>
            </w:r>
          </w:p>
        </w:tc>
      </w:tr>
      <w:tr w:rsidR="003826D3" w:rsidRPr="004B77DC"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4B77DC" w:rsidRDefault="008C3E6A"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 TB-/BB-határ meghatározásához alkalmazott módszer (PBA- vagy számvitelihatár-módszer)</w:t>
            </w:r>
          </w:p>
          <w:p w14:paraId="00A81A34" w14:textId="0A7D6D1A" w:rsidR="003826D3" w:rsidRPr="004B77DC" w:rsidRDefault="003826D3" w:rsidP="003826D3">
            <w:pPr>
              <w:spacing w:before="60" w:after="120"/>
              <w:jc w:val="both"/>
              <w:rPr>
                <w:rStyle w:val="InstructionsTabelleberschrift"/>
                <w:rFonts w:ascii="Times New Roman" w:eastAsia="Times New Roman" w:hAnsi="Times New Roman"/>
                <w:b w:val="0"/>
                <w:bCs w:val="0"/>
                <w:sz w:val="24"/>
                <w:u w:val="none"/>
              </w:rPr>
            </w:pPr>
            <w:r w:rsidRPr="004B77DC">
              <w:rPr>
                <w:rStyle w:val="InstructionsTabelleberschrift"/>
                <w:rFonts w:ascii="Times New Roman" w:hAnsi="Times New Roman"/>
                <w:b w:val="0"/>
                <w:sz w:val="24"/>
                <w:u w:val="none"/>
              </w:rPr>
              <w:t xml:space="preserve">Az FC meghatározásához a referencia-időpontban alkalmazott módszer: számviteli vagy </w:t>
            </w:r>
            <w:proofErr w:type="spellStart"/>
            <w:r w:rsidRPr="004B77DC">
              <w:rPr>
                <w:rStyle w:val="InstructionsTabelleberschrift"/>
                <w:rFonts w:ascii="Times New Roman" w:hAnsi="Times New Roman"/>
                <w:b w:val="0"/>
                <w:sz w:val="24"/>
                <w:u w:val="none"/>
              </w:rPr>
              <w:t>prudenciális</w:t>
            </w:r>
            <w:proofErr w:type="spellEnd"/>
            <w:r w:rsidRPr="004B77DC">
              <w:rPr>
                <w:rStyle w:val="InstructionsTabelleberschrift"/>
                <w:rFonts w:ascii="Times New Roman" w:hAnsi="Times New Roman"/>
                <w:b w:val="0"/>
                <w:sz w:val="24"/>
                <w:u w:val="none"/>
              </w:rPr>
              <w:t xml:space="preserve"> minősítés (PBA). A módszert következetesen kell alkalmazni az utolsó három pénzügyi év mindegyikére vonatkozóan közzétett összegekre.</w:t>
            </w:r>
          </w:p>
        </w:tc>
      </w:tr>
      <w:tr w:rsidR="003826D3" w:rsidRPr="004B77DC"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4B77DC" w:rsidRDefault="003826D3" w:rsidP="000879A1">
            <w:pPr>
              <w:pageBreakBefore/>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Üzleti mutató (BI)</w:t>
            </w:r>
          </w:p>
          <w:p w14:paraId="35C99FE1" w14:textId="0AFECB29" w:rsidR="003826D3" w:rsidRPr="004B77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B77DC">
              <w:rPr>
                <w:rFonts w:asciiTheme="majorBidi" w:hAnsiTheme="majorBidi"/>
                <w:sz w:val="24"/>
              </w:rPr>
              <w:t>Az 575/2013/EU rendelet 314. cikke (1) bekezdésének megfelelően számított BI, amely a következő három komponens összegéből áll: ILDC, SC és FC.</w:t>
            </w:r>
          </w:p>
        </w:tc>
      </w:tr>
      <w:tr w:rsidR="003826D3" w:rsidRPr="004B77DC"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4B77DC" w:rsidRDefault="003826D3" w:rsidP="003826D3">
            <w:pPr>
              <w:spacing w:before="60" w:after="120"/>
              <w:jc w:val="both"/>
              <w:rPr>
                <w:rStyle w:val="InstructionsTabelleberschrift"/>
                <w:rFonts w:ascii="Times New Roman" w:eastAsia="Times New Roman" w:hAnsi="Times New Roman"/>
                <w:sz w:val="24"/>
                <w:u w:val="none"/>
              </w:rPr>
            </w:pPr>
            <w:r w:rsidRPr="004B77DC">
              <w:rPr>
                <w:rStyle w:val="InstructionsTabelleberschrift"/>
                <w:rFonts w:ascii="Times New Roman" w:hAnsi="Times New Roman"/>
                <w:sz w:val="24"/>
                <w:u w:val="none"/>
              </w:rPr>
              <w:t>Üzletimutató-komponens (BIC)</w:t>
            </w:r>
          </w:p>
          <w:p w14:paraId="4AC6BDA5" w14:textId="5507A684" w:rsidR="003826D3" w:rsidRPr="004B77DC" w:rsidRDefault="003826D3" w:rsidP="003826D3">
            <w:pPr>
              <w:spacing w:before="60" w:after="120"/>
              <w:jc w:val="both"/>
              <w:rPr>
                <w:rStyle w:val="InstructionsTabelleberschrift"/>
                <w:rFonts w:ascii="Times New Roman" w:eastAsia="Times New Roman" w:hAnsi="Times New Roman"/>
                <w:b w:val="0"/>
                <w:bCs w:val="0"/>
                <w:sz w:val="24"/>
                <w:u w:val="none"/>
              </w:rPr>
            </w:pPr>
            <w:r w:rsidRPr="004B77DC">
              <w:rPr>
                <w:rFonts w:ascii="Times New Roman" w:hAnsi="Times New Roman"/>
                <w:sz w:val="24"/>
              </w:rPr>
              <w:t xml:space="preserve">Az üzletimutató-komponenst az 575/2013/EU rendelet 313. cikkével összhangban kell kiszámítani. </w:t>
            </w:r>
          </w:p>
        </w:tc>
      </w:tr>
      <w:tr w:rsidR="003826D3" w:rsidRPr="004B77DC"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BI bruttó értéken, a kizárt tevékenységek nélkül</w:t>
            </w:r>
          </w:p>
          <w:p w14:paraId="4B01F051" w14:textId="678BE249" w:rsidR="003826D3" w:rsidRPr="004B77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B77DC">
              <w:rPr>
                <w:rFonts w:asciiTheme="majorBidi" w:hAnsiTheme="majorBidi"/>
                <w:sz w:val="24"/>
              </w:rPr>
              <w:t>A BI kizárt elidegenített tevékenységeket is magában foglaló összege a 575/2013/EU rendelet 315. cikke (2) bekezdésének megfelelően.</w:t>
            </w:r>
          </w:p>
        </w:tc>
      </w:tr>
      <w:tr w:rsidR="003826D3" w:rsidRPr="004B77DC"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 BI csökkenése a kizárt elidegenített tevékenységek miatt</w:t>
            </w:r>
          </w:p>
          <w:p w14:paraId="100A0132" w14:textId="636B5EF6" w:rsidR="003826D3" w:rsidRPr="004B77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B77DC">
              <w:rPr>
                <w:rFonts w:asciiTheme="majorBidi" w:hAnsiTheme="majorBidi"/>
                <w:sz w:val="24"/>
              </w:rPr>
              <w:t xml:space="preserve">A BI elidegenített tevékenységeket tartalmazó bruttó értéke (6a. sor) és a teljes BI különbsége (4. sor). </w:t>
            </w:r>
          </w:p>
        </w:tc>
      </w:tr>
      <w:tr w:rsidR="003826D3" w:rsidRPr="004B77DC"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4B77DC" w:rsidRDefault="003826D3" w:rsidP="003826D3">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4B77DC" w:rsidRDefault="003826D3" w:rsidP="003826D3">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Az egyesülések/felvásárlások hatása a BI-re</w:t>
            </w:r>
          </w:p>
          <w:p w14:paraId="68B0EB8C" w14:textId="39D74825" w:rsidR="003826D3" w:rsidRPr="004B77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B77DC">
              <w:rPr>
                <w:rFonts w:asciiTheme="majorBidi" w:hAnsiTheme="majorBidi"/>
                <w:sz w:val="24"/>
              </w:rPr>
              <w:t xml:space="preserve">A BI-ben szereplő összeg, amely a BI komponenseinek felel meg, és amely egyesített vagy </w:t>
            </w:r>
            <w:proofErr w:type="spellStart"/>
            <w:r w:rsidRPr="004B77DC">
              <w:rPr>
                <w:rFonts w:asciiTheme="majorBidi" w:hAnsiTheme="majorBidi"/>
                <w:sz w:val="24"/>
              </w:rPr>
              <w:t>felvásárolt</w:t>
            </w:r>
            <w:proofErr w:type="spellEnd"/>
            <w:r w:rsidRPr="004B77DC">
              <w:rPr>
                <w:rFonts w:asciiTheme="majorBidi" w:hAnsiTheme="majorBidi"/>
                <w:sz w:val="24"/>
              </w:rPr>
              <w:t xml:space="preserve"> gazdálkodó szervezetektől vagy tevékenységekből származik az 575/2013/EU rendelet 315. cikke (1) bekezdésének megfelelően.</w:t>
            </w:r>
          </w:p>
        </w:tc>
      </w:tr>
    </w:tbl>
    <w:p w14:paraId="2517003F" w14:textId="77777777" w:rsidR="00D740B8" w:rsidRPr="004B77DC"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4B77DC" w:rsidRDefault="00D740B8" w:rsidP="00D740B8">
      <w:pPr>
        <w:jc w:val="both"/>
        <w:rPr>
          <w:rFonts w:ascii="Times New Roman" w:hAnsi="Times New Roman" w:cs="Times New Roman"/>
          <w:bCs/>
          <w:sz w:val="24"/>
        </w:rPr>
      </w:pPr>
      <w:r w:rsidRPr="004B77DC">
        <w:rPr>
          <w:rFonts w:ascii="Times New Roman" w:hAnsi="Times New Roman"/>
          <w:b/>
          <w:sz w:val="24"/>
        </w:rPr>
        <w:t xml:space="preserve">EU OR3 sablon – Működési kockázatra vonatkozó szavatolótőke-követelmények és kockázatikitettség-értékek. </w:t>
      </w:r>
      <w:r w:rsidRPr="004B77DC">
        <w:rPr>
          <w:rFonts w:ascii="Times New Roman" w:hAnsi="Times New Roman"/>
          <w:sz w:val="24"/>
        </w:rPr>
        <w:t>Rögzített sablon</w:t>
      </w:r>
    </w:p>
    <w:p w14:paraId="5AB15A39" w14:textId="77777777" w:rsidR="00D740B8" w:rsidRPr="004B77DC" w:rsidRDefault="00D740B8" w:rsidP="00D740B8">
      <w:pPr>
        <w:ind w:left="360"/>
        <w:jc w:val="both"/>
        <w:rPr>
          <w:rFonts w:ascii="Times New Roman" w:hAnsi="Times New Roman" w:cs="Times New Roman"/>
          <w:bCs/>
          <w:sz w:val="24"/>
        </w:rPr>
      </w:pPr>
    </w:p>
    <w:p w14:paraId="60DF34D1" w14:textId="121F9A97" w:rsidR="00D740B8" w:rsidRPr="004B77DC" w:rsidRDefault="00D740B8" w:rsidP="00D740B8">
      <w:pPr>
        <w:numPr>
          <w:ilvl w:val="0"/>
          <w:numId w:val="1"/>
        </w:numPr>
        <w:jc w:val="both"/>
        <w:rPr>
          <w:rFonts w:ascii="Times New Roman" w:hAnsi="Times New Roman" w:cs="Times New Roman"/>
          <w:sz w:val="24"/>
        </w:rPr>
      </w:pPr>
      <w:r w:rsidRPr="004B77DC">
        <w:rPr>
          <w:rFonts w:ascii="Times New Roman" w:hAnsi="Times New Roman"/>
          <w:sz w:val="24"/>
        </w:rPr>
        <w:t>Az intézményeknek az EU OR3 sablonban szereplő információkat az 575/2013/EU rendelet 446. cikke (1) bekezdése b) pontjának alkalmazásában kell közzé tenniük. Ez a sablon a működési kockázat szavatolótőke-követelményének az 575/2013/EU rendelet 312–315. cikkével összhangban történő kiszámításáról nyújt információt.</w:t>
      </w:r>
    </w:p>
    <w:p w14:paraId="6DFA1648" w14:textId="77777777" w:rsidR="00D740B8" w:rsidRPr="004B77DC" w:rsidRDefault="00D740B8" w:rsidP="00D740B8">
      <w:pPr>
        <w:ind w:left="360"/>
        <w:jc w:val="both"/>
        <w:rPr>
          <w:rFonts w:ascii="Times New Roman" w:hAnsi="Times New Roman" w:cs="Times New Roman"/>
          <w:bCs/>
          <w:sz w:val="24"/>
        </w:rPr>
      </w:pPr>
    </w:p>
    <w:p w14:paraId="2E35B8A0" w14:textId="77777777" w:rsidR="00D740B8" w:rsidRPr="004B77DC"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B77DC"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4B77DC" w:rsidRDefault="00D740B8">
            <w:pPr>
              <w:autoSpaceDE w:val="0"/>
              <w:autoSpaceDN w:val="0"/>
              <w:adjustRightInd w:val="0"/>
              <w:rPr>
                <w:rFonts w:ascii="Times New Roman" w:hAnsi="Times New Roman" w:cs="Times New Roman"/>
                <w:b/>
                <w:sz w:val="24"/>
              </w:rPr>
            </w:pPr>
            <w:r w:rsidRPr="004B77DC">
              <w:rPr>
                <w:rFonts w:ascii="Times New Roman" w:hAnsi="Times New Roman"/>
                <w:b/>
                <w:sz w:val="24"/>
              </w:rPr>
              <w:t xml:space="preserve">Sor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4B77DC" w:rsidRDefault="00D740B8">
            <w:pPr>
              <w:rPr>
                <w:rFonts w:ascii="Times New Roman" w:hAnsi="Times New Roman" w:cs="Times New Roman"/>
                <w:b/>
                <w:sz w:val="24"/>
              </w:rPr>
            </w:pPr>
            <w:r w:rsidRPr="004B77DC">
              <w:rPr>
                <w:rFonts w:ascii="Times New Roman" w:hAnsi="Times New Roman"/>
                <w:b/>
                <w:sz w:val="24"/>
              </w:rPr>
              <w:t>Magyarázat</w:t>
            </w:r>
          </w:p>
        </w:tc>
      </w:tr>
      <w:tr w:rsidR="00D740B8" w:rsidRPr="004B77DC"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4B77DC" w:rsidRDefault="00D740B8">
            <w:pPr>
              <w:spacing w:before="60" w:after="120"/>
              <w:jc w:val="both"/>
              <w:rPr>
                <w:rFonts w:ascii="Times New Roman" w:eastAsia="Times New Roman" w:hAnsi="Times New Roman" w:cs="Times New Roman"/>
                <w:b/>
                <w:sz w:val="24"/>
              </w:rPr>
            </w:pPr>
            <w:r w:rsidRPr="004B77DC">
              <w:rPr>
                <w:rFonts w:ascii="Times New Roman" w:hAnsi="Times New Roman"/>
                <w:b/>
                <w:sz w:val="24"/>
              </w:rPr>
              <w:t>Üzletimutató-komponens (BIC)</w:t>
            </w:r>
          </w:p>
          <w:p w14:paraId="1B10BB72" w14:textId="77777777" w:rsidR="00D740B8" w:rsidRPr="004B77DC" w:rsidRDefault="00D740B8">
            <w:pPr>
              <w:spacing w:before="60" w:after="120"/>
              <w:jc w:val="both"/>
              <w:rPr>
                <w:rFonts w:ascii="Times New Roman" w:eastAsia="Times New Roman" w:hAnsi="Times New Roman" w:cs="Times New Roman"/>
                <w:sz w:val="24"/>
              </w:rPr>
            </w:pPr>
            <w:r w:rsidRPr="004B77DC">
              <w:rPr>
                <w:rFonts w:ascii="Times New Roman" w:hAnsi="Times New Roman"/>
                <w:sz w:val="24"/>
              </w:rPr>
              <w:t>Ebben a sorban kell feltüntetni az üzletimutató-komponenst, amelyet az 575/2013/EU rendelet 313. cikke szerint kell kiszámítani.</w:t>
            </w:r>
          </w:p>
        </w:tc>
      </w:tr>
      <w:tr w:rsidR="00CA794A" w:rsidRPr="004B77DC"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4B77DC" w:rsidRDefault="004A58B5">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4B77DC" w:rsidRDefault="004A58B5">
            <w:pPr>
              <w:spacing w:before="60" w:after="120"/>
              <w:jc w:val="both"/>
              <w:rPr>
                <w:rFonts w:ascii="Times New Roman" w:eastAsia="Times New Roman" w:hAnsi="Times New Roman" w:cs="Times New Roman"/>
                <w:b/>
                <w:sz w:val="24"/>
              </w:rPr>
            </w:pPr>
            <w:r w:rsidRPr="004B77DC">
              <w:rPr>
                <w:rFonts w:ascii="Times New Roman" w:hAnsi="Times New Roman"/>
                <w:b/>
                <w:sz w:val="24"/>
              </w:rPr>
              <w:t>Alternatív sztenderd módszer (ASA) szavatolótőke-követelményei a 314. cikk (4) bekezdése szerint</w:t>
            </w:r>
          </w:p>
          <w:p w14:paraId="7762DF0B" w14:textId="6E2ACCB9" w:rsidR="004A58B5" w:rsidRPr="004B77DC" w:rsidRDefault="005B4907">
            <w:pPr>
              <w:spacing w:before="60" w:after="120"/>
              <w:jc w:val="both"/>
              <w:rPr>
                <w:rFonts w:ascii="Times New Roman" w:eastAsia="Times New Roman" w:hAnsi="Times New Roman" w:cs="Times New Roman"/>
                <w:b/>
                <w:sz w:val="24"/>
              </w:rPr>
            </w:pPr>
            <w:r w:rsidRPr="004B77DC">
              <w:rPr>
                <w:rFonts w:ascii="Times New Roman" w:hAnsi="Times New Roman"/>
                <w:sz w:val="24"/>
              </w:rPr>
              <w:t>Ez a sor tartalmazza a 314. cikk (4) bekezdése szerint figyelembe vett üzletágakra vonatkozó szavatolótőke-követelményeket, adott esetben 2027. december 31-ig, vagy addig, amíg az összevont felügyeletet ellátó hatóság a 314. cikk (3) bekezdésével összhangban engedélyt nem ad, attól függően, hogy melyik a korábbi időpont.</w:t>
            </w:r>
          </w:p>
        </w:tc>
      </w:tr>
      <w:tr w:rsidR="00D740B8" w:rsidRPr="004B77DC"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4B77DC" w:rsidRDefault="00D740B8" w:rsidP="000879A1">
            <w:pPr>
              <w:keepNext/>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4B77DC" w:rsidRDefault="001918A2">
            <w:pPr>
              <w:spacing w:before="60" w:after="120"/>
              <w:jc w:val="both"/>
              <w:rPr>
                <w:rFonts w:ascii="Times New Roman" w:eastAsia="Times New Roman" w:hAnsi="Times New Roman" w:cs="Times New Roman"/>
                <w:sz w:val="24"/>
              </w:rPr>
            </w:pPr>
            <w:r w:rsidRPr="004B77DC">
              <w:rPr>
                <w:rFonts w:ascii="Times New Roman" w:hAnsi="Times New Roman"/>
                <w:sz w:val="24"/>
              </w:rPr>
              <w:t>Nem alkalmazható.</w:t>
            </w:r>
          </w:p>
        </w:tc>
      </w:tr>
      <w:tr w:rsidR="00D740B8" w:rsidRPr="004B77DC"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4B77DC" w:rsidRDefault="00D740B8">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A működési kockázathoz kapcsolódó minimális szavatolótőke-követelmények (OROF)</w:t>
            </w:r>
          </w:p>
          <w:p w14:paraId="2A7C24D0" w14:textId="54D9C5FF" w:rsidR="00D740B8" w:rsidRPr="004B77DC" w:rsidRDefault="00977842">
            <w:pPr>
              <w:spacing w:before="60" w:after="120"/>
              <w:jc w:val="both"/>
              <w:rPr>
                <w:rFonts w:ascii="Times New Roman" w:eastAsia="Times New Roman" w:hAnsi="Times New Roman" w:cs="Times New Roman"/>
                <w:sz w:val="24"/>
              </w:rPr>
            </w:pPr>
            <w:r w:rsidRPr="004B77DC">
              <w:rPr>
                <w:rFonts w:ascii="Times New Roman" w:hAnsi="Times New Roman"/>
                <w:sz w:val="24"/>
              </w:rPr>
              <w:t xml:space="preserve">A szavatolótőke-követelményt az 575/2013/EU rendelet 312. cikkével összhangban kell kiszámítani. Ez a sor a működési kockázatra vonatkozó azon szavatolótőke-követelményeket mutatja be, amelyek adott esetben megegyeznek a BIC és a 314. cikk (4) bekezdésében figyelembe vett üzletágak szavatolótőke-követelményeinek összegével. </w:t>
            </w:r>
          </w:p>
        </w:tc>
      </w:tr>
      <w:tr w:rsidR="00D740B8" w:rsidRPr="004B77DC"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4B77DC" w:rsidRDefault="00D740B8">
            <w:pPr>
              <w:autoSpaceDE w:val="0"/>
              <w:autoSpaceDN w:val="0"/>
              <w:adjustRightInd w:val="0"/>
              <w:spacing w:before="60" w:after="120"/>
              <w:jc w:val="center"/>
              <w:rPr>
                <w:rFonts w:ascii="Times New Roman" w:hAnsi="Times New Roman" w:cs="Times New Roman"/>
                <w:b/>
                <w:sz w:val="24"/>
              </w:rPr>
            </w:pPr>
            <w:r w:rsidRPr="004B77DC">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4B77DC" w:rsidRDefault="00D740B8">
            <w:pPr>
              <w:spacing w:before="60" w:after="120"/>
              <w:jc w:val="both"/>
              <w:rPr>
                <w:rStyle w:val="InstructionsTabelleberschrift"/>
                <w:rFonts w:ascii="Times New Roman" w:eastAsia="Times New Roman" w:hAnsi="Times New Roman"/>
                <w:bCs w:val="0"/>
                <w:sz w:val="24"/>
                <w:u w:val="none"/>
              </w:rPr>
            </w:pPr>
            <w:r w:rsidRPr="004B77DC">
              <w:rPr>
                <w:rStyle w:val="InstructionsTabelleberschrift"/>
                <w:rFonts w:ascii="Times New Roman" w:hAnsi="Times New Roman"/>
                <w:sz w:val="24"/>
                <w:u w:val="none"/>
              </w:rPr>
              <w:t>Működési kockázati kitettség összegei (REA)</w:t>
            </w:r>
          </w:p>
          <w:p w14:paraId="317F9BDE" w14:textId="6672A695" w:rsidR="00D740B8" w:rsidRPr="004B77DC" w:rsidRDefault="00D740B8">
            <w:pPr>
              <w:spacing w:before="60" w:after="120"/>
              <w:jc w:val="both"/>
              <w:rPr>
                <w:rFonts w:ascii="Times New Roman" w:eastAsia="Times New Roman" w:hAnsi="Times New Roman" w:cs="Times New Roman"/>
                <w:sz w:val="24"/>
              </w:rPr>
            </w:pPr>
            <w:r w:rsidRPr="004B77DC">
              <w:rPr>
                <w:rFonts w:ascii="Times New Roman" w:hAnsi="Times New Roman"/>
                <w:sz w:val="24"/>
              </w:rPr>
              <w:t xml:space="preserve">Az 575/2013/EU rendelet 92. cikke (3) bekezdésének e) pontja és 92. cikkének (4) bekezdése alapján ebben a sorban a 3. sorban szereplő szavatolótőke-követelmény 12,5-del megszorzott értékét kell megadni. </w:t>
            </w:r>
          </w:p>
        </w:tc>
      </w:tr>
    </w:tbl>
    <w:p w14:paraId="079B8CA0" w14:textId="77777777" w:rsidR="00D740B8" w:rsidRPr="004B77DC" w:rsidRDefault="00D740B8" w:rsidP="00D740B8">
      <w:pPr>
        <w:rPr>
          <w:rFonts w:ascii="Times New Roman" w:hAnsi="Times New Roman" w:cs="Times New Roman"/>
          <w:sz w:val="24"/>
        </w:rPr>
      </w:pPr>
    </w:p>
    <w:p w14:paraId="41C8F396" w14:textId="77777777" w:rsidR="002C1404" w:rsidRPr="004B77DC" w:rsidRDefault="002C1404"/>
    <w:sectPr w:rsidR="002C1404" w:rsidRPr="004B77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4B77DC" w:rsidRDefault="00924970" w:rsidP="00E114F3">
      <w:r w:rsidRPr="004B77DC">
        <w:separator/>
      </w:r>
    </w:p>
  </w:endnote>
  <w:endnote w:type="continuationSeparator" w:id="0">
    <w:p w14:paraId="6750FE16" w14:textId="77777777" w:rsidR="00924970" w:rsidRPr="004B77DC" w:rsidRDefault="00924970" w:rsidP="00E114F3">
      <w:r w:rsidRPr="004B77DC">
        <w:continuationSeparator/>
      </w:r>
    </w:p>
  </w:endnote>
  <w:endnote w:type="continuationNotice" w:id="1">
    <w:p w14:paraId="44EFD629" w14:textId="77777777" w:rsidR="00924970" w:rsidRPr="004B77DC"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0DD" w14:textId="77777777" w:rsidR="004B77DC" w:rsidRPr="004B77DC" w:rsidRDefault="004B7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4B77DC" w:rsidRDefault="00E114F3">
        <w:pPr>
          <w:pStyle w:val="Footer"/>
          <w:jc w:val="right"/>
        </w:pPr>
        <w:r w:rsidRPr="004B77DC">
          <w:fldChar w:fldCharType="begin"/>
        </w:r>
        <w:r w:rsidRPr="004B77DC">
          <w:instrText xml:space="preserve"> PAGE   \* MERGEFORMAT </w:instrText>
        </w:r>
        <w:r w:rsidRPr="004B77DC">
          <w:fldChar w:fldCharType="separate"/>
        </w:r>
        <w:r w:rsidR="00370155" w:rsidRPr="004B77DC">
          <w:t>1</w:t>
        </w:r>
        <w:r w:rsidRPr="004B77DC">
          <w:fldChar w:fldCharType="end"/>
        </w:r>
      </w:p>
    </w:sdtContent>
  </w:sdt>
  <w:p w14:paraId="049F31CB" w14:textId="77777777" w:rsidR="00E114F3" w:rsidRPr="004B77DC"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F16B" w14:textId="77777777" w:rsidR="004B77DC" w:rsidRPr="004B77DC" w:rsidRDefault="004B7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4B77DC" w:rsidRDefault="00924970" w:rsidP="00E114F3">
      <w:r w:rsidRPr="004B77DC">
        <w:separator/>
      </w:r>
    </w:p>
  </w:footnote>
  <w:footnote w:type="continuationSeparator" w:id="0">
    <w:p w14:paraId="3D7D4E32" w14:textId="77777777" w:rsidR="00924970" w:rsidRPr="004B77DC" w:rsidRDefault="00924970" w:rsidP="00E114F3">
      <w:r w:rsidRPr="004B77DC">
        <w:continuationSeparator/>
      </w:r>
    </w:p>
  </w:footnote>
  <w:footnote w:type="continuationNotice" w:id="1">
    <w:p w14:paraId="6FCD0CD0" w14:textId="77777777" w:rsidR="00924970" w:rsidRPr="004B77DC" w:rsidRDefault="00924970"/>
  </w:footnote>
  <w:footnote w:id="2">
    <w:p w14:paraId="3798489D" w14:textId="469FF1F7" w:rsidR="00E114F3" w:rsidRPr="004B77DC" w:rsidRDefault="00E114F3" w:rsidP="003D3122">
      <w:pPr>
        <w:pStyle w:val="FootnoteText"/>
      </w:pPr>
      <w:r w:rsidRPr="004B77DC">
        <w:rPr>
          <w:rStyle w:val="FootnoteReference"/>
          <w:rFonts w:cstheme="minorHAnsi"/>
        </w:rPr>
        <w:footnoteRef/>
      </w:r>
      <w:r w:rsidRPr="004B77DC">
        <w:tab/>
        <w:t xml:space="preserve">Az Európai Parlament és a Tanács 575/2013/EU rendelete (2013. június 26.) a hitelintézetekre és befektetési vállalkozásokra vonatkozó </w:t>
      </w:r>
      <w:proofErr w:type="spellStart"/>
      <w:r w:rsidRPr="004B77DC">
        <w:t>prudenciális</w:t>
      </w:r>
      <w:proofErr w:type="spellEnd"/>
      <w:r w:rsidRPr="004B77DC">
        <w:t xml:space="preserve"> követelményekről és a 648/2012/EU rendelet módosításáról (</w:t>
      </w:r>
      <w:hyperlink r:id="rId1" w:history="1">
        <w:r w:rsidRPr="004B77DC">
          <w:rPr>
            <w:rStyle w:val="Hyperlink"/>
            <w:color w:val="800080"/>
          </w:rPr>
          <w:t xml:space="preserve">HL L 176., 2013.6.27., 1. o.; </w:t>
        </w:r>
      </w:hyperlink>
      <w:hyperlink r:id="rId2" w:history="1">
        <w:r w:rsidRPr="004B77DC">
          <w:rPr>
            <w:rStyle w:val="Hyperlink"/>
          </w:rPr>
          <w:t>(EU) 2024/1623 rendelet - HU - EUR-Lex (europa.eu)</w:t>
        </w:r>
      </w:hyperlink>
      <w:r w:rsidRPr="004B77DC">
        <w:t>).</w:t>
      </w:r>
    </w:p>
    <w:p w14:paraId="45FB0818" w14:textId="77777777" w:rsidR="00E114F3" w:rsidRPr="004B77DC"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4B77DC" w:rsidRDefault="00864ECA">
    <w:pPr>
      <w:pStyle w:val="Header"/>
    </w:pPr>
    <w:r w:rsidRPr="004B77DC">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4B77DC" w:rsidRDefault="00864ECA" w:rsidP="00864ECA">
                          <w:pPr>
                            <w:rPr>
                              <w:rFonts w:ascii="Calibri" w:eastAsia="Calibri" w:hAnsi="Calibri" w:cs="Calibri"/>
                              <w:noProof/>
                              <w:color w:val="000000"/>
                              <w:sz w:val="24"/>
                            </w:rPr>
                          </w:pPr>
                          <w:r w:rsidRPr="004B77DC">
                            <w:rPr>
                              <w:rFonts w:ascii="Calibri" w:hAnsi="Calibri"/>
                              <w:color w:val="000000"/>
                              <w:sz w:val="24"/>
                            </w:rPr>
                            <w:t>EBH – Rendszeres használatra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4B77DC" w:rsidRDefault="00864ECA" w:rsidP="00864ECA">
                    <w:pPr>
                      <w:rPr>
                        <w:rFonts w:ascii="Calibri" w:eastAsia="Calibri" w:hAnsi="Calibri" w:cs="Calibri"/>
                        <w:noProof/>
                        <w:color w:val="000000"/>
                        <w:sz w:val="24"/>
                      </w:rPr>
                    </w:pPr>
                    <w:r w:rsidRPr="004B77DC">
                      <w:rPr>
                        <w:rFonts w:ascii="Calibri" w:hAnsi="Calibri"/>
                        <w:color w:val="000000"/>
                        <w:sz w:val="24"/>
                      </w:rPr>
                      <w:t>EBH – Rendszeres használatra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4B77DC" w:rsidRDefault="00864ECA">
    <w:pPr>
      <w:pStyle w:val="Header"/>
    </w:pPr>
    <w:r w:rsidRPr="004B77DC">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4B77DC" w:rsidRDefault="00864ECA" w:rsidP="00864ECA">
                          <w:pPr>
                            <w:rPr>
                              <w:rFonts w:ascii="Calibri" w:eastAsia="Calibri" w:hAnsi="Calibri" w:cs="Calibri"/>
                              <w:noProof/>
                              <w:color w:val="000000"/>
                              <w:sz w:val="24"/>
                            </w:rPr>
                          </w:pPr>
                          <w:r w:rsidRPr="004B77DC">
                            <w:rPr>
                              <w:rFonts w:ascii="Calibri" w:hAnsi="Calibri"/>
                              <w:color w:val="000000"/>
                              <w:sz w:val="24"/>
                            </w:rPr>
                            <w:t>EBH – Rendszeres használatra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4B77DC" w:rsidRDefault="00864ECA" w:rsidP="00864ECA">
                    <w:pPr>
                      <w:rPr>
                        <w:rFonts w:ascii="Calibri" w:eastAsia="Calibri" w:hAnsi="Calibri" w:cs="Calibri"/>
                        <w:noProof/>
                        <w:color w:val="000000"/>
                        <w:sz w:val="24"/>
                      </w:rPr>
                    </w:pPr>
                    <w:r w:rsidRPr="004B77DC">
                      <w:rPr>
                        <w:rFonts w:ascii="Calibri" w:hAnsi="Calibri"/>
                        <w:color w:val="000000"/>
                        <w:sz w:val="24"/>
                      </w:rPr>
                      <w:t>EBH – Rendszeres használatra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4B77DC" w:rsidRDefault="00864ECA">
    <w:pPr>
      <w:pStyle w:val="Header"/>
    </w:pPr>
    <w:r w:rsidRPr="004B77DC">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4B77DC" w:rsidRDefault="00864ECA" w:rsidP="00864ECA">
                          <w:pPr>
                            <w:rPr>
                              <w:rFonts w:ascii="Calibri" w:eastAsia="Calibri" w:hAnsi="Calibri" w:cs="Calibri"/>
                              <w:noProof/>
                              <w:color w:val="000000"/>
                              <w:sz w:val="24"/>
                            </w:rPr>
                          </w:pPr>
                          <w:r w:rsidRPr="004B77DC">
                            <w:rPr>
                              <w:rFonts w:ascii="Calibri" w:hAnsi="Calibri"/>
                              <w:color w:val="000000"/>
                              <w:sz w:val="24"/>
                            </w:rPr>
                            <w:t>EBH – Rendszeres használatra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4B77DC" w:rsidRDefault="00864ECA" w:rsidP="00864ECA">
                    <w:pPr>
                      <w:rPr>
                        <w:rFonts w:ascii="Calibri" w:eastAsia="Calibri" w:hAnsi="Calibri" w:cs="Calibri"/>
                        <w:noProof/>
                        <w:color w:val="000000"/>
                        <w:sz w:val="24"/>
                      </w:rPr>
                    </w:pPr>
                    <w:r w:rsidRPr="004B77DC">
                      <w:rPr>
                        <w:rFonts w:ascii="Calibri" w:hAnsi="Calibri"/>
                        <w:color w:val="000000"/>
                        <w:sz w:val="24"/>
                      </w:rPr>
                      <w:t>EBH – Rendszeres használatra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9A1"/>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B77DC"/>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hu-HU"/>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hu-HU"/>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hu-HU"/>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4457</Words>
  <Characters>31527</Characters>
  <Application>Microsoft Office Word</Application>
  <DocSecurity>0</DocSecurity>
  <Lines>262</Lines>
  <Paragraphs>71</Paragraphs>
  <ScaleCrop>false</ScaleCrop>
  <Manager/>
  <Company/>
  <LinksUpToDate>false</LinksUpToDate>
  <CharactersWithSpaces>35913</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