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EF4D" w14:textId="2FBDAFE8" w:rsidR="00E114F3" w:rsidRPr="00713B92" w:rsidRDefault="00E114F3" w:rsidP="00713B92">
      <w:pPr>
        <w:pStyle w:val="Annexetitre"/>
        <w:spacing w:before="0"/>
      </w:pPr>
      <w:r w:rsidRPr="00713B92">
        <w:t>PRILOG XXXII. – Upute za obrasce za objavu operativnog rizika</w:t>
      </w:r>
    </w:p>
    <w:p w14:paraId="672A6659" w14:textId="77777777" w:rsidR="00E114F3" w:rsidRPr="00713B92" w:rsidRDefault="00E114F3" w:rsidP="00E114F3">
      <w:pPr>
        <w:spacing w:after="120"/>
        <w:jc w:val="both"/>
        <w:rPr>
          <w:rFonts w:ascii="Times New Roman" w:hAnsi="Times New Roman"/>
          <w:b/>
          <w:bCs/>
          <w:sz w:val="24"/>
        </w:rPr>
      </w:pPr>
    </w:p>
    <w:p w14:paraId="384DD143" w14:textId="77777777" w:rsidR="00E114F3" w:rsidRPr="00713B92" w:rsidRDefault="00E114F3" w:rsidP="00E114F3">
      <w:pPr>
        <w:spacing w:after="120"/>
        <w:rPr>
          <w:rFonts w:ascii="Times New Roman" w:hAnsi="Times New Roman"/>
          <w:bCs/>
          <w:sz w:val="24"/>
        </w:rPr>
      </w:pPr>
      <w:r w:rsidRPr="00713B92">
        <w:rPr>
          <w:rFonts w:ascii="Times New Roman" w:hAnsi="Times New Roman"/>
          <w:b/>
          <w:sz w:val="24"/>
        </w:rPr>
        <w:t xml:space="preserve">Tablica EU ORA – Kvalitativne informacije o operativnom riziku. </w:t>
      </w:r>
      <w:r w:rsidRPr="00713B92">
        <w:rPr>
          <w:rFonts w:ascii="Times New Roman" w:hAnsi="Times New Roman"/>
          <w:sz w:val="24"/>
        </w:rPr>
        <w:t>Fleksibilna tablica</w:t>
      </w:r>
    </w:p>
    <w:p w14:paraId="2E1E5572" w14:textId="6D56D6EF" w:rsidR="00E114F3" w:rsidRPr="00713B92" w:rsidRDefault="2A1FD4BE" w:rsidP="44B77564">
      <w:pPr>
        <w:numPr>
          <w:ilvl w:val="0"/>
          <w:numId w:val="1"/>
        </w:numPr>
        <w:spacing w:after="120"/>
        <w:jc w:val="both"/>
        <w:rPr>
          <w:rFonts w:ascii="Calibri" w:eastAsia="Times New Roman" w:hAnsi="Calibri" w:cs="Times New Roman"/>
          <w:color w:val="000000"/>
        </w:rPr>
      </w:pPr>
      <w:r w:rsidRPr="00713B92">
        <w:rPr>
          <w:rFonts w:ascii="Times New Roman" w:hAnsi="Times New Roman"/>
          <w:sz w:val="24"/>
        </w:rPr>
        <w:t>Institucije objavljuju informacije navedene u ovoj tablici u skladu s člankom 435. stavkom 1. i člankom 446. stavkom 1. točkom (a) Uredbe (EU) 575/2013</w:t>
      </w:r>
      <w:r w:rsidR="00E114F3" w:rsidRPr="00713B92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00713B92">
        <w:rPr>
          <w:rFonts w:ascii="Times New Roman" w:hAnsi="Times New Roman"/>
          <w:sz w:val="24"/>
        </w:rPr>
        <w:t>.</w:t>
      </w:r>
    </w:p>
    <w:p w14:paraId="728254AD" w14:textId="52B3E768" w:rsidR="00E114F3" w:rsidRPr="00713B92" w:rsidRDefault="00E114F3" w:rsidP="00E114F3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bCs/>
          <w:sz w:val="24"/>
        </w:rPr>
      </w:pPr>
      <w:r w:rsidRPr="00713B92">
        <w:rPr>
          <w:rFonts w:ascii="Times New Roman" w:hAnsi="Times New Roman"/>
          <w:sz w:val="24"/>
        </w:rPr>
        <w:t>Institucije primjenjuju upute u nastavku ovog Priloga kako bi ispunile tablicu za objavu operativnog rizika EU ORA, kako je navedeno u Prilogu XXXI. EBA-inog IT rješenja.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1555"/>
        <w:gridCol w:w="7371"/>
      </w:tblGrid>
      <w:tr w:rsidR="00E114F3" w:rsidRPr="00713B92" w14:paraId="4FA5DD43" w14:textId="77777777" w:rsidTr="00581319">
        <w:trPr>
          <w:trHeight w:val="2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879875" w14:textId="77777777" w:rsidR="00E114F3" w:rsidRPr="00713B92" w:rsidRDefault="00E114F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713B92">
              <w:rPr>
                <w:rFonts w:ascii="Times New Roman" w:hAnsi="Times New Roman"/>
                <w:b/>
                <w:color w:val="000000"/>
                <w:sz w:val="24"/>
              </w:rPr>
              <w:t>Pravna osnova i upute</w:t>
            </w:r>
          </w:p>
        </w:tc>
      </w:tr>
      <w:tr w:rsidR="00E114F3" w:rsidRPr="00713B92" w14:paraId="0BB6A5B1" w14:textId="77777777" w:rsidTr="00581319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522B50" w14:textId="77777777" w:rsidR="00E114F3" w:rsidRPr="00713B92" w:rsidRDefault="00E114F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713B92">
              <w:rPr>
                <w:rFonts w:ascii="Times New Roman" w:hAnsi="Times New Roman"/>
                <w:b/>
                <w:color w:val="000000"/>
                <w:sz w:val="24"/>
              </w:rPr>
              <w:t>Broj retka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504D8" w14:textId="77777777" w:rsidR="00E114F3" w:rsidRPr="00713B92" w:rsidRDefault="00E114F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713B92">
              <w:rPr>
                <w:rFonts w:ascii="Times New Roman" w:hAnsi="Times New Roman"/>
                <w:b/>
                <w:color w:val="000000"/>
                <w:sz w:val="24"/>
              </w:rPr>
              <w:t>Objašnjenje</w:t>
            </w:r>
          </w:p>
        </w:tc>
      </w:tr>
      <w:tr w:rsidR="00E114F3" w:rsidRPr="00713B92" w14:paraId="70735BA0" w14:textId="77777777" w:rsidTr="00581319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5523" w14:textId="1B122A28" w:rsidR="00E114F3" w:rsidRPr="00713B92" w:rsidRDefault="00E114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13B92">
              <w:rPr>
                <w:rFonts w:ascii="Times New Roman" w:hAnsi="Times New Roman"/>
                <w:color w:val="000000"/>
                <w:sz w:val="24"/>
              </w:rPr>
              <w:t>(a)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E5B9" w14:textId="77777777" w:rsidR="00E114F3" w:rsidRPr="00713B92" w:rsidRDefault="00E114F3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13B92">
              <w:rPr>
                <w:rFonts w:ascii="Times New Roman" w:hAnsi="Times New Roman"/>
                <w:b/>
                <w:color w:val="000000"/>
                <w:sz w:val="24"/>
              </w:rPr>
              <w:t>Objava ciljeva i politika upravljanja rizicima</w:t>
            </w:r>
          </w:p>
          <w:p w14:paraId="65684A44" w14:textId="36ED8962" w:rsidR="00E114F3" w:rsidRPr="00713B92" w:rsidRDefault="2A1FD4B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13B92">
              <w:rPr>
                <w:rFonts w:ascii="Times New Roman" w:hAnsi="Times New Roman"/>
                <w:color w:val="000000" w:themeColor="text1"/>
                <w:sz w:val="24"/>
              </w:rPr>
              <w:t>U skladu s člankom 435. stavkom 1. točkom (a) Uredbe (EU) 575/2013 institucije objavljuju svoje ciljeve, politike, okvire i smjernice za upravljanje operativnim rizikom, uključujući strategije i postupke za upravljanje tim rizikom.</w:t>
            </w:r>
          </w:p>
        </w:tc>
      </w:tr>
      <w:tr w:rsidR="00E114F3" w:rsidRPr="00713B92" w14:paraId="37A6A0B3" w14:textId="77777777" w:rsidTr="00581319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78CA" w14:textId="22E7EFF7" w:rsidR="00E114F3" w:rsidRPr="00713B92" w:rsidRDefault="00E114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13B92">
              <w:rPr>
                <w:rFonts w:ascii="Times New Roman" w:hAnsi="Times New Roman"/>
                <w:color w:val="000000"/>
                <w:sz w:val="24"/>
              </w:rPr>
              <w:t>(b)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32F9" w14:textId="77777777" w:rsidR="00885AC5" w:rsidRPr="00713B92" w:rsidRDefault="00885AC5" w:rsidP="00885AC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13B92">
              <w:rPr>
                <w:rFonts w:ascii="Times New Roman" w:hAnsi="Times New Roman"/>
                <w:b/>
                <w:color w:val="000000"/>
                <w:sz w:val="24"/>
              </w:rPr>
              <w:t>Objava strukture i organizacije funkcije upravljanja operativnim rizikom</w:t>
            </w:r>
          </w:p>
          <w:p w14:paraId="739779F0" w14:textId="092C61F0" w:rsidR="00E114F3" w:rsidRPr="00713B92" w:rsidRDefault="00885AC5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13B92">
              <w:rPr>
                <w:rFonts w:ascii="Times New Roman" w:hAnsi="Times New Roman"/>
                <w:color w:val="000000" w:themeColor="text1"/>
                <w:sz w:val="24"/>
              </w:rPr>
              <w:t>U skladu s člankom 435. stavkom 1. točkom (b) Uredbe (EU) 575/2013 institucije objavljuju strukturu i organizaciju funkcije upravljanja operativnim rizikom, uključujući informacije na kojima se temelji nadležnost funkcije upravljanja operativnim rizikom, njezine ovlasti i odgovornosti u skladu s aktima o osnivanju institucije i upravljanju institucijom, te kontrolne funkcije.</w:t>
            </w:r>
          </w:p>
        </w:tc>
      </w:tr>
      <w:tr w:rsidR="00E114F3" w:rsidRPr="00713B92" w14:paraId="30DA08C8" w14:textId="77777777" w:rsidTr="00581319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AF50" w14:textId="6B123167" w:rsidR="00E114F3" w:rsidRPr="00713B92" w:rsidRDefault="00E114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13B92">
              <w:rPr>
                <w:rFonts w:ascii="Times New Roman" w:hAnsi="Times New Roman"/>
                <w:color w:val="000000"/>
                <w:sz w:val="24"/>
              </w:rPr>
              <w:t>(c)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6D347" w14:textId="77777777" w:rsidR="005129A3" w:rsidRPr="00713B92" w:rsidRDefault="005129A3" w:rsidP="005129A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13B92">
              <w:rPr>
                <w:rFonts w:ascii="Times New Roman" w:hAnsi="Times New Roman"/>
                <w:b/>
                <w:color w:val="000000"/>
                <w:sz w:val="24"/>
              </w:rPr>
              <w:t>Opis područja primjene i prirode sustava mjerenja</w:t>
            </w:r>
          </w:p>
          <w:p w14:paraId="2426746E" w14:textId="624D178E" w:rsidR="00E114F3" w:rsidRPr="00713B92" w:rsidRDefault="005129A3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13B92">
              <w:rPr>
                <w:rFonts w:ascii="Times New Roman" w:hAnsi="Times New Roman"/>
                <w:color w:val="000000" w:themeColor="text1"/>
                <w:sz w:val="24"/>
              </w:rPr>
              <w:t>U skladu s člankom 435. stavkom 1. točkom (c) Uredbe (EU) 575/2013 institucije objavljuju opseg i vrstu sustava mjerenja operativnog rizika (tj. sustave i podatke koji se upotrebljavaju za mjerenje operativnog rizika kako bi se procijenio kapitalni zahtjev za operativni rizik).</w:t>
            </w:r>
          </w:p>
        </w:tc>
      </w:tr>
      <w:tr w:rsidR="00E114F3" w:rsidRPr="00713B92" w14:paraId="530FAA18" w14:textId="77777777" w:rsidTr="00581319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C3DB" w14:textId="0C63D270" w:rsidR="00E114F3" w:rsidRPr="00713B92" w:rsidRDefault="00E114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13B92">
              <w:rPr>
                <w:rFonts w:ascii="Times New Roman" w:hAnsi="Times New Roman"/>
                <w:color w:val="000000"/>
                <w:sz w:val="24"/>
              </w:rPr>
              <w:t>(d)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2CC0D" w14:textId="77777777" w:rsidR="005D02AE" w:rsidRPr="00713B92" w:rsidRDefault="005D02AE" w:rsidP="005D02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13B92">
              <w:rPr>
                <w:rFonts w:ascii="Times New Roman" w:hAnsi="Times New Roman"/>
                <w:b/>
                <w:color w:val="000000" w:themeColor="text1"/>
                <w:sz w:val="24"/>
              </w:rPr>
              <w:t>Opis opsega i vrste okvira za izvješćivanje o operativnom riziku</w:t>
            </w:r>
          </w:p>
          <w:p w14:paraId="1EE9A69D" w14:textId="428D8604" w:rsidR="00E114F3" w:rsidRPr="00713B92" w:rsidRDefault="005D02AE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13B92">
              <w:rPr>
                <w:rFonts w:ascii="Times New Roman" w:hAnsi="Times New Roman"/>
                <w:color w:val="000000" w:themeColor="text1"/>
                <w:sz w:val="24"/>
              </w:rPr>
              <w:t>U skladu s člankom 435. stavkom 1. točkom (c) Uredbe (EU) 575/2013 institucije objavljuju opseg i vrstu okvira za izvješćivanje o operativnom riziku izvršnom rukovodstvu i odboru.</w:t>
            </w:r>
          </w:p>
        </w:tc>
      </w:tr>
      <w:tr w:rsidR="00E5460F" w:rsidRPr="00713B92" w14:paraId="1120D006" w14:textId="77777777" w:rsidTr="00581319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99FF" w14:textId="263ED99A" w:rsidR="00E5460F" w:rsidRPr="00713B92" w:rsidRDefault="00E5460F" w:rsidP="00713B92">
            <w:pPr>
              <w:pageBreakBefore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13B92">
              <w:rPr>
                <w:rFonts w:ascii="Times New Roman" w:hAnsi="Times New Roman"/>
                <w:color w:val="000000"/>
                <w:sz w:val="24"/>
              </w:rPr>
              <w:t>(e)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249C5" w14:textId="77777777" w:rsidR="00E25C0C" w:rsidRPr="00713B92" w:rsidRDefault="00E25C0C" w:rsidP="00E25C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13B92">
              <w:rPr>
                <w:rFonts w:ascii="Times New Roman" w:hAnsi="Times New Roman"/>
                <w:b/>
                <w:color w:val="000000" w:themeColor="text1"/>
                <w:sz w:val="24"/>
              </w:rPr>
              <w:t>Opis politika i strategija za smanjenje rizika i zaštitu od rizika</w:t>
            </w:r>
          </w:p>
          <w:p w14:paraId="443DC7A5" w14:textId="7D68A10D" w:rsidR="00E5460F" w:rsidRPr="00713B92" w:rsidDel="009A4E43" w:rsidRDefault="00E25C0C" w:rsidP="00E25C0C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13B92">
              <w:rPr>
                <w:rFonts w:ascii="Times New Roman" w:hAnsi="Times New Roman"/>
                <w:color w:val="000000" w:themeColor="text1"/>
                <w:sz w:val="24"/>
              </w:rPr>
              <w:t xml:space="preserve">U skladu s člankom 435. stavkom 1. točkom (d) Uredbe (EU) 575/2013 institucije objavljuju svoje politike i strategije za smanjenje rizika i zaštitu od rizika koje se upotrebljavaju u upravljanju operativnim rizikom, uključujući ako se smanjenje operativnog rizika postiže politikom (u tom </w:t>
            </w:r>
            <w:r w:rsidRPr="00713B92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slučaju objavljuju politike o kulturi rizika, sklonosti preuzimanju rizika i eksternalizaciji) ili ako se postiže otuđivanjem visokorizičnih poduzeća ili uspostavom kontrola. Institucije objavljuju i preostale izloženosti koje apsorbiraju same institucije ili, ako je to primjenjivo, preostale izloženosti koje se prenose na različite načine, uključujući putem osiguranja.</w:t>
            </w:r>
          </w:p>
        </w:tc>
      </w:tr>
    </w:tbl>
    <w:p w14:paraId="0A37501D" w14:textId="77777777" w:rsidR="00E114F3" w:rsidRPr="00713B92" w:rsidRDefault="00E114F3" w:rsidP="00E114F3">
      <w:pPr>
        <w:spacing w:after="120"/>
        <w:jc w:val="both"/>
        <w:rPr>
          <w:rFonts w:ascii="Times New Roman" w:hAnsi="Times New Roman" w:cs="Times New Roman"/>
          <w:b/>
          <w:bCs/>
          <w:sz w:val="24"/>
        </w:rPr>
      </w:pPr>
    </w:p>
    <w:p w14:paraId="73228265" w14:textId="2825D40F" w:rsidR="00E114F3" w:rsidRPr="00713B92" w:rsidRDefault="00E114F3" w:rsidP="00E114F3">
      <w:pPr>
        <w:spacing w:after="120"/>
        <w:jc w:val="both"/>
        <w:rPr>
          <w:rFonts w:ascii="Times New Roman" w:hAnsi="Times New Roman" w:cs="Times New Roman"/>
          <w:bCs/>
          <w:sz w:val="24"/>
        </w:rPr>
      </w:pPr>
      <w:r w:rsidRPr="00713B92">
        <w:rPr>
          <w:rFonts w:ascii="Times New Roman" w:hAnsi="Times New Roman"/>
          <w:b/>
          <w:sz w:val="24"/>
        </w:rPr>
        <w:t xml:space="preserve">Obrazac EU OR1 – Gubici od operativnog rizika. </w:t>
      </w:r>
      <w:r w:rsidRPr="00713B92">
        <w:rPr>
          <w:rFonts w:ascii="Times New Roman" w:hAnsi="Times New Roman"/>
          <w:sz w:val="24"/>
        </w:rPr>
        <w:t>Fiksni obrazac</w:t>
      </w:r>
    </w:p>
    <w:p w14:paraId="70B287DB" w14:textId="7164F419" w:rsidR="00D740B8" w:rsidRPr="00713B92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713B92">
        <w:rPr>
          <w:rFonts w:ascii="Times New Roman" w:hAnsi="Times New Roman"/>
          <w:sz w:val="24"/>
        </w:rPr>
        <w:t>Institucije objavljuju informacije uključene u obrazac EU OR1 u skladu s člankom 446. stavkom 2. točkama (a) i (b) Uredbe (EU) 575/2013. U tom obrascu navode se informacije o godišnjim gubitcima od operativnog rizika koji su nastali u proteklih deset godina, na temelju datuma knjiženja nastalih gubitaka. Ti godišnji gubitci od operativnog rizika izračunavaju se u skladu s člankom 316. stavkom 1. Uredbe (EU) 575/2013 i obuhvaćaju, u skladu s člankom 317. stavkom 2. Uredbe (EU) 575/2013, sve gubitke koji proizlaze iz svih subjekata obuhvaćenih područjem primjene konsolidacije, uključujući gubitke od spojenih odnosno pripojenih / preuzetih subjekata ili aktivnosti (u skladu s člankom 321. stavkom 1. Uredbe (EU) 575/2013). Te se informacije pružaju u mjeri u kojoj su dostupne i koliko je to moguće, do primjene članka 316. stavka 3., članka 317. stavka 9., članka 320. stavka 3. i članka 321. stavka 2. Uredbe (EU) 575/2013.</w:t>
      </w:r>
    </w:p>
    <w:p w14:paraId="0C12CA7B" w14:textId="77777777" w:rsidR="00D740B8" w:rsidRPr="00713B92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47EE9624" w14:textId="4A5B22B7" w:rsidR="00D740B8" w:rsidRPr="00713B92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13B92">
        <w:rPr>
          <w:rFonts w:ascii="Times New Roman" w:hAnsi="Times New Roman"/>
          <w:sz w:val="24"/>
        </w:rPr>
        <w:t>Institucije za svaku od posljednjih deset godina objavljuju podatke o broju gubitaka od operativnog rizika i broju isključenih gubitaka od operativnog rizika, ukupnom iznosu gubitaka od operativnog rizika umanjenom za povrate i ukupnom iznosu gubitaka od operativnog rizika umanjenom za povrate i umanjenom za isključene gubitke. Ukupni godišnji iznos gubitaka od operativnog rizika izračunat će se kao zbroj svih neto gubitaka tijekom određene financijske godine, izračunanih u skladu s člankom 318. stavkom 1. Uredbe (EU) 575/2013, koji su jednaki ili veći od pragova podataka o gubitcima utvrđenih u članku 319. stavcima 1. ili 2. te Uredbe (to jest 20 000 EUR odnosno 100 000 EUR). Međutim, gubitci prouzročeni zajedničkim događajem operativnog rizika ili višestrukim događajima povezanima s istim događajem operativnog rizika („korijenski događaj”), koji se priznaju u različitim računovodstvenim godinama, zbrajaju se za posljednjih 10 godina kako bi se utvrdilo je li prag za objavu prekoračen ili ne. Gubitci i usklađenja trebaju se objaviti u skladu s odredbama članka 317. stavka 3. točke (c) i članka 318. Uredbe (EU) br. 575/2013. Ti se iznosi objavljuju u godini u kojoj su zabilježeni u financijskim izvješćima.</w:t>
      </w:r>
    </w:p>
    <w:p w14:paraId="2702CB88" w14:textId="77777777" w:rsidR="00D740B8" w:rsidRPr="00713B92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3146DBD3" w14:textId="48F555B9" w:rsidR="00D740B8" w:rsidRPr="00713B92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713B92">
        <w:rPr>
          <w:rFonts w:ascii="Times New Roman" w:hAnsi="Times New Roman"/>
          <w:sz w:val="24"/>
        </w:rPr>
        <w:t xml:space="preserve"> U popratnim opisnim informacijama institucije u agregiranom obliku objavljuju obrazloženja za izvanredne događaje operativnog rizika koji su bili isključeni iz izračuna godišnjih gubitaka od operativnog rizika, u skladu s člankom 446. stavkom 2. točkom (b) Uredbe (EU) br. 575/2013.</w:t>
      </w:r>
    </w:p>
    <w:p w14:paraId="066C0912" w14:textId="77777777" w:rsidR="00D740B8" w:rsidRPr="00713B92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79A49BBA" w14:textId="5D2F1C9E" w:rsidR="00D740B8" w:rsidRPr="00713B92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713B92">
        <w:rPr>
          <w:rFonts w:ascii="Times New Roman" w:hAnsi="Times New Roman"/>
          <w:sz w:val="24"/>
        </w:rPr>
        <w:t xml:space="preserve"> Institucije na agregirani način objavljuju i sve značajne informacije koje bi korisnicima mogle pomoći da razumiju povijesne gubitke, povrate i zakonske rezerve institucija, osim povjerljivih i zaštićenih informacija.</w:t>
      </w:r>
    </w:p>
    <w:p w14:paraId="3AF72482" w14:textId="77777777" w:rsidR="00D740B8" w:rsidRPr="00713B92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36406578" w14:textId="77777777" w:rsidR="00D740B8" w:rsidRPr="00713B92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7745"/>
      </w:tblGrid>
      <w:tr w:rsidR="00D740B8" w:rsidRPr="00713B92" w14:paraId="7E388732" w14:textId="77777777">
        <w:tc>
          <w:tcPr>
            <w:tcW w:w="1271" w:type="dxa"/>
            <w:shd w:val="clear" w:color="auto" w:fill="BFBFBF" w:themeFill="background1" w:themeFillShade="BF"/>
          </w:tcPr>
          <w:p w14:paraId="5F81890E" w14:textId="77777777" w:rsidR="00D740B8" w:rsidRPr="00713B92" w:rsidRDefault="00D740B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Stupac</w:t>
            </w:r>
          </w:p>
        </w:tc>
        <w:tc>
          <w:tcPr>
            <w:tcW w:w="7745" w:type="dxa"/>
            <w:shd w:val="clear" w:color="auto" w:fill="BFBFBF" w:themeFill="background1" w:themeFillShade="BF"/>
          </w:tcPr>
          <w:p w14:paraId="0773BD79" w14:textId="77777777" w:rsidR="00D740B8" w:rsidRPr="00713B92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Pravna osnova i upute</w:t>
            </w:r>
          </w:p>
        </w:tc>
      </w:tr>
      <w:tr w:rsidR="00D740B8" w:rsidRPr="00713B92" w14:paraId="4A7B0862" w14:textId="77777777">
        <w:tc>
          <w:tcPr>
            <w:tcW w:w="1271" w:type="dxa"/>
          </w:tcPr>
          <w:p w14:paraId="59A78ADD" w14:textId="77777777" w:rsidR="00D740B8" w:rsidRPr="00713B92" w:rsidRDefault="00D74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a do j</w:t>
            </w:r>
          </w:p>
        </w:tc>
        <w:tc>
          <w:tcPr>
            <w:tcW w:w="7745" w:type="dxa"/>
          </w:tcPr>
          <w:p w14:paraId="0B872A50" w14:textId="77777777" w:rsidR="00D740B8" w:rsidRPr="00713B92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Godina (T, T-1, T-2, T-3, T-4, T-5, T-6, T-7, T-8, T-9)</w:t>
            </w:r>
          </w:p>
          <w:p w14:paraId="5B6EF35C" w14:textId="3033D1CC" w:rsidR="00D740B8" w:rsidRPr="00713B92" w:rsidRDefault="00D740B8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lastRenderedPageBreak/>
              <w:t xml:space="preserve">vrijednost naznačena u odgovarajućem retku, za posljednjih 10 financijskih godina. </w:t>
            </w:r>
          </w:p>
        </w:tc>
      </w:tr>
      <w:tr w:rsidR="00D740B8" w:rsidRPr="00713B92" w14:paraId="7D63969A" w14:textId="77777777">
        <w:tc>
          <w:tcPr>
            <w:tcW w:w="1271" w:type="dxa"/>
          </w:tcPr>
          <w:p w14:paraId="6CFD6A05" w14:textId="77777777" w:rsidR="00D740B8" w:rsidRPr="00713B92" w:rsidRDefault="00D74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lastRenderedPageBreak/>
              <w:t>k</w:t>
            </w:r>
          </w:p>
        </w:tc>
        <w:tc>
          <w:tcPr>
            <w:tcW w:w="7745" w:type="dxa"/>
          </w:tcPr>
          <w:p w14:paraId="50D93A86" w14:textId="77777777" w:rsidR="00D740B8" w:rsidRPr="00713B92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Desetogodišnji prosjek</w:t>
            </w:r>
          </w:p>
          <w:p w14:paraId="38A7187F" w14:textId="0CB464F2" w:rsidR="00D740B8" w:rsidRPr="00713B92" w:rsidRDefault="00D740B8">
            <w:pPr>
              <w:spacing w:before="120" w:after="120"/>
              <w:rPr>
                <w:rFonts w:ascii="Times New Roman" w:hAnsi="Times New Roman"/>
                <w:bCs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Prosjek vrijednosti navedenih u odgovarajućem retku za proteklih 10 godina.</w:t>
            </w:r>
          </w:p>
        </w:tc>
      </w:tr>
    </w:tbl>
    <w:p w14:paraId="7095834F" w14:textId="77777777" w:rsidR="00D740B8" w:rsidRPr="00713B92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32DB6729" w14:textId="77777777" w:rsidR="00D740B8" w:rsidRPr="00713B92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2611544E" w14:textId="77777777" w:rsidR="00D740B8" w:rsidRPr="00713B92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768"/>
      </w:tblGrid>
      <w:tr w:rsidR="00D740B8" w:rsidRPr="00713B92" w14:paraId="75D19248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C07F6" w14:textId="1ED352CF" w:rsidR="00D740B8" w:rsidRPr="00713B92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Redak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A10C0" w14:textId="77777777" w:rsidR="00D740B8" w:rsidRPr="00713B92" w:rsidRDefault="00D740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Pravna osnova i upute</w:t>
            </w:r>
          </w:p>
        </w:tc>
      </w:tr>
      <w:tr w:rsidR="00D740B8" w:rsidRPr="00713B92" w14:paraId="5B979768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5C0BB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F810E" w14:textId="221857B7" w:rsidR="00D740B8" w:rsidRPr="00713B92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Ukupan iznos gubitaka od operativnog rizika umanjen za povrate (bez isključenja)</w:t>
            </w:r>
          </w:p>
          <w:p w14:paraId="73A6B59F" w14:textId="42A729DD" w:rsidR="00D740B8" w:rsidRPr="00713B92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Članak 446. stavak 2. točka (a) i članak 316. stavak 1. Uredbe (EU) 575/2013</w:t>
            </w:r>
          </w:p>
          <w:p w14:paraId="5D929629" w14:textId="254FA976" w:rsidR="00D740B8" w:rsidRPr="00713B92" w:rsidRDefault="002B078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U ovom se retku objavljuje ukupan iznos gubitka, umanjen za povrate, koji proizlazi iz događaja gubitka i iznad je praga događaja gubitka od 20 000 EUR za svako od posljednjih 10 izvještajnih razdoblja, uključujući gubitke od spajanja odnosno pripajanja i preuzimanja. Gubitci prouzročeni zajedničkim događajem operativnog rizika ili višestrukim događajima povezanima s istim događajem operativnog rizika koji se priznaju u različitim računovodstvenim godinama zbrajaju se za posljednjih 10 godina kako bi se utvrdilo je li prag za objavu prekoračen ili ne. Izvanredni događaji operativnog rizika u godini koji više nisu relevantni za profil rizičnosti institucije i za koje je institucija od nadležnog tijela dobila odobrenje da ih isključi iz godišnjih gubitaka institucije od operativnog rizika u skladu s člankom 320. stavkom 1. Uredbe (EU) 575/2013 i dalje se uzimaju u obzir pri izračunu stavke za ovaj redak.</w:t>
            </w:r>
          </w:p>
        </w:tc>
      </w:tr>
      <w:tr w:rsidR="00D740B8" w:rsidRPr="00713B92" w14:paraId="1A3189BF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85BED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B8990" w14:textId="77777777" w:rsidR="00D740B8" w:rsidRPr="00713B92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Ukupan broj gubitaka od operativnog rizika</w:t>
            </w:r>
          </w:p>
          <w:p w14:paraId="2EA91375" w14:textId="28AF0058" w:rsidR="00D740B8" w:rsidRPr="00713B92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Članak 446. stavak 2. točka (a) i članak 316. stavak 1. Uredbe (EU) 575/2013</w:t>
            </w:r>
          </w:p>
          <w:p w14:paraId="275C478C" w14:textId="69738AFF" w:rsidR="00D740B8" w:rsidRPr="00713B92" w:rsidRDefault="004714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Ukupni broj gubitaka od operativnog rizika koji prekoračuju prag za događaj gubitka od 20 000 EUR.</w:t>
            </w:r>
          </w:p>
        </w:tc>
      </w:tr>
      <w:tr w:rsidR="00D740B8" w:rsidRPr="00713B92" w14:paraId="30368E01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E2D97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7E573" w14:textId="06E670C1" w:rsidR="00D740B8" w:rsidRPr="00713B92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Ukupan iznos isključenih gubitaka od operativnog rizika</w:t>
            </w:r>
          </w:p>
          <w:p w14:paraId="5C1A66AF" w14:textId="5CAD041D" w:rsidR="00D740B8" w:rsidRPr="00713B92" w:rsidRDefault="00D740B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Članak 446. stavak 2. točka (b) i članak 320. stavak 1. Uredbe (EU) 575/2013</w:t>
            </w:r>
          </w:p>
          <w:p w14:paraId="7BE235CA" w14:textId="7483A5B2" w:rsidR="00D740B8" w:rsidRPr="00713B92" w:rsidRDefault="002B078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Ukupni neto iznosi gubitka iznad praga gubitka od 20 000 EUR koji su isključeni u skladu s člankom 320. stavkom 1. Uredbe (EU) 575/2013 za svako od posljednjih deset izvještajnih razdoblja.</w:t>
            </w:r>
          </w:p>
        </w:tc>
      </w:tr>
      <w:tr w:rsidR="00D740B8" w:rsidRPr="00713B92" w14:paraId="2771244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28D83" w14:textId="77777777" w:rsidR="00D740B8" w:rsidRPr="00713B92" w:rsidRDefault="00D740B8" w:rsidP="00713B92">
            <w:pPr>
              <w:pageBreakBefore/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BA990" w14:textId="77777777" w:rsidR="00D740B8" w:rsidRPr="00713B92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Ukupan broj isključenih događaja operativnog rizika</w:t>
            </w:r>
          </w:p>
          <w:p w14:paraId="7914E462" w14:textId="7978A3B5" w:rsidR="00D740B8" w:rsidRPr="00713B92" w:rsidRDefault="00D740B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Članak 446. stavak 2. točka (b) i članak 320. stavak 1. Uredbe (EU) 575/2013</w:t>
            </w:r>
          </w:p>
          <w:p w14:paraId="318A732C" w14:textId="242D554F" w:rsidR="00D740B8" w:rsidRPr="00713B92" w:rsidRDefault="009D4A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 xml:space="preserve">Ukupan broj izvanrednih događaja operativnog rizika iznad praga događaja gubitka od 20 000 EUR koji su isključeni u skladu s člankom 320. stavkom 1. Uredbe (EU) 575/2013 za svako od posljednjih 10 izvještajnih razdoblja. </w:t>
            </w:r>
          </w:p>
        </w:tc>
      </w:tr>
      <w:tr w:rsidR="00D740B8" w:rsidRPr="00713B92" w14:paraId="155A14DC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A2BC3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D9B80" w14:textId="218BBE7C" w:rsidR="00D740B8" w:rsidRPr="00713B92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Ukupan iznos gubitaka od operativnog rizika umanjen za povrate i isključene gubitke</w:t>
            </w:r>
          </w:p>
          <w:p w14:paraId="4203582A" w14:textId="7C24EBAE" w:rsidR="00D740B8" w:rsidRPr="00713B92" w:rsidRDefault="002B078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lastRenderedPageBreak/>
              <w:t>Ukupan iznos gubitaka od operativnog rizika, umanjen za iznos povrata objavljen u retku 1. i za isključene gubitke objavljene u retku 3.</w:t>
            </w:r>
          </w:p>
        </w:tc>
      </w:tr>
      <w:tr w:rsidR="00D740B8" w:rsidRPr="00713B92" w14:paraId="533A412E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E7FB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lastRenderedPageBreak/>
              <w:t>6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65A87" w14:textId="409B91B6" w:rsidR="00D740B8" w:rsidRPr="00713B92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Ukupan iznos gubitaka od operativnog rizika umanjen za povrate (bez isključenja)</w:t>
            </w:r>
          </w:p>
          <w:p w14:paraId="647BDEC8" w14:textId="66617A83" w:rsidR="00D740B8" w:rsidRPr="00713B92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Članak 446. stavak 2. točka (a) i članak 316. stavak 1. Uredbe (EU) 575/2013</w:t>
            </w:r>
          </w:p>
          <w:p w14:paraId="7F1E94AA" w14:textId="3C3700EE" w:rsidR="00D740B8" w:rsidRPr="00713B92" w:rsidRDefault="003D54AC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Ukupan iznos gubitaka od operativnog rizika, umanjen za iznos povrata, koji proizlaze iz događaja gubitka i iznad su praga događaja gubitka od 100 000 EUR za svako od posljednjih 10 izvještajnih razdoblja, uključujući gubitke od spajanja odnosno pripajanja i preuzimanja. Gubitci prouzročeni zajedničkim događajem operativnog rizika ili višestrukim događajima povezanima s istim događajem operativnog rizika koji se priznaju u različitim računovodstvenim godinama zbrajaju se za posljednjih 10 godina kako bi se utvrdilo je li prag za objavu prekoračen ili ne. Izvanredni događaji operativnog rizika u godini koji više nisu relevantni za profil rizičnosti institucije i za koje je institucija od nadležnog tijela dobila odobrenje da ih isključi iz godišnjih gubitaka institucije od operativnog rizika u skladu s člankom 320. stavkom 1. Uredbe (EU) 575/2013 i dalje se uzimaju u obzir pri izračunu stavke za ovaj redak.</w:t>
            </w:r>
          </w:p>
        </w:tc>
      </w:tr>
      <w:tr w:rsidR="00D740B8" w:rsidRPr="00713B92" w14:paraId="55F7B96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372A0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15A10" w14:textId="77777777" w:rsidR="00D740B8" w:rsidRPr="00713B92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Ukupan broj gubitaka od operativnog rizika</w:t>
            </w:r>
          </w:p>
          <w:p w14:paraId="7AD8EE0D" w14:textId="092E19E2" w:rsidR="00D740B8" w:rsidRPr="00713B92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Članak 446. stavak 2. točka (a) i članak 316. stavak 1. Uredbe (EU) 575/2013</w:t>
            </w:r>
          </w:p>
          <w:p w14:paraId="6F316B8B" w14:textId="6ABB567B" w:rsidR="00D740B8" w:rsidRPr="00713B92" w:rsidRDefault="00471410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Ukupan broj gubitaka od operativnog rizika koji prekoračuju prag događaja gubitka od 100 000 EUR.</w:t>
            </w:r>
          </w:p>
        </w:tc>
      </w:tr>
      <w:tr w:rsidR="00D740B8" w:rsidRPr="00713B92" w14:paraId="774B79FA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021F3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31AFB" w14:textId="77777777" w:rsidR="00D740B8" w:rsidRPr="00713B92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Ukupan iznos isključenih gubitaka od operativnog rizika</w:t>
            </w:r>
          </w:p>
          <w:p w14:paraId="71DECF65" w14:textId="48A395A5" w:rsidR="00D740B8" w:rsidRPr="00713B92" w:rsidRDefault="00D740B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Članak 446. stavak 2. točka (b) i članak 320. stavak 1. Uredbe (EU) 575/2013</w:t>
            </w:r>
          </w:p>
          <w:p w14:paraId="0BC74916" w14:textId="396B699A" w:rsidR="00D740B8" w:rsidRPr="00713B92" w:rsidRDefault="003D54AC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Ukupni neto iznosi gubitka iznad praga događaja gubitka od 100 000 EUR, koji su isključeni u skladu s člankom 320. stavkom 1. Uredbe (EU) br. 575/2013, za svako od posljednjih 10 izvještajnih razdoblja.</w:t>
            </w:r>
          </w:p>
        </w:tc>
      </w:tr>
      <w:tr w:rsidR="00D740B8" w:rsidRPr="00713B92" w14:paraId="33C9C19A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35360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23E8D" w14:textId="77777777" w:rsidR="00D740B8" w:rsidRPr="00713B92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Ukupan broj isključenih događaja operativnog rizika</w:t>
            </w:r>
          </w:p>
          <w:p w14:paraId="2B56754D" w14:textId="46B0AAAA" w:rsidR="00D740B8" w:rsidRPr="00713B92" w:rsidRDefault="00D740B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Članak 446. stavak 2. točka (b) i članak 320. stavak 1. Uredbe (EU) 575/2013</w:t>
            </w:r>
          </w:p>
          <w:p w14:paraId="2EDEC8CA" w14:textId="252B783D" w:rsidR="00D740B8" w:rsidRPr="00713B92" w:rsidRDefault="00471410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Ukupan broj izvanrednih događaja operativnog rizika iznad praga događaja gubitka od 100 000 EUR koji su isključeni u skladu s člankom 320. stavkom 1. Uredbe (EU) 575/2013 za svako od posljednjih 10 izvještajnih razdoblja.</w:t>
            </w:r>
          </w:p>
        </w:tc>
      </w:tr>
      <w:tr w:rsidR="00D740B8" w:rsidRPr="00713B92" w14:paraId="01B8CA90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51114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07D3" w14:textId="0C81ABEB" w:rsidR="00D740B8" w:rsidRPr="00713B92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Ukupan iznos gubitaka od operativnog rizika umanjen za povrate i isključene gubitke</w:t>
            </w:r>
          </w:p>
          <w:p w14:paraId="65622881" w14:textId="32C07686" w:rsidR="00D740B8" w:rsidRPr="00713B92" w:rsidRDefault="006943D3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U ovom se retku objavljuje ukupni iznos gubitaka od operativnog rizika umanjen za iznos povrata objavljen u retku 6., umanjen za iznos isključenih gubitaka objavljen u retku 8.</w:t>
            </w:r>
          </w:p>
        </w:tc>
      </w:tr>
      <w:tr w:rsidR="00D740B8" w:rsidRPr="00713B92" w14:paraId="1DE089DB" w14:textId="77777777" w:rsidTr="00F828EB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FA6CB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EE813C" w14:textId="77777777" w:rsidR="00D740B8" w:rsidRPr="00713B92" w:rsidRDefault="00D740B8">
            <w:pPr>
              <w:autoSpaceDE w:val="0"/>
              <w:autoSpaceDN w:val="0"/>
              <w:adjustRightInd w:val="0"/>
              <w:spacing w:before="120" w:after="120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Nije primjenjivo.</w:t>
            </w:r>
          </w:p>
        </w:tc>
      </w:tr>
      <w:tr w:rsidR="00D740B8" w:rsidRPr="00713B92" w14:paraId="23D23702" w14:textId="77777777" w:rsidTr="00F828EB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154CBB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2D8849" w14:textId="77777777" w:rsidR="00D740B8" w:rsidRPr="00713B92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Nije primjenjivo.</w:t>
            </w:r>
          </w:p>
        </w:tc>
      </w:tr>
      <w:tr w:rsidR="00D740B8" w:rsidRPr="00713B92" w14:paraId="5EEF83F8" w14:textId="77777777" w:rsidTr="00F828EB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4FD13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lastRenderedPageBreak/>
              <w:t>13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DA855" w14:textId="77777777" w:rsidR="00D740B8" w:rsidRPr="00713B92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Nije primjenjivo.</w:t>
            </w:r>
          </w:p>
        </w:tc>
      </w:tr>
    </w:tbl>
    <w:p w14:paraId="25A698B0" w14:textId="77777777" w:rsidR="00D740B8" w:rsidRPr="00713B92" w:rsidRDefault="00D740B8" w:rsidP="00D740B8">
      <w:pPr>
        <w:pStyle w:val="InstructionsText2"/>
        <w:numPr>
          <w:ilvl w:val="0"/>
          <w:numId w:val="0"/>
        </w:numPr>
        <w:ind w:left="360"/>
        <w:rPr>
          <w:lang w:val="en-US"/>
        </w:rPr>
      </w:pPr>
    </w:p>
    <w:p w14:paraId="033C5861" w14:textId="77777777" w:rsidR="00D740B8" w:rsidRPr="00713B92" w:rsidRDefault="00D740B8" w:rsidP="00D740B8">
      <w:pPr>
        <w:jc w:val="both"/>
        <w:rPr>
          <w:rFonts w:ascii="Times New Roman" w:hAnsi="Times New Roman" w:cs="Times New Roman"/>
          <w:bCs/>
          <w:sz w:val="24"/>
        </w:rPr>
      </w:pPr>
      <w:r w:rsidRPr="00713B92">
        <w:rPr>
          <w:rFonts w:ascii="Times New Roman" w:hAnsi="Times New Roman"/>
          <w:b/>
          <w:sz w:val="24"/>
        </w:rPr>
        <w:t xml:space="preserve">Obrazac EU OR2 – Pokazatelj poslovanja, komponente i </w:t>
      </w:r>
      <w:proofErr w:type="spellStart"/>
      <w:r w:rsidRPr="00713B92">
        <w:rPr>
          <w:rFonts w:ascii="Times New Roman" w:hAnsi="Times New Roman"/>
          <w:b/>
          <w:sz w:val="24"/>
        </w:rPr>
        <w:t>potkomponente</w:t>
      </w:r>
      <w:proofErr w:type="spellEnd"/>
      <w:r w:rsidRPr="00713B92">
        <w:rPr>
          <w:rFonts w:ascii="Times New Roman" w:hAnsi="Times New Roman"/>
          <w:b/>
          <w:sz w:val="24"/>
        </w:rPr>
        <w:t xml:space="preserve">. </w:t>
      </w:r>
      <w:r w:rsidRPr="00713B92">
        <w:rPr>
          <w:rFonts w:ascii="Times New Roman" w:hAnsi="Times New Roman"/>
          <w:sz w:val="24"/>
        </w:rPr>
        <w:t>Fiksni obrazac</w:t>
      </w:r>
    </w:p>
    <w:p w14:paraId="3D173CCF" w14:textId="77777777" w:rsidR="00D740B8" w:rsidRPr="00713B92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3F849430" w14:textId="414C531B" w:rsidR="00D740B8" w:rsidRPr="00713B92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713B92">
        <w:rPr>
          <w:rFonts w:ascii="Times New Roman" w:hAnsi="Times New Roman"/>
          <w:sz w:val="24"/>
        </w:rPr>
        <w:t xml:space="preserve">Institucije objavljuju informacije uključene u obrazac EU OR2 u skladu s člankom 446. stavkom 1. točkama (c) i (d) Uredbe (EU) br. 575/2013. Taj obrazac sadržava informacije o izračunu komponente pokazatelja poslovanja (BIC) u skladu s člankom 313. Uredbe (EU) br. 575/2013 i o izračunu pokazatelja poslovanja (BI), komponenata i </w:t>
      </w:r>
      <w:proofErr w:type="spellStart"/>
      <w:r w:rsidRPr="00713B92">
        <w:rPr>
          <w:rFonts w:ascii="Times New Roman" w:hAnsi="Times New Roman"/>
          <w:sz w:val="24"/>
        </w:rPr>
        <w:t>potkomponenata</w:t>
      </w:r>
      <w:proofErr w:type="spellEnd"/>
      <w:r w:rsidRPr="00713B92">
        <w:rPr>
          <w:rFonts w:ascii="Times New Roman" w:hAnsi="Times New Roman"/>
          <w:sz w:val="24"/>
        </w:rPr>
        <w:t xml:space="preserve"> u skladu s člankom 314. Uredbe (EU) br. 575/2013. Osim toga, u obrascu se navode informacije o iznosima koji su isključeni iz pokazatelja poslovanja, a koji se odnose na otuđene subjekte ili aktivnosti, u skladu s člankom 315. stavkom 2.</w:t>
      </w:r>
    </w:p>
    <w:p w14:paraId="5C35CEC0" w14:textId="77777777" w:rsidR="00D740B8" w:rsidRPr="00713B92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1749895F" w14:textId="07869965" w:rsidR="00D740B8" w:rsidRPr="00713B92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713B92">
        <w:rPr>
          <w:rFonts w:ascii="Times New Roman" w:hAnsi="Times New Roman"/>
          <w:sz w:val="24"/>
        </w:rPr>
        <w:t xml:space="preserve">Institucije za svaku od posljednje tri financijske godine dostavljaju informacije o iznosu relevantnih stavki s popisa koje su potrebne za izračun </w:t>
      </w:r>
      <w:proofErr w:type="spellStart"/>
      <w:r w:rsidRPr="00713B92">
        <w:rPr>
          <w:rFonts w:ascii="Times New Roman" w:hAnsi="Times New Roman"/>
          <w:sz w:val="24"/>
        </w:rPr>
        <w:t>potkomponenata</w:t>
      </w:r>
      <w:proofErr w:type="spellEnd"/>
      <w:r w:rsidRPr="00713B92">
        <w:rPr>
          <w:rFonts w:ascii="Times New Roman" w:hAnsi="Times New Roman"/>
          <w:sz w:val="24"/>
        </w:rPr>
        <w:t xml:space="preserve"> pokazatelja poslovanja i koje doprinose izračunu kapitalnih zahtjeva za operativni rizik.</w:t>
      </w:r>
    </w:p>
    <w:p w14:paraId="7B27D162" w14:textId="77777777" w:rsidR="00D740B8" w:rsidRPr="00713B92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41988E91" w14:textId="281D16EA" w:rsidR="00D740B8" w:rsidRPr="00713B92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713B92">
        <w:rPr>
          <w:rFonts w:ascii="Times New Roman" w:hAnsi="Times New Roman"/>
          <w:sz w:val="24"/>
        </w:rPr>
        <w:t>U skladu s člankom 314. stavkom 8. Uredbe (EU) br. 575/2013, ako podatci o prethodnim razdobljima nisu dostupni, institucije iskazuju procjene budućeg poslovanja.</w:t>
      </w:r>
    </w:p>
    <w:p w14:paraId="14A23528" w14:textId="485ED75C" w:rsidR="00D740B8" w:rsidRPr="00713B92" w:rsidRDefault="00D740B8" w:rsidP="00D740B8">
      <w:pPr>
        <w:pStyle w:val="numbered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13B92">
        <w:rPr>
          <w:rFonts w:ascii="Times New Roman" w:hAnsi="Times New Roman"/>
          <w:sz w:val="24"/>
        </w:rPr>
        <w:t>Ako institucija ima manje od tri godine dostupnih podataka koji se odnose na detaljne stavke koje ulaze u komponente pokazatelja poslovanja, dostupni podatci o prethodnim razdobljima raspoređuju se prema prioritetu u odgovarajuće stupce u obrascu. Ako institucija ima povijesne podatke o komponentama pokazatelja poslovanja dostupne samo za jednu godinu, ti podatci iskazuju se u stupcu koji odgovara posljednjoj godini (npr. „posljednja godina”). Ako se to čini razumnim, buduće procjene uključuju se u godinu -1. odnosno godinu -2. dok ti podatci ne postanu dostupni.</w:t>
      </w:r>
    </w:p>
    <w:p w14:paraId="2DDE0943" w14:textId="7F04DC41" w:rsidR="00D740B8" w:rsidRPr="00713B92" w:rsidRDefault="00D740B8" w:rsidP="00D740B8">
      <w:pPr>
        <w:pStyle w:val="numbered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13B92">
        <w:rPr>
          <w:rFonts w:ascii="Times New Roman" w:hAnsi="Times New Roman"/>
          <w:sz w:val="24"/>
        </w:rPr>
        <w:t>U podstavke koje su dio izračuna komponente kamata, najmova i dividendi (ILDC) institucije ne uključuju iznose koji se odnose na one pojedinačne institucije koje su društva kćeri i čiji se ILDC izračunava odvojeno u skladu s člankom 314. stavkom 3. Uredbe (EU) br. 575/2013.</w:t>
      </w:r>
    </w:p>
    <w:p w14:paraId="3512454B" w14:textId="27224DC8" w:rsidR="00841A0D" w:rsidRPr="00713B92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713B92">
        <w:rPr>
          <w:rFonts w:ascii="Times New Roman" w:hAnsi="Times New Roman"/>
          <w:sz w:val="24"/>
        </w:rPr>
        <w:t>U podstavke koje su dio izračuna komponente kamata, najmova i dividendi (ILDC) institucije ne uključuju iznose iz poslovnih linija poslovanja sa stanovništvom i/ili poslovnog bankarstva u slučajevima kada je institucija dobila odobrenje za primjenu članka 314. stavka 4. Uredbe (EU) br. 575/2013.</w:t>
      </w:r>
    </w:p>
    <w:p w14:paraId="22AE3E22" w14:textId="77777777" w:rsidR="00841A0D" w:rsidRPr="00713B92" w:rsidRDefault="00841A0D" w:rsidP="00841A0D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3A161EFD" w14:textId="7882B43A" w:rsidR="00D740B8" w:rsidRPr="00713B92" w:rsidRDefault="003826D3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713B92">
        <w:rPr>
          <w:rFonts w:ascii="Times New Roman" w:hAnsi="Times New Roman"/>
          <w:sz w:val="24"/>
        </w:rPr>
        <w:t>Međutim, institucije iskazuju u retku 1. ukupni iznos ILDC-a, uključujući iznose izračunane u skladu s člankom 314. stavkom 3. Uredbe (EU) br. 575/2013. U retku EU 1 iskazuje se i ILDC, isključujući subjekte iz članka 314. stavka 3.</w:t>
      </w:r>
    </w:p>
    <w:p w14:paraId="7DAFACF8" w14:textId="77777777" w:rsidR="00D740B8" w:rsidRPr="00713B92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578B96DC" w14:textId="494916C5" w:rsidR="00D740B8" w:rsidRPr="00713B92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713B92">
        <w:rPr>
          <w:rFonts w:ascii="Times New Roman" w:hAnsi="Times New Roman"/>
          <w:sz w:val="24"/>
        </w:rPr>
        <w:t>U skladu s člankom 446. stavkom 1. Uredbe (EU) br. 575/2013, institucije u popratnom opisu objavljuju obrazloženja za svako isključenje iz pokazatelja poslovanja, uz iznimku isključenja poslovnih linija poslovanja sa stanovništvom i poslovnog bankarstva, koje se uzimaju u obzir u skladu s člankom 314. stavkom 4.</w:t>
      </w:r>
    </w:p>
    <w:p w14:paraId="22C673C4" w14:textId="77777777" w:rsidR="00393FEF" w:rsidRPr="00713B92" w:rsidRDefault="00393FEF" w:rsidP="00532CFA">
      <w:pPr>
        <w:pStyle w:val="ListParagraph"/>
        <w:rPr>
          <w:rFonts w:ascii="Times New Roman" w:hAnsi="Times New Roman"/>
          <w:bCs/>
          <w:sz w:val="24"/>
        </w:rPr>
      </w:pPr>
    </w:p>
    <w:p w14:paraId="7DD11602" w14:textId="2BC0B288" w:rsidR="00393FEF" w:rsidRPr="00713B92" w:rsidRDefault="006020C0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713B92">
        <w:rPr>
          <w:rFonts w:ascii="Times New Roman" w:hAnsi="Times New Roman"/>
          <w:sz w:val="24"/>
        </w:rPr>
        <w:lastRenderedPageBreak/>
        <w:t>S obzirom na usku povezanost zahtjeva za objavu informacija o operativnom riziku i financijskih izvješća institucije, upućivanja na zahtjeve za izvješćivanje iz Priloga V. EBA-inim IT rješenjima (FINREP) odražavaju se u uputama.</w:t>
      </w:r>
    </w:p>
    <w:p w14:paraId="1D4913E2" w14:textId="77777777" w:rsidR="00DD1D82" w:rsidRPr="00713B92" w:rsidRDefault="00DD1D82" w:rsidP="00DD1D82">
      <w:pPr>
        <w:pStyle w:val="ListParagraph"/>
        <w:rPr>
          <w:rFonts w:ascii="Times New Roman" w:hAnsi="Times New Roman"/>
          <w:bCs/>
          <w:sz w:val="24"/>
        </w:rPr>
      </w:pPr>
    </w:p>
    <w:p w14:paraId="11E51AFD" w14:textId="3D720718" w:rsidR="00DD1D82" w:rsidRPr="00713B92" w:rsidRDefault="00050ABA" w:rsidP="001257B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713B92">
        <w:rPr>
          <w:rFonts w:ascii="Times New Roman" w:hAnsi="Times New Roman"/>
          <w:sz w:val="24"/>
        </w:rPr>
        <w:t>Konvencije o predznaku za ispunjavanje ovog obrasca u skladu su s konvencijama iz Priloga V. EBA-inim IT rješenjima.</w:t>
      </w:r>
    </w:p>
    <w:p w14:paraId="21275E00" w14:textId="77777777" w:rsidR="00D740B8" w:rsidRPr="00713B92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756"/>
      </w:tblGrid>
      <w:tr w:rsidR="00D740B8" w:rsidRPr="00713B92" w14:paraId="069EA903" w14:textId="77777777">
        <w:trPr>
          <w:trHeight w:val="300"/>
        </w:trPr>
        <w:tc>
          <w:tcPr>
            <w:tcW w:w="1260" w:type="dxa"/>
            <w:shd w:val="clear" w:color="auto" w:fill="BFBFBF" w:themeFill="background1" w:themeFillShade="BF"/>
          </w:tcPr>
          <w:p w14:paraId="7E4DE4F0" w14:textId="77777777" w:rsidR="00D740B8" w:rsidRPr="00713B92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Stupac</w:t>
            </w:r>
          </w:p>
        </w:tc>
        <w:tc>
          <w:tcPr>
            <w:tcW w:w="7756" w:type="dxa"/>
            <w:shd w:val="clear" w:color="auto" w:fill="BFBFBF" w:themeFill="background1" w:themeFillShade="BF"/>
          </w:tcPr>
          <w:p w14:paraId="0D54BB35" w14:textId="77777777" w:rsidR="00D740B8" w:rsidRPr="00713B92" w:rsidDel="00B46ADB" w:rsidRDefault="00D740B8">
            <w:pPr>
              <w:autoSpaceDE w:val="0"/>
              <w:autoSpaceDN w:val="0"/>
              <w:adjustRightInd w:val="0"/>
              <w:rPr>
                <w:bCs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Pravna osnova i upute</w:t>
            </w:r>
          </w:p>
        </w:tc>
      </w:tr>
      <w:tr w:rsidR="00D740B8" w:rsidRPr="00713B92" w14:paraId="7AE7216D" w14:textId="77777777">
        <w:trPr>
          <w:trHeight w:val="300"/>
        </w:trPr>
        <w:tc>
          <w:tcPr>
            <w:tcW w:w="1260" w:type="dxa"/>
          </w:tcPr>
          <w:p w14:paraId="0FC699E1" w14:textId="0D76C831" w:rsidR="00D740B8" w:rsidRPr="00713B92" w:rsidRDefault="00D740B8" w:rsidP="0016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a, b, c</w:t>
            </w:r>
          </w:p>
        </w:tc>
        <w:tc>
          <w:tcPr>
            <w:tcW w:w="7756" w:type="dxa"/>
          </w:tcPr>
          <w:p w14:paraId="510A12A5" w14:textId="13FB6D98" w:rsidR="00D740B8" w:rsidRPr="00713B92" w:rsidRDefault="00D740B8">
            <w:pPr>
              <w:autoSpaceDE w:val="0"/>
              <w:autoSpaceDN w:val="0"/>
              <w:adjustRightInd w:val="0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Vrijednost</w:t>
            </w:r>
          </w:p>
          <w:p w14:paraId="0A7A2FD7" w14:textId="77777777" w:rsidR="00D740B8" w:rsidRPr="00713B92" w:rsidRDefault="00D740B8">
            <w:pPr>
              <w:rPr>
                <w:rFonts w:ascii="Times New Roman" w:hAnsi="Times New Roman"/>
                <w:sz w:val="24"/>
                <w:lang w:eastAsia="de-DE"/>
              </w:rPr>
            </w:pPr>
          </w:p>
          <w:p w14:paraId="0C8A142A" w14:textId="4CAB13C5" w:rsidR="00D740B8" w:rsidRPr="00713B92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Članak 446. stavak 1. točka (d) i članak 314. stavak 1. Uredbe (EU) br. 575/2013</w:t>
            </w:r>
          </w:p>
          <w:p w14:paraId="7883915F" w14:textId="77777777" w:rsidR="00D740B8" w:rsidRPr="00713B92" w:rsidRDefault="00D740B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eastAsia="nl-BE"/>
              </w:rPr>
            </w:pPr>
          </w:p>
          <w:p w14:paraId="558CD9DA" w14:textId="2FA81485" w:rsidR="00EA10B1" w:rsidRPr="00713B92" w:rsidRDefault="002F3CFA">
            <w:pPr>
              <w:pStyle w:val="paragraph"/>
              <w:spacing w:before="0" w:beforeAutospacing="0" w:after="0" w:afterAutospacing="0"/>
              <w:textAlignment w:val="baseline"/>
            </w:pPr>
            <w:r w:rsidRPr="00713B92">
              <w:t>Vrijednost za popis stavki koje su dio izračuna pokazatelja poslovanja i njegovih komponenata (ILDC, komponente usluge (SC) i financijske komponente (FC)) u skladu s računovodstvenim standardima koji se primjenjuju za svaku od posljednje tri financijske godine.</w:t>
            </w:r>
          </w:p>
          <w:p w14:paraId="3414DDFE" w14:textId="77777777" w:rsidR="007B3E62" w:rsidRPr="00713B92" w:rsidRDefault="007B3E62">
            <w:pPr>
              <w:pStyle w:val="paragraph"/>
              <w:spacing w:before="0" w:beforeAutospacing="0" w:after="0" w:afterAutospacing="0"/>
              <w:textAlignment w:val="baseline"/>
              <w:rPr>
                <w:lang w:eastAsia="de-DE"/>
              </w:rPr>
            </w:pPr>
          </w:p>
          <w:p w14:paraId="374E1BCA" w14:textId="5E2803E9" w:rsidR="007B3E62" w:rsidRPr="00713B92" w:rsidRDefault="00B76B25">
            <w:pPr>
              <w:pStyle w:val="paragraph"/>
              <w:spacing w:before="0" w:beforeAutospacing="0" w:after="0" w:afterAutospacing="0"/>
              <w:textAlignment w:val="baseline"/>
            </w:pPr>
            <w:r w:rsidRPr="00713B92">
              <w:t>Iznosi se iskazuju nakon primjene prilagodbi povezanih sa spajanjima i pripajanjima / preuzimanjima i otuđenim aktivnostima.</w:t>
            </w:r>
          </w:p>
          <w:p w14:paraId="00BACA37" w14:textId="77777777" w:rsidR="00EA10B1" w:rsidRPr="00713B92" w:rsidRDefault="00EA10B1">
            <w:pPr>
              <w:pStyle w:val="paragraph"/>
              <w:spacing w:before="0" w:beforeAutospacing="0" w:after="0" w:afterAutospacing="0"/>
              <w:textAlignment w:val="baseline"/>
              <w:rPr>
                <w:lang w:eastAsia="de-DE"/>
              </w:rPr>
            </w:pPr>
          </w:p>
          <w:p w14:paraId="21635601" w14:textId="1A8DE566" w:rsidR="00D740B8" w:rsidRPr="00713B92" w:rsidRDefault="00D740B8" w:rsidP="000F6C61">
            <w:pPr>
              <w:pStyle w:val="paragraph"/>
              <w:spacing w:before="0" w:beforeAutospacing="0" w:after="0" w:afterAutospacing="0"/>
              <w:textAlignment w:val="baseline"/>
            </w:pPr>
            <w:r w:rsidRPr="00713B92">
              <w:t>Za financijsku komponentu, vrijednosti koje se objavljuju odražavat će računovodstvene vrijednosti utvrđene primjenom računovodstvene ili bonitetne granice kako bi se utvrdile stavke iz knjige trgovanja i knjige pozicija kojima se ne trguje za svaku od posljednje tri financijske godine u skladu s člankom 314. stavkom 6. Uredbe (EU) br. 575/2013.</w:t>
            </w:r>
          </w:p>
        </w:tc>
      </w:tr>
      <w:tr w:rsidR="00D740B8" w:rsidRPr="00713B92" w14:paraId="3103AD05" w14:textId="77777777">
        <w:trPr>
          <w:trHeight w:val="300"/>
        </w:trPr>
        <w:tc>
          <w:tcPr>
            <w:tcW w:w="1260" w:type="dxa"/>
          </w:tcPr>
          <w:p w14:paraId="0FFA543A" w14:textId="77777777" w:rsidR="00D740B8" w:rsidRPr="00713B92" w:rsidRDefault="00D740B8" w:rsidP="0016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d</w:t>
            </w:r>
          </w:p>
        </w:tc>
        <w:tc>
          <w:tcPr>
            <w:tcW w:w="7756" w:type="dxa"/>
          </w:tcPr>
          <w:p w14:paraId="117DF1D7" w14:textId="77777777" w:rsidR="00D740B8" w:rsidRPr="00713B92" w:rsidRDefault="00D740B8">
            <w:pPr>
              <w:autoSpaceDE w:val="0"/>
              <w:autoSpaceDN w:val="0"/>
              <w:adjustRightInd w:val="0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Prosječne vrijednosti</w:t>
            </w:r>
          </w:p>
          <w:p w14:paraId="27B3847F" w14:textId="77777777" w:rsidR="00D740B8" w:rsidRPr="00713B92" w:rsidRDefault="00D740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eastAsia="de-DE"/>
              </w:rPr>
            </w:pPr>
          </w:p>
          <w:p w14:paraId="2CEEC93D" w14:textId="277817D6" w:rsidR="00D740B8" w:rsidRPr="00713B92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Članak 314. stavci 2., 5. i 6. Uredbe (EU) br. 575/2013</w:t>
            </w:r>
          </w:p>
          <w:p w14:paraId="5FAAFF7A" w14:textId="77777777" w:rsidR="00D740B8" w:rsidRPr="00713B92" w:rsidRDefault="00D740B8">
            <w:pPr>
              <w:autoSpaceDE w:val="0"/>
              <w:autoSpaceDN w:val="0"/>
              <w:adjustRightInd w:val="0"/>
              <w:rPr>
                <w:rStyle w:val="InstructionsTabelleberschrift"/>
                <w:rFonts w:ascii="Times New Roman" w:hAnsi="Times New Roman"/>
                <w:sz w:val="24"/>
              </w:rPr>
            </w:pPr>
          </w:p>
          <w:p w14:paraId="3E17CEC0" w14:textId="402AFA6E" w:rsidR="00D740B8" w:rsidRPr="00713B92" w:rsidRDefault="00D740B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713B92">
              <w:rPr>
                <w:rStyle w:val="normaltextrun"/>
              </w:rPr>
              <w:t xml:space="preserve">Izračunane vrijednosti komponenata ILDC, SC i FC i prosječna vrijednost njihovih povezanih </w:t>
            </w:r>
            <w:proofErr w:type="spellStart"/>
            <w:r w:rsidRPr="00713B92">
              <w:rPr>
                <w:rStyle w:val="normaltextrun"/>
              </w:rPr>
              <w:t>potkomponenata</w:t>
            </w:r>
            <w:proofErr w:type="spellEnd"/>
            <w:r w:rsidRPr="00713B92">
              <w:rPr>
                <w:rStyle w:val="normaltextrun"/>
              </w:rPr>
              <w:t xml:space="preserve"> izračunana tijekom posljednje tri financijske godine i koja se odnosi na godinu T.</w:t>
            </w:r>
          </w:p>
          <w:p w14:paraId="32637704" w14:textId="35682543" w:rsidR="00D740B8" w:rsidRPr="00713B92" w:rsidRDefault="00D740B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6C270BFC" w14:textId="453723AA" w:rsidR="00D740B8" w:rsidRPr="00713B92" w:rsidRDefault="00D740B8" w:rsidP="008006BD">
            <w:pPr>
              <w:pStyle w:val="paragraph"/>
              <w:spacing w:before="0" w:beforeAutospacing="0" w:after="0" w:afterAutospacing="0"/>
              <w:textAlignment w:val="baseline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13B92">
              <w:rPr>
                <w:rStyle w:val="normaltextrun"/>
              </w:rPr>
              <w:t xml:space="preserve">Prosjek se izračunava uzimajući u obzir računovodstvene vrijednosti za svaku od posljednje tri godine. </w:t>
            </w:r>
          </w:p>
        </w:tc>
      </w:tr>
    </w:tbl>
    <w:p w14:paraId="75117700" w14:textId="77777777" w:rsidR="00D740B8" w:rsidRPr="00713B92" w:rsidRDefault="00D740B8" w:rsidP="00D740B8">
      <w:pPr>
        <w:pStyle w:val="numberedparagraph"/>
        <w:numPr>
          <w:ilvl w:val="0"/>
          <w:numId w:val="0"/>
        </w:numPr>
        <w:ind w:left="284" w:hanging="284"/>
        <w:rPr>
          <w:rStyle w:val="InstructionsTabelleberschrift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768"/>
      </w:tblGrid>
      <w:tr w:rsidR="00D740B8" w:rsidRPr="00713B92" w14:paraId="60D9E4A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F2134" w14:textId="77777777" w:rsidR="00D740B8" w:rsidRPr="00713B92" w:rsidRDefault="00D740B8" w:rsidP="00713B92">
            <w:pPr>
              <w:pageBreakBefore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Redak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799870" w14:textId="77777777" w:rsidR="00D740B8" w:rsidRPr="00713B92" w:rsidRDefault="00D740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Pravna osnova i upute</w:t>
            </w:r>
          </w:p>
        </w:tc>
      </w:tr>
      <w:tr w:rsidR="00D740B8" w:rsidRPr="00713B92" w14:paraId="1AE63B23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4D68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762DB" w14:textId="4BD6204F" w:rsidR="00D740B8" w:rsidRPr="00713B92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Komponenta kamata, najmova i dividendi (ILDC)</w:t>
            </w:r>
          </w:p>
          <w:p w14:paraId="78381763" w14:textId="2625CE0B" w:rsidR="00D740B8" w:rsidRPr="00713B92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Komponenta kamata, najmova i dividendi (ILDC) izračunava se u skladu s člankom 314. stavkom 2. Uredbe (EU) br. 575/2013, uključujući, ako je primjenjivo, iznose izračunane u skladu s člankom 314. stavkom 3. Uredbe (EU) br. 575/2013. Ako se na instituciju primjenjuje odstupanje iz članka 314. stavka 4. Uredbe (EU) br. 575/2013, institucija ne uključuje iznose iz poslovnih linija poslovanja sa stanovništvom i/ili poslovnog bankarstva.</w:t>
            </w:r>
          </w:p>
        </w:tc>
      </w:tr>
      <w:tr w:rsidR="00456F97" w:rsidRPr="00713B92" w14:paraId="2142E785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0228B" w14:textId="2F42AD3B" w:rsidR="00456F97" w:rsidRPr="00713B92" w:rsidRDefault="00E03FA1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EU 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D9357" w14:textId="2BE8631A" w:rsidR="00456F97" w:rsidRPr="00713B92" w:rsidRDefault="00E2624F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ILDC povezan s pojedinačnom institucijom / konsolidiranom grupom (isključujući subjekte obuhvaćene člankom 314. stavkom 3.)</w:t>
            </w:r>
          </w:p>
          <w:p w14:paraId="3B4A0231" w14:textId="6A33703B" w:rsidR="00E2624F" w:rsidRPr="00713B92" w:rsidRDefault="00E2624F" w:rsidP="00413B9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Komponenta kamata, najmova i dividendi (ILDC) izračunana u skladu s člankom 314. stavkom 2. Uredbe (EU) br. 575/2013, bez uključivanja iznosa koji su dio izračuna ILDC-a u slučajevima u kojima institucija primjenjuje odstupanje u skladu s člankom 314. stavkom 3. Uredbe (EU) br. 575/2013.</w:t>
            </w:r>
          </w:p>
        </w:tc>
      </w:tr>
      <w:tr w:rsidR="00D740B8" w:rsidRPr="00713B92" w14:paraId="687AA3E1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75F19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1a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7EA18" w14:textId="77777777" w:rsidR="00D740B8" w:rsidRPr="00713B92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Prihodi od kamata i najmova</w:t>
            </w:r>
          </w:p>
          <w:p w14:paraId="33CCD1CB" w14:textId="130AE220" w:rsidR="00BD248A" w:rsidRPr="00713B92" w:rsidRDefault="00D740B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Zbroj kamatnih prihoda od sve financijske imovine, drugih prihoda od imovine u najmu i dobiti od imovine u najmu, u skladu s Prilogom V. EBA-inih IT rješenja.</w:t>
            </w:r>
          </w:p>
          <w:p w14:paraId="76D4A1E7" w14:textId="77777777" w:rsidR="00BD248A" w:rsidRPr="00713B92" w:rsidRDefault="00BD248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841383" w14:textId="08257E38" w:rsidR="00F5221D" w:rsidRPr="00713B92" w:rsidRDefault="004F220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Kamatni prihodi od sve financijske imovine izračunavaju se u skladu s Prilogom V. dijelom 2. stavkom 31. EBA-inih IT rješenja i u skladu s dodatnim specifikacijama iz Priloga V. dijela 2. točaka 187., 189. i 194.ii EBA-inih IT rješenja.</w:t>
            </w:r>
          </w:p>
          <w:p w14:paraId="55B6FFE6" w14:textId="77777777" w:rsidR="00F5221D" w:rsidRPr="00713B92" w:rsidRDefault="00F522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ED9136" w14:textId="12CD18AE" w:rsidR="00E76AA5" w:rsidRPr="00713B92" w:rsidRDefault="00F5221D" w:rsidP="007535C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Ostali prihodi od imovine u najmu (financijskom i poslovnom) ne uključuju kamatne prihode. Taj se iznos izračunava u skladu s Prilogom V. dijelom 2. stavcima 314. i 316. EBA-inih IT rješenja, a čine ga: (i) prihodi od promjena fer vrijednosti ulaganja u nekretnine koje generiraju prihod od najma i koja se mjere primjenom modela fer vrijednosti i/ili (ii) prihodi od poslovnih najmova, uključujući prihod od najma iz ulaganja u nekretnine.</w:t>
            </w:r>
          </w:p>
          <w:p w14:paraId="6C1BE770" w14:textId="77777777" w:rsidR="007535CB" w:rsidRPr="00713B92" w:rsidRDefault="007535CB" w:rsidP="007535C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2C7468" w14:textId="3A50C109" w:rsidR="00D740B8" w:rsidRPr="00713B92" w:rsidRDefault="00BB0B3D" w:rsidP="004F34D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Dobit od imovine u najmu (financijskom i poslovnom) uključuje: (i) dobitke od izmjena najma u skladu s Prilogom V. dijelom 2. stavkom 49. EBA-inih IT rješenja; (ii) preostali dio ostalih prihoda iz poslovanja (ostali prihodi iz poslovanja) u skladu s Prilogom V. dijelom 2. stavcima 314. i 316. EBA-inih IT rješenja, ako su povezani s imovinom u najmu (financijskom i poslovnom).</w:t>
            </w:r>
          </w:p>
        </w:tc>
      </w:tr>
      <w:tr w:rsidR="00D740B8" w:rsidRPr="00713B92" w14:paraId="07825B95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DD05F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1b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F99FE" w14:textId="5114D538" w:rsidR="00D740B8" w:rsidRPr="00713B92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Rashodi za kamate i najam</w:t>
            </w:r>
          </w:p>
          <w:p w14:paraId="65B73157" w14:textId="72BA8427" w:rsidR="00EC1398" w:rsidRPr="00713B92" w:rsidRDefault="00D740B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Zbroj kamatnih rashoda iz svih financijskih obveza, rashoda za imovinu u najmu i amortizaciju, umanjenje vrijednosti i gubitke imovine u najmu, kako je navedeno u Prilogu V. EBA-inih IT rješenja.</w:t>
            </w:r>
          </w:p>
          <w:p w14:paraId="06CEDDA9" w14:textId="77777777" w:rsidR="00BA33C3" w:rsidRPr="00713B92" w:rsidRDefault="00BA33C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CFF991" w14:textId="1BCDC8C4" w:rsidR="00BA33C3" w:rsidRPr="00713B92" w:rsidRDefault="00BA33C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Kamatni rashodi iz svih financijskih obveza izračunavaju se u skladu s Prilogom V. dijelom 2. stavkom 31. EBA-inih IT rješenja i u skladu s dodatnim specifikacijama iz Priloga V. dijela 2. točaka 188., 190. i 194.ii EBA-inih IT rješenja. Kamatni rashodi koji su nastali zbog događaja operativnog rizika ne iskazuju se. Umjesto toga, uključuju se u komponentu usluga u skladu s člankom 314. stavkom 5. Uredbe (EU) br. 575/2013.</w:t>
            </w:r>
          </w:p>
          <w:p w14:paraId="2D079DF5" w14:textId="77777777" w:rsidR="003D0A4B" w:rsidRPr="00713B92" w:rsidRDefault="003D0A4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A94531" w14:textId="1EA15404" w:rsidR="003D0A4B" w:rsidRPr="00713B92" w:rsidRDefault="003D0A4B" w:rsidP="00D136A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Rashodi od imovine u (poslovnom) najmu uključuju rashode u skladu s Prilogom V. dijelom 2. stavcima 314. i 315. EBA-inih IT rješenja u vezi s poslovnim najmovima, koji predstavljaju: (i) rashode od promjena fer vrijednosti ulaganja u nekretnine koje ostvaruju prihod od najma i mjere se primjenom modela fer vrijednosti iz imovine u poslovnom najmu i (ii) rashode za poslovne najmove, uključujući izravne troškove poslovanja od ulaganja u nekretnine koja ostvaruju prihod od najma. Osim toga, institucije ovdje trebaju iskazati ostale administrativne rashode koji proizlaze iz imovine u poslovnom najmu u skladu s Prilogom V. dijelom 2. stavkom 208.ix. EBA-inih IT rješenja. Rashodi koji su nastali zbog događaja operativnog rizika ne iskazuju se. Umjesto toga, uključuju se u komponentu usluga u skladu s člankom 314. stavkom 5. Uredbe (EU) br. 575/2013.</w:t>
            </w:r>
          </w:p>
          <w:p w14:paraId="61020FEC" w14:textId="77777777" w:rsidR="00376B14" w:rsidRPr="00713B92" w:rsidRDefault="00376B1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976FDD" w14:textId="0FB08478" w:rsidR="00376B14" w:rsidRPr="00713B92" w:rsidRDefault="00376B1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Amortizacija imovine u najmu predstavlja troškove amortizacije iskazane u skladu s međunarodnim računovodstvenim standardima (MRS) 1, stavcima 102. i 104., ali samo od imovine u poslovnom najmu čiji su prihodi ili rashodi uključeni u izračun kamatnih prihoda/rashoda.</w:t>
            </w:r>
          </w:p>
          <w:p w14:paraId="5D82FC67" w14:textId="77777777" w:rsidR="00DA24A2" w:rsidRPr="00713B92" w:rsidRDefault="00DA24A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89DE9C" w14:textId="6D7B59E2" w:rsidR="00DA24A2" w:rsidRPr="00713B92" w:rsidRDefault="00DA24A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Umanjenje vrijednosti imovine u najmu odgovara rashodima za imovinu u poslovnom najmu koji predstavljaju umanjenje vrijednosti ili poništenje umanjenja vrijednosti u skladu s MRS-om 36 stavkom 126. točkama (a) i (b), od imovine u poslovnom najmu.</w:t>
            </w:r>
          </w:p>
          <w:p w14:paraId="11B36ACB" w14:textId="77777777" w:rsidR="00DA24A2" w:rsidRPr="00713B92" w:rsidRDefault="00DA24A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A351B6" w14:textId="470A5833" w:rsidR="00D740B8" w:rsidRPr="00713B92" w:rsidRDefault="00DA24A2" w:rsidP="004F34D4">
            <w:pPr>
              <w:rPr>
                <w:rFonts w:ascii="Times New Roman" w:hAnsi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Gubitci od imovine u najmu odgovaraju preostalom dijelu ostalih troškova poslovanja (ostali troškovi poslovanja) u skladu s Prilogom V. dijelom 2. odjeljkom 29.3 stavkom 316. EBA-inih IT rješenja, ako nisu povezani s imovinom u poslovnom najmu. Gubitci koji su nastali zbog događaja operativnog rizika ne iskazuju se. Umjesto toga, uključuju se u komponentu usluga u skladu s člankom 314. stavkom 5. Uredbe (EU) br. 575/2013.</w:t>
            </w:r>
          </w:p>
        </w:tc>
      </w:tr>
      <w:tr w:rsidR="00D740B8" w:rsidRPr="00713B92" w14:paraId="49B58D8D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019E7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1.c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E844B" w14:textId="18CAFF49" w:rsidR="00D740B8" w:rsidRPr="00713B92" w:rsidRDefault="00B76736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Ukupna imovina / komponenta imovine</w:t>
            </w:r>
          </w:p>
          <w:p w14:paraId="15501679" w14:textId="3EB04379" w:rsidR="00D740B8" w:rsidRPr="00713B92" w:rsidRDefault="00B76736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U stupcu d) komponenta imovine izračunava se u skladu s člankom 314. stavkom 2. Uredbe (EU) br. 575/2013.</w:t>
            </w:r>
          </w:p>
          <w:p w14:paraId="65FF56C9" w14:textId="24401D0D" w:rsidR="004E3E86" w:rsidRPr="00713B92" w:rsidRDefault="003E3201" w:rsidP="00373F9D">
            <w:pPr>
              <w:rPr>
                <w:rFonts w:ascii="Times New Roman" w:hAnsi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U ostalim stupcima ukupna imovina odgovara zbroju bruto knjigovodstvene vrijednosti novčanih sredstava kod središnjih banaka i ostalih depozita po viđenju, dužničkih vrijednosnih papira, kredita i predujmova, kao i knjigovodstvene vrijednosti izvedenica (trgovinske i ekonomske zaštite i računovodstva zaštite) i imovine koja podliježe najmu (materijalna i nematerijalna imovina). Te se stavke odnose na Prilog V. EBA-inim IT rješenjima.</w:t>
            </w:r>
          </w:p>
          <w:p w14:paraId="2655EEC4" w14:textId="6116BB66" w:rsidR="00BC1F18" w:rsidRPr="00713B92" w:rsidRDefault="00BC1F18" w:rsidP="00BC1F18">
            <w:pPr>
              <w:rPr>
                <w:rFonts w:ascii="Times New Roman" w:hAnsi="Times New Roman"/>
                <w:sz w:val="24"/>
              </w:rPr>
            </w:pPr>
          </w:p>
        </w:tc>
      </w:tr>
      <w:tr w:rsidR="00D740B8" w:rsidRPr="00713B92" w14:paraId="431D95BD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4247A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1.d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83663" w14:textId="03959A67" w:rsidR="00D740B8" w:rsidRPr="00713B92" w:rsidRDefault="00B76736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Prihod od dividendi / komponenta dividendi</w:t>
            </w:r>
          </w:p>
          <w:p w14:paraId="1A066B7B" w14:textId="4AA7538A" w:rsidR="00D740B8" w:rsidRPr="00713B92" w:rsidRDefault="00B76736" w:rsidP="004E3E86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U stupcu d) komponenta dividendi izračunava se u skladu s člankom 314. stavkom 2. Uredbe (EU) br. 575/2013.</w:t>
            </w:r>
          </w:p>
          <w:p w14:paraId="3F4B342E" w14:textId="23DB8876" w:rsidR="004E3E86" w:rsidRPr="00713B92" w:rsidRDefault="004E3E86" w:rsidP="004E3E86">
            <w:pPr>
              <w:rPr>
                <w:rFonts w:ascii="Times New Roman" w:hAnsi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Institucije iskazuju prihode od dividendi u skladu s Prilogom V. dijelom 2. stavcima od 40. do 42. EBA-inih IT rješenja.</w:t>
            </w:r>
          </w:p>
        </w:tc>
      </w:tr>
      <w:tr w:rsidR="003826D3" w:rsidRPr="00713B92" w14:paraId="3A9CE2B7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64302" w14:textId="77777777" w:rsidR="003826D3" w:rsidRPr="00713B92" w:rsidRDefault="003826D3" w:rsidP="00713B92">
            <w:pPr>
              <w:pageBreakBefore/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58B47" w14:textId="103CAA7B" w:rsidR="003826D3" w:rsidRPr="00713B92" w:rsidRDefault="003826D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Komponenta usluga (SC)</w:t>
            </w:r>
          </w:p>
          <w:p w14:paraId="2D48B659" w14:textId="0264DFE4" w:rsidR="00080F37" w:rsidRPr="00713B92" w:rsidRDefault="005E7C4C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Komponenta usluge izračunava se u skladu s člankom 314. stavkom 5. Uredbe (EU) br. 575/2013.</w:t>
            </w:r>
          </w:p>
          <w:p w14:paraId="2EFCFDAF" w14:textId="3F07E77F" w:rsidR="003826D3" w:rsidRPr="00713B92" w:rsidRDefault="0094124B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 xml:space="preserve">Ako se na instituciju primjenjuje odstupanje iz članka 314. stavka 4. Uredbe (EU) br. 575/2013, institucija ne uključuje iznose iz poslovnih linija poslovanja sa stanovništvom i/ili poslovnog bankarstva. </w:t>
            </w:r>
          </w:p>
        </w:tc>
      </w:tr>
      <w:tr w:rsidR="003826D3" w:rsidRPr="00713B92" w14:paraId="74CC77A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24C8A" w14:textId="77777777" w:rsidR="003826D3" w:rsidRPr="00713B92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2.a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F1D9A" w14:textId="77777777" w:rsidR="003826D3" w:rsidRPr="00713B92" w:rsidRDefault="003826D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Prihodi od naknada i provizija</w:t>
            </w:r>
          </w:p>
          <w:p w14:paraId="1394D6AF" w14:textId="06AD3617" w:rsidR="003826D3" w:rsidRPr="00713B92" w:rsidRDefault="009816D6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Prihodi od naknada i provizija iz Priloga V. dijela 2. stavaka od 281. do 284. EBA-inih IT rješenja i izračunani u skladu s člankom 314. stavkom 5. Uredbe (EU) br. 575/2013.</w:t>
            </w:r>
          </w:p>
          <w:p w14:paraId="0EA5E8EE" w14:textId="07382D3A" w:rsidR="008D318E" w:rsidRPr="00713B92" w:rsidRDefault="008D318E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U ovu bi stavku trebalo uključiti i prihod od pomoćnih aktivnosti, kao što su IT aktivnosti potrebne za izvršenje financijske usluge, u skladu s člankom 7. regulatornih tehničkih standarda koji se trebaju utvrditi u skladu s člankom 314. stavkom 9. Uredbe (EU) 575/2013.</w:t>
            </w:r>
          </w:p>
          <w:p w14:paraId="388F841F" w14:textId="1B0267DB" w:rsidR="00D91B18" w:rsidRPr="00713B92" w:rsidRDefault="007D3710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Treba isključiti dio prihoda od naknada i provizija primljenih od institucija koje su članice istog institucionalnog sustava zaštite u skladu s člankom 314. stavkom 5. Uredbe (EU) br. 575/2013.</w:t>
            </w:r>
          </w:p>
        </w:tc>
      </w:tr>
      <w:tr w:rsidR="003826D3" w:rsidRPr="00713B92" w14:paraId="20677853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7D63A" w14:textId="77777777" w:rsidR="003826D3" w:rsidRPr="00713B92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2b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259B2" w14:textId="5A4319DA" w:rsidR="003826D3" w:rsidRPr="00713B92" w:rsidRDefault="003826D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Troškovi za naknade i provizije</w:t>
            </w:r>
          </w:p>
          <w:p w14:paraId="241530E4" w14:textId="72E685E0" w:rsidR="003826D3" w:rsidRPr="00713B92" w:rsidRDefault="009816D6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Troškovi za naknade i provizije u skladu s Prilogom V. dijelom 2. stavcima od 281. do 284. EBA-inih IT rješenja i izračunani u skladu s člankom 314. stavkom 5. Uredbe (EU) br. 575/2013.</w:t>
            </w:r>
          </w:p>
          <w:p w14:paraId="03E34B08" w14:textId="2D67624D" w:rsidR="00126683" w:rsidRPr="00713B92" w:rsidRDefault="0012668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U ovom retku treba objaviti naknade plaćene za primljene eksternalizirane financijske usluge, navedene u popisu aktivnosti iz članka 8. regulatornih tehničkih standarda koji se izrađuju u skladu s člankom 314. stavkom 9. Uredbe (EU) 575/2013, ako su, u skladu s primijenjenim računovodstvenim okvirom, uključene u administrativne troškove, u skladu s člankom 16. navedenih regulatornih tehničkih standarda. U ovu stavku treba uključiti i troškove pomoćnih aktivnosti, kao što su IT aktivnosti potrebne za izvršenje financijske usluge.</w:t>
            </w:r>
          </w:p>
          <w:p w14:paraId="37B7C759" w14:textId="401F429B" w:rsidR="00A87543" w:rsidRPr="00713B92" w:rsidRDefault="00A8754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Treba isključiti dio troškova za naknade i provizije koji se plaćaju institucijama koje su članice istog institucionalnog sustava zaštite, u skladu s člankom 314. stavkom 5. Uredbe (EU) br. 575/2013.</w:t>
            </w:r>
          </w:p>
        </w:tc>
      </w:tr>
      <w:tr w:rsidR="003826D3" w:rsidRPr="00713B92" w14:paraId="56FE9999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FDD92" w14:textId="77777777" w:rsidR="003826D3" w:rsidRPr="00713B92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2.c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40694" w14:textId="77777777" w:rsidR="003826D3" w:rsidRPr="00713B92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Ostali prihodi iz poslovanja</w:t>
            </w:r>
          </w:p>
          <w:p w14:paraId="035A399D" w14:textId="7232F3EB" w:rsidR="00671F1C" w:rsidRPr="00713B92" w:rsidRDefault="009816D6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Ostali prihodi iz poslovanja, uključujući: dobitke od dugotrajne imovine i grupa za otuđenje klasificiranih kao namijenjene za prodaju koje nisu kvalificirane kao poslovanje koje se neće nastaviti (u slučaju gubitaka, vrijednosti se tretiraju kao nula) u skladu s Prilogom V. dijelom 2. stavkom 55. EBA-inih IT rješenja i ostale prihode iz poslovanja kako je navedeno u Prilogu V. dijelu 2. stavcima 314. i 316. EBA-inih IT rješenja, ali isključujući prihode od poslovnog najma i bilo koju stavku utvrđenu u skladu s člankom 314. stavkom 7. Uredbe (EU) 2021/451.</w:t>
            </w:r>
          </w:p>
          <w:p w14:paraId="39451B35" w14:textId="17278A47" w:rsidR="00A471E8" w:rsidRPr="00713B92" w:rsidRDefault="007863F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Povrat administrativnih troškova ne bi se trebao razmatrati u skladu s člankom 5. regulatornog tehničkog standarda o komponentama pokazatelja poslovanja koji se izrađuje u skladu s člankom 314. stavkom 9. Uredbe (EU) br. 575/2013.</w:t>
            </w:r>
          </w:p>
          <w:p w14:paraId="0B35E56E" w14:textId="27C4774F" w:rsidR="00695D35" w:rsidRPr="00713B92" w:rsidRDefault="00695D35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Isključuje se iznos ostalih prihoda iz poslovanja primljenih od institucija koje su članice istog institucionalnog sustava zaštite, u skladu s člankom 314. stavkom 5. Uredbe (EU) br. 575/2013.</w:t>
            </w:r>
          </w:p>
          <w:p w14:paraId="685D1BC1" w14:textId="04DD0137" w:rsidR="00695D35" w:rsidRPr="00713B92" w:rsidRDefault="00695D35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713B92">
              <w:rPr>
                <w:rFonts w:ascii="Times New Roman" w:hAnsi="Times New Roman"/>
                <w:sz w:val="24"/>
              </w:rPr>
              <w:t>Iznos tog retka izračunava se u skladu s člankom 314. stavkom 5. Uredbe (EU) br. 575/2013.</w:t>
            </w:r>
          </w:p>
        </w:tc>
      </w:tr>
      <w:tr w:rsidR="003826D3" w:rsidRPr="00713B92" w14:paraId="278E4D2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75E4C" w14:textId="77777777" w:rsidR="003826D3" w:rsidRPr="00713B92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2d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949AD" w14:textId="3ED4D7E2" w:rsidR="003826D3" w:rsidRPr="00713B92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Ostali troškovi poslovanja</w:t>
            </w:r>
          </w:p>
          <w:p w14:paraId="13FCDFA5" w14:textId="269315A4" w:rsidR="00B722D0" w:rsidRPr="00713B92" w:rsidRDefault="009816D6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Ostali troškovi poslovanja, uključujući:</w:t>
            </w:r>
          </w:p>
          <w:p w14:paraId="0E760CEE" w14:textId="74A56BE8" w:rsidR="00643568" w:rsidRPr="00713B92" w:rsidRDefault="004D0A0E" w:rsidP="002A26E9">
            <w:pPr>
              <w:pStyle w:val="ListParagraph"/>
              <w:numPr>
                <w:ilvl w:val="0"/>
                <w:numId w:val="9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gubitke od dugotrajne imovine i grupa za otuđenje klasificiranih kao namijenjene za prodaju koje nisu kvalificirane kao poslovanje koje se neće nastaviti: gubitci koji nisu posljedica događaja operativnog rizika koji proizlaze iz dugotrajne imovine i grupa za otuđenje klasificiranih kao namijenjene za prodaju koje nisu kvalificirane kao poslovanje koje se neće nastaviti u skladu s Prilogom V. dijelom 2. stavkom 55. EBA-inih IT rješenja. Iskazuju se samo gubitci; u slučaju dobitka, vrijednost se za potrebe ovog retka tretira kao nula.</w:t>
            </w:r>
          </w:p>
          <w:p w14:paraId="0334035E" w14:textId="19D6E763" w:rsidR="00EE7608" w:rsidRPr="00713B92" w:rsidRDefault="004D0A0E" w:rsidP="00EE7608">
            <w:pPr>
              <w:pStyle w:val="ListParagraph"/>
              <w:numPr>
                <w:ilvl w:val="0"/>
                <w:numId w:val="9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Ukupni gubitci, rashodi, rezervacije i drugi financijski učinci zbog događaja operativnog rizika: zbroj svih gubitaka, rashoda, rezervacija i drugih financijskih učinaka povezanih s događajima operativnog rizika, kako je iskazano u retku 0080 obrasca C.16.03 iz Priloga I. EBA-inim IT rješenjima.</w:t>
            </w:r>
          </w:p>
          <w:p w14:paraId="2C93E8CD" w14:textId="64776E12" w:rsidR="004D0A0E" w:rsidRPr="00713B92" w:rsidRDefault="00A37C45" w:rsidP="00EE7608">
            <w:pPr>
              <w:pStyle w:val="ListParagraph"/>
              <w:numPr>
                <w:ilvl w:val="0"/>
                <w:numId w:val="9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Ostali troškovi poslovanja koji nisu posljedica događaja operativnog rizika u skladu s Prilogom V. dijelom 2. stavcima 314. i 316. EBA-inih IT rješenja koji predstavljaju:</w:t>
            </w:r>
          </w:p>
          <w:p w14:paraId="01D56412" w14:textId="77777777" w:rsidR="004A5BBA" w:rsidRPr="00713B92" w:rsidRDefault="004A5BBA" w:rsidP="004A5BBA">
            <w:pPr>
              <w:pStyle w:val="ListParagraph"/>
              <w:numPr>
                <w:ilvl w:val="1"/>
                <w:numId w:val="10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rashode od promjena fer vrijednosti materijalne imovine koja se mjeri primjenom modela fer vrijednosti, osim rashoda od promjena fer vrijednosti ulaganja u nekretnine koja ostvaruju prihod od najma i mjere se s pomoću modela fer vrijednosti imovine u poslovnom najmu;</w:t>
            </w:r>
          </w:p>
          <w:p w14:paraId="726CB5AB" w14:textId="426E3DFA" w:rsidR="004A5BBA" w:rsidRPr="00713B92" w:rsidRDefault="004A5BBA" w:rsidP="004A5BBA">
            <w:pPr>
              <w:pStyle w:val="ListParagraph"/>
              <w:numPr>
                <w:ilvl w:val="1"/>
                <w:numId w:val="10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14:paraId="4F8244A1" w14:textId="2CF47DAA" w:rsidR="004A5BBA" w:rsidRPr="00713B92" w:rsidRDefault="004A5BBA" w:rsidP="004A5BBA">
            <w:pPr>
              <w:pStyle w:val="ListParagraph"/>
              <w:numPr>
                <w:ilvl w:val="1"/>
                <w:numId w:val="10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preostale ostale troškove poslovanja (ostali troškovi poslovanja) u skladu s Prilogom V. dijelom 2. stavcima 314. i 316. EBA-inih IT rješenja, ako nisu povezani s imovinom u najmu.</w:t>
            </w:r>
          </w:p>
          <w:p w14:paraId="6CDC5FBE" w14:textId="54C68FB7" w:rsidR="004A3C86" w:rsidRPr="00713B92" w:rsidRDefault="004A3C86" w:rsidP="00EE7608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Isključuje se iznos ostalih troškova poslovanja plaćenih institucijama koje su članice istog institucionalnog sustava zaštite, u skladu s člankom 314. stavkom 5. Uredbe (EU) br. 575/2013.</w:t>
            </w:r>
          </w:p>
          <w:p w14:paraId="6F1C30F0" w14:textId="3B05E985" w:rsidR="003826D3" w:rsidRPr="00713B92" w:rsidRDefault="00DE3384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Iznos tog retka izračunava se u skladu s člankom 314. stavkom 5. Uredbe (EU) br. 575/2013.</w:t>
            </w:r>
          </w:p>
        </w:tc>
      </w:tr>
      <w:tr w:rsidR="003826D3" w:rsidRPr="00713B92" w14:paraId="7FA7A9FF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87AB3" w14:textId="77777777" w:rsidR="003826D3" w:rsidRPr="00713B92" w:rsidRDefault="003826D3" w:rsidP="00713B92">
            <w:pPr>
              <w:pageBreakBefore/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7EDDC" w14:textId="77777777" w:rsidR="003826D3" w:rsidRPr="00713B92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Financijska komponenta (FC)</w:t>
            </w:r>
          </w:p>
          <w:p w14:paraId="1C2CD9AE" w14:textId="16B8F7FC" w:rsidR="003826D3" w:rsidRPr="00713B92" w:rsidRDefault="00DE3384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Financijska komponenta izračunava se u skladu s člankom 314. stavkom 6. Uredbe (EU) br. 575/2013. </w:t>
            </w:r>
            <w:r w:rsidRPr="00713B92">
              <w:rPr>
                <w:rFonts w:ascii="Times New Roman" w:hAnsi="Times New Roman"/>
                <w:sz w:val="24"/>
              </w:rPr>
              <w:t>Ako se na instituciju primjenjuje odstupanje iz članka 314. stavka 4. Uredbe (EU) br. 575/2013, institucija ne uključuje iznose iz poslovnih linija poslovanja sa stanovništvom i/ili poslovnog bankarstva.</w:t>
            </w:r>
          </w:p>
        </w:tc>
      </w:tr>
      <w:tr w:rsidR="003826D3" w:rsidRPr="00713B92" w14:paraId="2B149247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87E8" w14:textId="77777777" w:rsidR="003826D3" w:rsidRPr="00713B92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3 a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BB41" w14:textId="6F0E6551" w:rsidR="003826D3" w:rsidRPr="00713B92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Neto dobit ili gubitak koji se primjenjuje na knjigu trgovanja</w:t>
            </w:r>
          </w:p>
          <w:p w14:paraId="4E177CA3" w14:textId="4C472892" w:rsidR="003826D3" w:rsidRPr="00713B92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Neto dobit ili gubitak koji se primjenjuje na knjigu trgovanja izračunava se kao zbroj:</w:t>
            </w:r>
          </w:p>
          <w:p w14:paraId="6324889B" w14:textId="380EDA28" w:rsidR="008A379C" w:rsidRPr="00713B92" w:rsidRDefault="008A379C" w:rsidP="00232265">
            <w:pPr>
              <w:pStyle w:val="Style1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713B92">
              <w:rPr>
                <w:u w:val="single"/>
              </w:rPr>
              <w:t>dobitaka ili (–) gubitaka po financijskoj imovini i financijskim obvezama koje se drže radi trgovanja i kojima se trguje, umanjenih za</w:t>
            </w:r>
            <w:r w:rsidRPr="00713B92">
              <w:t>: dobitke ili (–) gubitke po financijskoj imovini i financijskim obvezama koje se drže radi trgovanja u skladu s Prilogom V. dijelom 2. stavcima 43. i 46. EBA-inih IT rješenja ili po financijskoj imovini i financijskim obvezama kojima se trguje u skladu s člankom 27. stavkom 6. Direktive Vijeća 86/635/EEZ („Računovodstvena direktiva za banke” ili „BAD”), Okomiti obrazac;</w:t>
            </w:r>
          </w:p>
          <w:p w14:paraId="0B998657" w14:textId="654F8692" w:rsidR="008A379C" w:rsidRPr="00713B92" w:rsidRDefault="008A379C" w:rsidP="00232265">
            <w:pPr>
              <w:pStyle w:val="Style1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713B92">
              <w:rPr>
                <w:u w:val="single"/>
              </w:rPr>
              <w:t>dobitaka ili (–) gubitaka od računovodstva zaštite, neto:</w:t>
            </w:r>
            <w:r w:rsidRPr="00713B92">
              <w:t xml:space="preserve"> dobitci ili (–) gubitci od računovodstva zaštite, neto u komponenti knjige trgovanja samo u iznimnim okolnostima u kojima se računovodstvo zaštite, izračunano u skladu s Prilogom V. dijelom 2. stavkom 47. EBA-inih IT rješenja ili u skladu s člankom 8. stavkom 1. točkom (a), stavkom 6. i stavkom 8. Računovodstvene direktive, upotrebljava za zaštitu financijske imovine i obveza namijenjenih trgovanju ili financijske imovine i obveza kojima se trguje; i</w:t>
            </w:r>
          </w:p>
          <w:p w14:paraId="1BC37DE4" w14:textId="36EA6A27" w:rsidR="008A379C" w:rsidRPr="00713B92" w:rsidRDefault="008A379C" w:rsidP="00232265">
            <w:pPr>
              <w:pStyle w:val="Style1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713B92">
              <w:rPr>
                <w:u w:val="single"/>
              </w:rPr>
              <w:t>tečajnih razlika [dobitak ili (–) gubitak], neto, povezanih s knjigom trgovanja</w:t>
            </w:r>
            <w:r w:rsidRPr="00713B92">
              <w:t>: tečajne razlike [dobitak ili (–) gubitak], neto, samo ako takve razlike izračunane u skladu sa stavcima 28. i 52. točkom (a) MRS-a 21 ili u skladu s člankom 39. Direktive BAD proizlaze iz financijske imovine i obveza namijenjenih trgovanju ili financijske imovine i obveza kojima se trguje.</w:t>
            </w:r>
          </w:p>
          <w:p w14:paraId="761552C0" w14:textId="5BF82331" w:rsidR="001E5563" w:rsidRPr="00713B92" w:rsidRDefault="001E5563" w:rsidP="00C65626">
            <w:pPr>
              <w:pStyle w:val="paragraph"/>
              <w:textAlignment w:val="baseline"/>
              <w:rPr>
                <w:rStyle w:val="InstructionsTabelleberschrift"/>
                <w:rFonts w:ascii="Segoe UI" w:hAnsi="Segoe UI" w:cs="Segoe UI"/>
              </w:rPr>
            </w:pPr>
            <w:r w:rsidRPr="00713B92">
              <w:t>Vrijednosti koje se objavljuju odražavat će računovodstvene vrijednosti utvrđene primjenom računovodstvene ili bonitetne granice kako bi se utvrdile stavke iz knjige trgovanja i knjige pozicija kojima se ne trguje za svaku od posljednje tri financijske godine u skladu s člankom 314. stavkom 6. Uredbe (EU) br. 575/2013.</w:t>
            </w:r>
          </w:p>
        </w:tc>
      </w:tr>
      <w:tr w:rsidR="003826D3" w:rsidRPr="00713B92" w14:paraId="769832B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C7174" w14:textId="77777777" w:rsidR="003826D3" w:rsidRPr="00713B92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3.b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949CD" w14:textId="505506A8" w:rsidR="003826D3" w:rsidRPr="00713B92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Neto dobit ili gubitak koji se primjenjuje na knjigu pozicija kojima se ne trguje (BB)</w:t>
            </w:r>
          </w:p>
          <w:p w14:paraId="16F13570" w14:textId="0B537F1A" w:rsidR="003826D3" w:rsidRPr="00713B92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Neto dobit ili gubitak koji se primjenjuje na knjigu pozicija kojima se ne trguje izračunava se kao zbroj:</w:t>
            </w:r>
          </w:p>
          <w:p w14:paraId="4816B36A" w14:textId="59F72F36" w:rsidR="008F0781" w:rsidRPr="00713B92" w:rsidRDefault="008F0781" w:rsidP="00232265">
            <w:pPr>
              <w:pStyle w:val="Style1"/>
            </w:pPr>
            <w:r w:rsidRPr="00713B92">
              <w:rPr>
                <w:u w:val="single"/>
              </w:rPr>
              <w:t>dobitaka ili (–) gubitaka po prestanku priznavanja financijske imovine i financijskih obveza koje nisu mjerene po fer vrijednosti kroz dobit ili gubitak, neto</w:t>
            </w:r>
            <w:r w:rsidRPr="00713B92">
              <w:t>: dobitci ili (–) gubitci po prestanku priznavanja financijske imovine i financijskih obveza koje nisu mjerene po fer vrijednosti kroz dobit ili gubitak, neto u skladu s Prilogom V. dijelom 2. stavkom 45. EBA-inih IT rješenja ili člankom 27. stavkom 6. BAD-a, Okomiti obrazac;</w:t>
            </w:r>
          </w:p>
          <w:p w14:paraId="29EDCF43" w14:textId="7ADB0AAC" w:rsidR="008F0781" w:rsidRPr="00713B92" w:rsidRDefault="008F0781" w:rsidP="00232265">
            <w:pPr>
              <w:pStyle w:val="Style1"/>
            </w:pPr>
            <w:r w:rsidRPr="00713B92">
              <w:rPr>
                <w:u w:val="single"/>
              </w:rPr>
              <w:t>dobitaka ili (–) gubitaka po financijskoj imovini kojom se ne trguje koja se obvezno mjeri po fer vrijednosti kroz dobit ili gubitak, neto</w:t>
            </w:r>
            <w:r w:rsidRPr="00713B92">
              <w:t>: dobitci ili (–) gubitci po financijskoj imovini kojom se ne trguje i koja se obvezno mjeri po fer vrijednosti kroz dobit ili gubitak, neto u skladu s Prilogom V. dijelom 2. stavkom 46. EBA-inih IT rješenja;</w:t>
            </w:r>
          </w:p>
          <w:p w14:paraId="23350A71" w14:textId="40356371" w:rsidR="008F0781" w:rsidRPr="00713B92" w:rsidRDefault="008F0781" w:rsidP="00232265">
            <w:pPr>
              <w:pStyle w:val="Style1"/>
            </w:pPr>
            <w:r w:rsidRPr="00713B92">
              <w:rPr>
                <w:u w:val="single"/>
              </w:rPr>
              <w:t>dobitaka ili (–) gubitaka po financijskoj imovini i financijskim obvezama po fer vrijednosti kroz dobit ili gubitak, neto</w:t>
            </w:r>
            <w:r w:rsidRPr="00713B92">
              <w:t>: dobitci ili (–) gubitci po financijskoj imovini i financijskim obvezama po fer vrijednosti kroz dobit ili gubitak, neto u skladu s Prilogom V. dijelom 2. stavkom 44. EBA-inih IT rješenja;</w:t>
            </w:r>
          </w:p>
          <w:p w14:paraId="44DE675E" w14:textId="5B34C2BC" w:rsidR="008F0781" w:rsidRPr="00713B92" w:rsidRDefault="008F0781" w:rsidP="00232265">
            <w:pPr>
              <w:pStyle w:val="Style1"/>
            </w:pPr>
            <w:r w:rsidRPr="00713B92">
              <w:rPr>
                <w:u w:val="single"/>
              </w:rPr>
              <w:t>dobitaka ili (–) gubitaka od računovodstva zaštite, neto, povezanih s knjigom pozicija kojima se ne trguje</w:t>
            </w:r>
            <w:r w:rsidRPr="00713B92">
              <w:t>: dobitci ili (–) gubitci od računovodstva zaštite, neto u skladu s Prilogom V. dijelom 2. stavkom 47. EBA-inih IT rješenja ili u skladu s člankom 8. stavkom 1. točkom (a), stavcima 6. i 8. Računovodstvene direktive, ako ti dobitci ili gubitci proizlaze iz financijske imovine i obveza koji se drže u knjizi banke; i</w:t>
            </w:r>
          </w:p>
          <w:p w14:paraId="23306495" w14:textId="6A259674" w:rsidR="008F0781" w:rsidRPr="00713B92" w:rsidRDefault="008F0781" w:rsidP="00232265">
            <w:pPr>
              <w:pStyle w:val="Style1"/>
            </w:pPr>
            <w:r w:rsidRPr="00713B92">
              <w:rPr>
                <w:u w:val="single"/>
              </w:rPr>
              <w:t>tečajnih razlika [dobitak ili (–) gubitak], neto, povezanih s knjigom pozicija kojima se ne trguje</w:t>
            </w:r>
            <w:r w:rsidRPr="00713B92">
              <w:t>: tečajne razlike [dobitak ili (–) gubitak], neto, u skladu sa stavcima 28. i 52. točkom (a) MRS-a 21 ili u skladu s člankom 39. BAD-a ako te razlike proizlaze iz financijske imovine i obveza koji se drže u knjizi pozicija kojima se ne trguje.</w:t>
            </w:r>
          </w:p>
          <w:p w14:paraId="3E9BB5BF" w14:textId="1D3FC8A9" w:rsidR="00F26A2D" w:rsidRPr="00713B92" w:rsidRDefault="001E5563" w:rsidP="00F26A2D">
            <w:pPr>
              <w:spacing w:before="60" w:after="120"/>
              <w:jc w:val="both"/>
              <w:rPr>
                <w:rStyle w:val="InstructionsTabelleberschrift"/>
                <w:rFonts w:asciiTheme="majorBidi" w:hAnsiTheme="majorBidi" w:cstheme="majorBidi"/>
                <w:sz w:val="24"/>
                <w:u w:val="none"/>
              </w:rPr>
            </w:pPr>
            <w:r w:rsidRPr="00713B92">
              <w:rPr>
                <w:rFonts w:asciiTheme="majorBidi" w:hAnsiTheme="majorBidi"/>
                <w:sz w:val="24"/>
              </w:rPr>
              <w:t>Vrijednosti koje se objavljuju odražavat će računovodstvene vrijednosti utvrđene primjenom računovodstvene ili bonitetne granice kako bi se utvrdile stavke iz knjige trgovanja i knjige pozicija kojima se ne trguje za svaku od posljednje tri financijske godine u skladu s člankom 314. stavkom 6. Uredbe (EU) br. 575/2013.</w:t>
            </w:r>
          </w:p>
        </w:tc>
      </w:tr>
      <w:tr w:rsidR="003826D3" w:rsidRPr="00713B92" w14:paraId="4C01E0EE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F21AD" w14:textId="77777777" w:rsidR="003826D3" w:rsidRPr="00713B92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EU 3c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BB97F" w14:textId="3301C86C" w:rsidR="003826D3" w:rsidRPr="00713B92" w:rsidRDefault="008C3E6A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Pristup koji se primjenjuje za određivanje granice za TB/BB (pristup bonitetne granice ili računovodstveni pristup)</w:t>
            </w:r>
          </w:p>
          <w:p w14:paraId="00A81A34" w14:textId="0A7D6D1A" w:rsidR="003826D3" w:rsidRPr="00713B92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Pristup primijenjen na referentni datum za određivanje financijske komponente: računovodstvena ili bonitetna klasifikacija (PBA). Pristup se treba dosljedno primjenjivati za iznose objavljene za svaku od posljednje tri financijske godine.</w:t>
            </w:r>
          </w:p>
        </w:tc>
      </w:tr>
      <w:tr w:rsidR="003826D3" w:rsidRPr="00713B92" w14:paraId="130758B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EF276" w14:textId="77777777" w:rsidR="003826D3" w:rsidRPr="00713B92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882AA" w14:textId="77777777" w:rsidR="003826D3" w:rsidRPr="00713B92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Pokazatelj poslovanja (BI)</w:t>
            </w:r>
          </w:p>
          <w:p w14:paraId="35C99FE1" w14:textId="0AFECB29" w:rsidR="003826D3" w:rsidRPr="00713B92" w:rsidRDefault="003826D3" w:rsidP="003826D3">
            <w:pPr>
              <w:spacing w:before="60" w:after="120"/>
              <w:jc w:val="both"/>
              <w:rPr>
                <w:rStyle w:val="InstructionsTabelleberschrift"/>
                <w:rFonts w:asciiTheme="majorBidi" w:eastAsia="Times New Roman" w:hAnsiTheme="majorBidi" w:cstheme="majorBidi"/>
                <w:b w:val="0"/>
                <w:bCs w:val="0"/>
                <w:sz w:val="24"/>
                <w:u w:val="none"/>
              </w:rPr>
            </w:pPr>
            <w:r w:rsidRPr="00713B92">
              <w:rPr>
                <w:rFonts w:asciiTheme="majorBidi" w:hAnsiTheme="majorBidi"/>
                <w:sz w:val="24"/>
              </w:rPr>
              <w:t>Pokazatelj poslovanja, izračunan u skladu s člankom 314. stavkom 1. Uredbe (EU) br. 575/2013, koji je zbroj triju komponenata: ILDC-a, SC-a i FC-a.</w:t>
            </w:r>
          </w:p>
        </w:tc>
      </w:tr>
      <w:tr w:rsidR="003826D3" w:rsidRPr="00713B92" w14:paraId="45662CD2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29C54" w14:textId="77777777" w:rsidR="003826D3" w:rsidRPr="00713B92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3F910" w14:textId="77777777" w:rsidR="003826D3" w:rsidRPr="00713B92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Komponenta pokazatelja poslovanja (BIC)</w:t>
            </w:r>
          </w:p>
          <w:p w14:paraId="4AC6BDA5" w14:textId="5507A684" w:rsidR="003826D3" w:rsidRPr="00713B92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713B92">
              <w:rPr>
                <w:rFonts w:ascii="Times New Roman" w:hAnsi="Times New Roman"/>
                <w:sz w:val="24"/>
              </w:rPr>
              <w:t xml:space="preserve">BIC se izračunava u skladu s člankom 313. Uredbe (EU) br. 575/2013. </w:t>
            </w:r>
          </w:p>
        </w:tc>
      </w:tr>
      <w:tr w:rsidR="003826D3" w:rsidRPr="00713B92" w14:paraId="246D3463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251DF" w14:textId="77777777" w:rsidR="003826D3" w:rsidRPr="00713B92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6.a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BD331" w14:textId="77777777" w:rsidR="003826D3" w:rsidRPr="00713B92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Poslovni pokazatelj bruto, prije isključenja otuđenih aktivnosti</w:t>
            </w:r>
          </w:p>
          <w:p w14:paraId="4B01F051" w14:textId="678BE249" w:rsidR="003826D3" w:rsidRPr="00713B92" w:rsidRDefault="003826D3" w:rsidP="003826D3">
            <w:pPr>
              <w:spacing w:before="60" w:after="120"/>
              <w:jc w:val="both"/>
              <w:rPr>
                <w:rStyle w:val="InstructionsTabelleberschrift"/>
                <w:rFonts w:asciiTheme="majorBidi" w:eastAsia="Times New Roman" w:hAnsiTheme="majorBidi" w:cstheme="majorBidi"/>
                <w:b w:val="0"/>
                <w:bCs w:val="0"/>
                <w:sz w:val="24"/>
                <w:u w:val="none"/>
              </w:rPr>
            </w:pPr>
            <w:r w:rsidRPr="00713B92">
              <w:rPr>
                <w:rFonts w:asciiTheme="majorBidi" w:hAnsiTheme="majorBidi"/>
                <w:sz w:val="24"/>
              </w:rPr>
              <w:t>Iznos pokazatelja poslovanja uključujući isključene otuđene aktivnosti u skladu s člankom 315. stavkom 2. Uredbe (EU) br. 575/2013.</w:t>
            </w:r>
          </w:p>
        </w:tc>
      </w:tr>
      <w:tr w:rsidR="003826D3" w:rsidRPr="00713B92" w14:paraId="6ADC8B4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F6F18" w14:textId="77777777" w:rsidR="003826D3" w:rsidRPr="00713B92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6.b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596E1" w14:textId="5FAE8014" w:rsidR="003826D3" w:rsidRPr="00713B92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Smanjenje pokazatelja poslovanja zbog isključenih otuđenih aktivnosti</w:t>
            </w:r>
          </w:p>
          <w:p w14:paraId="100A0132" w14:textId="636B5EF6" w:rsidR="003826D3" w:rsidRPr="00713B92" w:rsidRDefault="003826D3" w:rsidP="003826D3">
            <w:pPr>
              <w:spacing w:before="60" w:after="120"/>
              <w:jc w:val="both"/>
              <w:rPr>
                <w:rStyle w:val="InstructionsTabelleberschrift"/>
                <w:rFonts w:asciiTheme="majorBidi" w:eastAsia="Times New Roman" w:hAnsiTheme="majorBidi" w:cstheme="majorBidi"/>
                <w:b w:val="0"/>
                <w:bCs w:val="0"/>
                <w:sz w:val="24"/>
                <w:u w:val="none"/>
              </w:rPr>
            </w:pPr>
            <w:r w:rsidRPr="00713B92">
              <w:rPr>
                <w:rFonts w:asciiTheme="majorBidi" w:hAnsiTheme="majorBidi"/>
                <w:sz w:val="24"/>
              </w:rPr>
              <w:t xml:space="preserve">Razlika između bruto iznosa pokazatelja poslovanja, prije isključenih otuđenih aktivnosti (redak 6.a) i ukupnog iznosa pokazatelja poslovanja (redak 4.). </w:t>
            </w:r>
          </w:p>
        </w:tc>
      </w:tr>
      <w:tr w:rsidR="003826D3" w:rsidRPr="00713B92" w14:paraId="66494CDF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7A112" w14:textId="77777777" w:rsidR="003826D3" w:rsidRPr="00713B92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EU 6c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B02A2" w14:textId="77777777" w:rsidR="003826D3" w:rsidRPr="00713B92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Učinak spajanja i pripajanja / preuzimanja na pokazatelj poslovanja</w:t>
            </w:r>
          </w:p>
          <w:p w14:paraId="68B0EB8C" w14:textId="39D74825" w:rsidR="003826D3" w:rsidRPr="00713B92" w:rsidRDefault="003826D3" w:rsidP="003826D3">
            <w:pPr>
              <w:spacing w:before="60" w:after="120"/>
              <w:jc w:val="both"/>
              <w:rPr>
                <w:rStyle w:val="InstructionsTabelleberschrift"/>
                <w:rFonts w:asciiTheme="majorBidi" w:eastAsia="Times New Roman" w:hAnsiTheme="majorBidi" w:cstheme="majorBidi"/>
                <w:b w:val="0"/>
                <w:bCs w:val="0"/>
                <w:sz w:val="24"/>
                <w:u w:val="none"/>
              </w:rPr>
            </w:pPr>
            <w:r w:rsidRPr="00713B92">
              <w:rPr>
                <w:rFonts w:asciiTheme="majorBidi" w:hAnsiTheme="majorBidi"/>
                <w:sz w:val="24"/>
              </w:rPr>
              <w:t>Iznos uključen u pokazatelj poslovanja koji odgovara komponentama pokazatelja poslovanja koje se odnose na spojene odnosno pripojene ili preuzete subjekte ili aktivnosti, izračunan kako je navedeno u članku 315. stavku 1. Uredbe (EU) br. 575/2013.</w:t>
            </w:r>
          </w:p>
        </w:tc>
      </w:tr>
    </w:tbl>
    <w:p w14:paraId="2517003F" w14:textId="77777777" w:rsidR="00D740B8" w:rsidRPr="00713B92" w:rsidRDefault="00D740B8" w:rsidP="00D740B8">
      <w:pPr>
        <w:pStyle w:val="numberedparagraph"/>
        <w:numPr>
          <w:ilvl w:val="0"/>
          <w:numId w:val="0"/>
        </w:numPr>
        <w:ind w:left="284" w:hanging="284"/>
        <w:rPr>
          <w:rFonts w:ascii="Times New Roman" w:eastAsia="Arial" w:hAnsi="Times New Roman" w:cs="Times New Roman"/>
          <w:sz w:val="24"/>
        </w:rPr>
      </w:pPr>
    </w:p>
    <w:p w14:paraId="7E7146AD" w14:textId="1649FBD5" w:rsidR="00D740B8" w:rsidRPr="00713B92" w:rsidRDefault="00D740B8" w:rsidP="00D740B8">
      <w:pPr>
        <w:jc w:val="both"/>
        <w:rPr>
          <w:rFonts w:ascii="Times New Roman" w:hAnsi="Times New Roman" w:cs="Times New Roman"/>
          <w:bCs/>
          <w:sz w:val="24"/>
        </w:rPr>
      </w:pPr>
      <w:r w:rsidRPr="00713B92">
        <w:rPr>
          <w:rFonts w:ascii="Times New Roman" w:hAnsi="Times New Roman"/>
          <w:b/>
          <w:sz w:val="24"/>
        </w:rPr>
        <w:t xml:space="preserve">Obrazac EU OR3 – Kapitalni zahtjevi za operativni rizik i iznosi izloženosti riziku. </w:t>
      </w:r>
      <w:r w:rsidRPr="00713B92">
        <w:rPr>
          <w:rFonts w:ascii="Times New Roman" w:hAnsi="Times New Roman"/>
          <w:sz w:val="24"/>
        </w:rPr>
        <w:t>Fiksni obrazac</w:t>
      </w:r>
    </w:p>
    <w:p w14:paraId="5AB15A39" w14:textId="77777777" w:rsidR="00D740B8" w:rsidRPr="00713B92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60DF34D1" w14:textId="121F9A97" w:rsidR="00D740B8" w:rsidRPr="00713B92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13B92">
        <w:rPr>
          <w:rFonts w:ascii="Times New Roman" w:hAnsi="Times New Roman"/>
          <w:sz w:val="24"/>
        </w:rPr>
        <w:t>Institucije objavljuju informacije uključene u obrazac EU OR3 u skladu s člankom 446. stavkom 1. točkom (b) Uredbe (EU) br. 575/2013. Taj obrazac sadržava informacije o izračunu kapitalnih zahtjeva za operativni rizik u skladu s člancima od 312. do 315. Uredbe (EU) br. 575/2013.</w:t>
      </w:r>
    </w:p>
    <w:p w14:paraId="6DFA1648" w14:textId="77777777" w:rsidR="00D740B8" w:rsidRPr="00713B92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2E35B8A0" w14:textId="77777777" w:rsidR="00D740B8" w:rsidRPr="00713B92" w:rsidRDefault="00D740B8" w:rsidP="00D740B8">
      <w:pPr>
        <w:rPr>
          <w:rFonts w:ascii="Times New Roman" w:hAnsi="Times New Roman" w:cs="Times New Roman"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768"/>
      </w:tblGrid>
      <w:tr w:rsidR="00D740B8" w:rsidRPr="00713B92" w14:paraId="6F42A4B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89E53" w14:textId="77777777" w:rsidR="00D740B8" w:rsidRPr="00713B92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 xml:space="preserve">Redak 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ECBF1" w14:textId="77777777" w:rsidR="00D740B8" w:rsidRPr="00713B92" w:rsidRDefault="00D740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Objašnjenje</w:t>
            </w:r>
          </w:p>
        </w:tc>
      </w:tr>
      <w:tr w:rsidR="00D740B8" w:rsidRPr="00713B92" w14:paraId="6BF3BB09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58A85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FF758" w14:textId="77777777" w:rsidR="00D740B8" w:rsidRPr="00713B92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Komponenta pokazatelja poslovanja (BIC)</w:t>
            </w:r>
          </w:p>
          <w:p w14:paraId="1B10BB72" w14:textId="77777777" w:rsidR="00D740B8" w:rsidRPr="00713B92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U ovom se retku iskazuje komponenta pokazatelja poslovanja koja se izračunava u skladu s člankom 313. Uredbe (EU) br. 575/2013.</w:t>
            </w:r>
          </w:p>
        </w:tc>
      </w:tr>
      <w:tr w:rsidR="00CA794A" w:rsidRPr="00713B92" w14:paraId="2713AC1F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606E2" w14:textId="48C6967A" w:rsidR="00CA794A" w:rsidRPr="00713B92" w:rsidRDefault="004A58B5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EU 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97C95" w14:textId="1613DFBF" w:rsidR="00CA794A" w:rsidRPr="00713B92" w:rsidRDefault="004A58B5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Kapitalni zahtjevi prema alternativnom standardiziranom pristupu (ASA) u skladu s člankom 314. stavkom 4.</w:t>
            </w:r>
          </w:p>
          <w:p w14:paraId="7762DF0B" w14:textId="6E2ACCB9" w:rsidR="004A58B5" w:rsidRPr="00713B92" w:rsidRDefault="005B4907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 xml:space="preserve">Ovaj redak uključuje kapitalne zahtjeve za poslovne linije koje se uzimaju u obzir u skladu s člankom 314. stavkom 4., ako je primjenjivo, do 31. prosinca 2027. ili do trenutka kada </w:t>
            </w:r>
            <w:proofErr w:type="spellStart"/>
            <w:r w:rsidRPr="00713B92">
              <w:rPr>
                <w:rFonts w:ascii="Times New Roman" w:hAnsi="Times New Roman"/>
                <w:sz w:val="24"/>
              </w:rPr>
              <w:t>konsolidirajuće</w:t>
            </w:r>
            <w:proofErr w:type="spellEnd"/>
            <w:r w:rsidRPr="00713B92">
              <w:rPr>
                <w:rFonts w:ascii="Times New Roman" w:hAnsi="Times New Roman"/>
                <w:sz w:val="24"/>
              </w:rPr>
              <w:t xml:space="preserve"> nadzorno tijelo izda odobrenje u skladu s člankom 314. stavkom 3., ovisno o tome što nastupi ranije.</w:t>
            </w:r>
          </w:p>
        </w:tc>
      </w:tr>
      <w:tr w:rsidR="00D740B8" w:rsidRPr="00713B92" w14:paraId="362D8FB9" w14:textId="77777777" w:rsidTr="00F828EB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B3213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B1B93" w14:textId="0E85F01A" w:rsidR="00D740B8" w:rsidRPr="00713B92" w:rsidRDefault="001918A2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>Nije primjenjivo.</w:t>
            </w:r>
          </w:p>
        </w:tc>
      </w:tr>
      <w:tr w:rsidR="00D740B8" w:rsidRPr="00713B92" w14:paraId="779D052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F8453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42F01" w14:textId="77777777" w:rsidR="00D740B8" w:rsidRPr="00713B92" w:rsidRDefault="00D740B8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Minimalni potrebni kapitalni zahtjevi za operativni rizik (OROF)</w:t>
            </w:r>
          </w:p>
          <w:p w14:paraId="2A7C24D0" w14:textId="54D9C5FF" w:rsidR="00D740B8" w:rsidRPr="00713B92" w:rsidRDefault="00977842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 xml:space="preserve">Kapitalni zahtjevi izračunavaju se u skladu s člankom 312. . Uredbe (EU) br. 575/2013. U ovom se retku navode kapitalni zahtjevi za operativni rizik koji odgovaraju zbroju BIC-a i kapitalnih zahtjeva za poslovne linije iz članka 314. stavka 4., ako je to primjenjivo. </w:t>
            </w:r>
          </w:p>
        </w:tc>
      </w:tr>
      <w:tr w:rsidR="00D740B8" w:rsidRPr="00713B92" w14:paraId="078B572A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C3902" w14:textId="77777777" w:rsidR="00D740B8" w:rsidRPr="00713B92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B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3DB44" w14:textId="00766941" w:rsidR="00D740B8" w:rsidRPr="00713B92" w:rsidRDefault="00D740B8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713B92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Iznosi izloženosti operativnom riziku (REA)</w:t>
            </w:r>
          </w:p>
          <w:p w14:paraId="317F9BDE" w14:textId="6672A695" w:rsidR="00D740B8" w:rsidRPr="00713B92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13B92">
              <w:rPr>
                <w:rFonts w:ascii="Times New Roman" w:hAnsi="Times New Roman"/>
                <w:sz w:val="24"/>
              </w:rPr>
              <w:t xml:space="preserve">Na temelju članka 92. stavka 3. točke (e) i članka 92. stavka 4. Uredbe (EU) br. 575/2013, u ovom se retku objavljuju kapitalni zahtjevi u retku 3. pomnoženi s 12,5. </w:t>
            </w:r>
          </w:p>
        </w:tc>
      </w:tr>
    </w:tbl>
    <w:p w14:paraId="079B8CA0" w14:textId="77777777" w:rsidR="00D740B8" w:rsidRPr="00713B92" w:rsidRDefault="00D740B8" w:rsidP="00D740B8">
      <w:pPr>
        <w:rPr>
          <w:rFonts w:ascii="Times New Roman" w:hAnsi="Times New Roman" w:cs="Times New Roman"/>
          <w:sz w:val="24"/>
        </w:rPr>
      </w:pPr>
    </w:p>
    <w:p w14:paraId="41C8F396" w14:textId="77777777" w:rsidR="002C1404" w:rsidRPr="00713B92" w:rsidRDefault="002C1404"/>
    <w:sectPr w:rsidR="002C1404" w:rsidRPr="00713B9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D970" w14:textId="77777777" w:rsidR="00924970" w:rsidRPr="00713B92" w:rsidRDefault="00924970" w:rsidP="00E114F3">
      <w:r w:rsidRPr="00713B92">
        <w:separator/>
      </w:r>
    </w:p>
  </w:endnote>
  <w:endnote w:type="continuationSeparator" w:id="0">
    <w:p w14:paraId="6750FE16" w14:textId="77777777" w:rsidR="00924970" w:rsidRPr="00713B92" w:rsidRDefault="00924970" w:rsidP="00E114F3">
      <w:r w:rsidRPr="00713B92">
        <w:continuationSeparator/>
      </w:r>
    </w:p>
  </w:endnote>
  <w:endnote w:type="continuationNotice" w:id="1">
    <w:p w14:paraId="44EFD629" w14:textId="77777777" w:rsidR="00924970" w:rsidRPr="00713B92" w:rsidRDefault="009249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6783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E114F3" w:rsidRPr="00713B92" w:rsidRDefault="00E114F3">
        <w:pPr>
          <w:pStyle w:val="Footer"/>
          <w:jc w:val="right"/>
        </w:pPr>
        <w:r w:rsidRPr="00713B92">
          <w:fldChar w:fldCharType="begin"/>
        </w:r>
        <w:r w:rsidRPr="00713B92">
          <w:instrText xml:space="preserve"> PAGE   \* MERGEFORMAT </w:instrText>
        </w:r>
        <w:r w:rsidRPr="00713B92">
          <w:fldChar w:fldCharType="separate"/>
        </w:r>
        <w:r w:rsidR="00370155" w:rsidRPr="00713B92">
          <w:t>1</w:t>
        </w:r>
        <w:r w:rsidRPr="00713B92">
          <w:fldChar w:fldCharType="end"/>
        </w:r>
      </w:p>
    </w:sdtContent>
  </w:sdt>
  <w:p w14:paraId="049F31CB" w14:textId="77777777" w:rsidR="00E114F3" w:rsidRPr="00713B92" w:rsidRDefault="00E11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81A6D" w14:textId="77777777" w:rsidR="00924970" w:rsidRPr="00713B92" w:rsidRDefault="00924970" w:rsidP="00E114F3">
      <w:r w:rsidRPr="00713B92">
        <w:separator/>
      </w:r>
    </w:p>
  </w:footnote>
  <w:footnote w:type="continuationSeparator" w:id="0">
    <w:p w14:paraId="3D7D4E32" w14:textId="77777777" w:rsidR="00924970" w:rsidRPr="00713B92" w:rsidRDefault="00924970" w:rsidP="00E114F3">
      <w:r w:rsidRPr="00713B92">
        <w:continuationSeparator/>
      </w:r>
    </w:p>
  </w:footnote>
  <w:footnote w:type="continuationNotice" w:id="1">
    <w:p w14:paraId="6FCD0CD0" w14:textId="77777777" w:rsidR="00924970" w:rsidRPr="00713B92" w:rsidRDefault="00924970"/>
  </w:footnote>
  <w:footnote w:id="2">
    <w:p w14:paraId="3798489D" w14:textId="469FF1F7" w:rsidR="00E114F3" w:rsidRPr="00713B92" w:rsidRDefault="00E114F3" w:rsidP="003D3122">
      <w:pPr>
        <w:pStyle w:val="FootnoteText"/>
      </w:pPr>
      <w:r w:rsidRPr="00713B92">
        <w:rPr>
          <w:rStyle w:val="FootnoteReference"/>
          <w:rFonts w:cstheme="minorHAnsi"/>
        </w:rPr>
        <w:footnoteRef/>
      </w:r>
      <w:r w:rsidRPr="00713B92">
        <w:tab/>
        <w:t>Uredba (EU) br. 575/2013 Europskog parlamenta i Vijeća od 26. lipnja 2013. o bonitetnim zahtjevima za kreditne institucije i investicijska društva i o izmjeni Uredbe (EU) br. 648/2012 i izmjeni Uredbe (EU) br. 2024/1623 (</w:t>
      </w:r>
      <w:hyperlink r:id="rId1" w:history="1">
        <w:r w:rsidRPr="00713B92">
          <w:rPr>
            <w:rStyle w:val="Hyperlink"/>
            <w:color w:val="800080"/>
          </w:rPr>
          <w:t xml:space="preserve">SL L 176, 27.6.2013, str. 1; </w:t>
        </w:r>
      </w:hyperlink>
      <w:hyperlink r:id="rId2" w:history="1">
        <w:proofErr w:type="spellStart"/>
        <w:r w:rsidRPr="00713B92">
          <w:rPr>
            <w:rStyle w:val="Hyperlink"/>
          </w:rPr>
          <w:t>Regulation</w:t>
        </w:r>
        <w:proofErr w:type="spellEnd"/>
        <w:r w:rsidRPr="00713B92">
          <w:rPr>
            <w:rStyle w:val="Hyperlink"/>
          </w:rPr>
          <w:t xml:space="preserve"> - EU - 2024/1623 - EN - EUR-</w:t>
        </w:r>
        <w:proofErr w:type="spellStart"/>
        <w:r w:rsidRPr="00713B92">
          <w:rPr>
            <w:rStyle w:val="Hyperlink"/>
          </w:rPr>
          <w:t>Lex</w:t>
        </w:r>
        <w:proofErr w:type="spellEnd"/>
        <w:r w:rsidRPr="00713B92">
          <w:rPr>
            <w:rStyle w:val="Hyperlink"/>
          </w:rPr>
          <w:t xml:space="preserve"> (europa.eu)</w:t>
        </w:r>
      </w:hyperlink>
      <w:r w:rsidRPr="00713B92">
        <w:t>).</w:t>
      </w:r>
    </w:p>
    <w:p w14:paraId="45FB0818" w14:textId="77777777" w:rsidR="00E114F3" w:rsidRPr="00713B92" w:rsidRDefault="00E114F3" w:rsidP="003D312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1615A102" w:rsidR="00E114F3" w:rsidRPr="00713B92" w:rsidRDefault="00864ECA">
    <w:pPr>
      <w:pStyle w:val="Header"/>
    </w:pPr>
    <w:r w:rsidRPr="00713B92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6CE9015" wp14:editId="3A1C73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175" b="9525"/>
              <wp:wrapNone/>
              <wp:docPr id="5" name="Text Box 5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07B26" w14:textId="3B0140B7" w:rsidR="00864ECA" w:rsidRPr="00713B92" w:rsidRDefault="00864ECA" w:rsidP="00864E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13B92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EBA redovita primjena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E90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EBA Regular Use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" filled="f" stroked="f">
              <v:textbox style="mso-fit-shape-to-text:t" inset="20pt,15pt,0,0">
                <w:txbxContent>
                  <w:p w14:paraId="6B807B26" w14:textId="3B0140B7" w:rsidR="00864ECA" w:rsidRPr="00713B92" w:rsidRDefault="00864ECA" w:rsidP="00864E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13B92">
                      <w:rPr>
                        <w:rFonts w:ascii="Calibri" w:hAnsi="Calibri"/>
                        <w:color w:val="000000"/>
                        <w:sz w:val="24"/>
                      </w:rPr>
                      <w:t>EBA redovita primjena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1028A940" w:rsidR="00E114F3" w:rsidRPr="00713B92" w:rsidRDefault="00864ECA">
    <w:pPr>
      <w:pStyle w:val="Header"/>
    </w:pPr>
    <w:r w:rsidRPr="00713B92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2F1B75F" wp14:editId="3120E37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175" b="9525"/>
              <wp:wrapNone/>
              <wp:docPr id="6" name="Text Box 6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808C3" w14:textId="14E505EC" w:rsidR="00864ECA" w:rsidRPr="00713B92" w:rsidRDefault="00864ECA" w:rsidP="00864E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13B92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EBA redovita primjena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1B7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EBA Regular Use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" filled="f" stroked="f">
              <v:textbox style="mso-fit-shape-to-text:t" inset="20pt,15pt,0,0">
                <w:txbxContent>
                  <w:p w14:paraId="422808C3" w14:textId="14E505EC" w:rsidR="00864ECA" w:rsidRPr="00713B92" w:rsidRDefault="00864ECA" w:rsidP="00864E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13B92">
                      <w:rPr>
                        <w:rFonts w:ascii="Calibri" w:hAnsi="Calibri"/>
                        <w:color w:val="000000"/>
                        <w:sz w:val="24"/>
                      </w:rPr>
                      <w:t>EBA redovita primjena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505DD969" w:rsidR="00E114F3" w:rsidRPr="00713B92" w:rsidRDefault="00864ECA">
    <w:pPr>
      <w:pStyle w:val="Header"/>
    </w:pPr>
    <w:r w:rsidRPr="00713B9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6A7D7E" wp14:editId="55F0D69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175" b="9525"/>
              <wp:wrapNone/>
              <wp:docPr id="4" name="Text Box 4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2C3BA" w14:textId="4F2B949B" w:rsidR="00864ECA" w:rsidRPr="00713B92" w:rsidRDefault="00864ECA" w:rsidP="00864E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13B92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EBA redovita primjena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A7D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EBA Regular Us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" filled="f" stroked="f">
              <v:textbox style="mso-fit-shape-to-text:t" inset="20pt,15pt,0,0">
                <w:txbxContent>
                  <w:p w14:paraId="3152C3BA" w14:textId="4F2B949B" w:rsidR="00864ECA" w:rsidRPr="00713B92" w:rsidRDefault="00864ECA" w:rsidP="00864E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13B92">
                      <w:rPr>
                        <w:rFonts w:ascii="Calibri" w:hAnsi="Calibri"/>
                        <w:color w:val="000000"/>
                        <w:sz w:val="24"/>
                      </w:rPr>
                      <w:t>EBA redovita primjena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0DA"/>
    <w:multiLevelType w:val="hybridMultilevel"/>
    <w:tmpl w:val="C55009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4C79"/>
    <w:multiLevelType w:val="hybridMultilevel"/>
    <w:tmpl w:val="7554B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97EC3"/>
    <w:multiLevelType w:val="hybridMultilevel"/>
    <w:tmpl w:val="81D09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E109C"/>
    <w:multiLevelType w:val="hybridMultilevel"/>
    <w:tmpl w:val="AB243A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971C3"/>
    <w:multiLevelType w:val="hybridMultilevel"/>
    <w:tmpl w:val="3942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5DB4"/>
    <w:multiLevelType w:val="hybridMultilevel"/>
    <w:tmpl w:val="D4F8EA4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749A0"/>
    <w:multiLevelType w:val="hybridMultilevel"/>
    <w:tmpl w:val="FFFFFFFF"/>
    <w:lvl w:ilvl="0" w:tplc="0CD0E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8B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4D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08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6B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6D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4D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AB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46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57CB8"/>
    <w:multiLevelType w:val="hybridMultilevel"/>
    <w:tmpl w:val="760C1692"/>
    <w:lvl w:ilvl="0" w:tplc="236EA62C">
      <w:start w:val="1"/>
      <w:numFmt w:val="decimal"/>
      <w:pStyle w:val="InstructionsText2"/>
      <w:lvlText w:val="%1."/>
      <w:lvlJc w:val="left"/>
      <w:pPr>
        <w:ind w:left="1353" w:hanging="360"/>
      </w:pPr>
      <w:rPr>
        <w:rFonts w:cs="Times New Roman"/>
      </w:rPr>
    </w:lvl>
    <w:lvl w:ilvl="1" w:tplc="5F56F3B6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plc="0407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5B13DC"/>
    <w:multiLevelType w:val="hybridMultilevel"/>
    <w:tmpl w:val="503222B2"/>
    <w:lvl w:ilvl="0" w:tplc="7D98D390">
      <w:start w:val="1"/>
      <w:numFmt w:val="bullet"/>
      <w:pStyle w:val="Style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27369"/>
    <w:multiLevelType w:val="hybridMultilevel"/>
    <w:tmpl w:val="D17E5BA0"/>
    <w:lvl w:ilvl="0" w:tplc="FFFFFFFF">
      <w:start w:val="1"/>
      <w:numFmt w:val="decimal"/>
      <w:pStyle w:val="numberedparagraph"/>
      <w:lvlText w:val="%1."/>
      <w:lvlJc w:val="left"/>
      <w:pPr>
        <w:tabs>
          <w:tab w:val="num" w:pos="284"/>
        </w:tabs>
        <w:ind w:left="284" w:hanging="284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62199"/>
    <w:multiLevelType w:val="hybridMultilevel"/>
    <w:tmpl w:val="1F2ACEF8"/>
    <w:lvl w:ilvl="0" w:tplc="67E8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767C0"/>
    <w:multiLevelType w:val="hybridMultilevel"/>
    <w:tmpl w:val="06983DA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D049F"/>
    <w:rsid w:val="000057DA"/>
    <w:rsid w:val="000118A0"/>
    <w:rsid w:val="00011939"/>
    <w:rsid w:val="00012A75"/>
    <w:rsid w:val="0001405C"/>
    <w:rsid w:val="0001650F"/>
    <w:rsid w:val="00024346"/>
    <w:rsid w:val="00025F22"/>
    <w:rsid w:val="000272B2"/>
    <w:rsid w:val="000307E6"/>
    <w:rsid w:val="00030D74"/>
    <w:rsid w:val="00043B86"/>
    <w:rsid w:val="0004584F"/>
    <w:rsid w:val="00045858"/>
    <w:rsid w:val="00046439"/>
    <w:rsid w:val="000465B3"/>
    <w:rsid w:val="00050ABA"/>
    <w:rsid w:val="000576E8"/>
    <w:rsid w:val="0006502A"/>
    <w:rsid w:val="000664FC"/>
    <w:rsid w:val="000665BE"/>
    <w:rsid w:val="00066F9F"/>
    <w:rsid w:val="0006789F"/>
    <w:rsid w:val="00073105"/>
    <w:rsid w:val="000746E8"/>
    <w:rsid w:val="00074F00"/>
    <w:rsid w:val="00075D8B"/>
    <w:rsid w:val="00076263"/>
    <w:rsid w:val="00076410"/>
    <w:rsid w:val="00080F37"/>
    <w:rsid w:val="00083594"/>
    <w:rsid w:val="00087F79"/>
    <w:rsid w:val="00090561"/>
    <w:rsid w:val="00095D07"/>
    <w:rsid w:val="00096102"/>
    <w:rsid w:val="000A0D62"/>
    <w:rsid w:val="000A12B5"/>
    <w:rsid w:val="000A7B76"/>
    <w:rsid w:val="000B16B1"/>
    <w:rsid w:val="000B2704"/>
    <w:rsid w:val="000B2D8F"/>
    <w:rsid w:val="000B3E22"/>
    <w:rsid w:val="000B4462"/>
    <w:rsid w:val="000C1526"/>
    <w:rsid w:val="000C3EAE"/>
    <w:rsid w:val="000C4618"/>
    <w:rsid w:val="000C77E0"/>
    <w:rsid w:val="000D0723"/>
    <w:rsid w:val="000D0DBB"/>
    <w:rsid w:val="000D3111"/>
    <w:rsid w:val="000D3C6F"/>
    <w:rsid w:val="000D4A72"/>
    <w:rsid w:val="000D6DA0"/>
    <w:rsid w:val="000E3AB0"/>
    <w:rsid w:val="000E696C"/>
    <w:rsid w:val="000F08DF"/>
    <w:rsid w:val="000F1044"/>
    <w:rsid w:val="000F2921"/>
    <w:rsid w:val="000F375E"/>
    <w:rsid w:val="000F5C83"/>
    <w:rsid w:val="000F5FED"/>
    <w:rsid w:val="000F6C61"/>
    <w:rsid w:val="00103ABA"/>
    <w:rsid w:val="00103E71"/>
    <w:rsid w:val="00105E35"/>
    <w:rsid w:val="0011472E"/>
    <w:rsid w:val="001220D8"/>
    <w:rsid w:val="00122ABE"/>
    <w:rsid w:val="001257B6"/>
    <w:rsid w:val="00126683"/>
    <w:rsid w:val="00127890"/>
    <w:rsid w:val="00127955"/>
    <w:rsid w:val="00131C22"/>
    <w:rsid w:val="00134D05"/>
    <w:rsid w:val="00135C50"/>
    <w:rsid w:val="00136AE4"/>
    <w:rsid w:val="00141217"/>
    <w:rsid w:val="001420EB"/>
    <w:rsid w:val="00142276"/>
    <w:rsid w:val="00142D89"/>
    <w:rsid w:val="001449CE"/>
    <w:rsid w:val="001452C3"/>
    <w:rsid w:val="00145CEF"/>
    <w:rsid w:val="0015285C"/>
    <w:rsid w:val="00157939"/>
    <w:rsid w:val="00160A53"/>
    <w:rsid w:val="00161A8E"/>
    <w:rsid w:val="00162183"/>
    <w:rsid w:val="00165BEF"/>
    <w:rsid w:val="001756BE"/>
    <w:rsid w:val="0017572D"/>
    <w:rsid w:val="00177229"/>
    <w:rsid w:val="001830A3"/>
    <w:rsid w:val="00185088"/>
    <w:rsid w:val="001871DA"/>
    <w:rsid w:val="001918A2"/>
    <w:rsid w:val="00196907"/>
    <w:rsid w:val="001A2C2E"/>
    <w:rsid w:val="001B03D9"/>
    <w:rsid w:val="001B03DD"/>
    <w:rsid w:val="001B0A1D"/>
    <w:rsid w:val="001B2292"/>
    <w:rsid w:val="001B291D"/>
    <w:rsid w:val="001B3BC1"/>
    <w:rsid w:val="001B500A"/>
    <w:rsid w:val="001B58F8"/>
    <w:rsid w:val="001B6C85"/>
    <w:rsid w:val="001C2B75"/>
    <w:rsid w:val="001C4677"/>
    <w:rsid w:val="001C6CDD"/>
    <w:rsid w:val="001C6FE9"/>
    <w:rsid w:val="001D0334"/>
    <w:rsid w:val="001D080D"/>
    <w:rsid w:val="001D11E0"/>
    <w:rsid w:val="001D592E"/>
    <w:rsid w:val="001D782E"/>
    <w:rsid w:val="001E1503"/>
    <w:rsid w:val="001E5563"/>
    <w:rsid w:val="001F1176"/>
    <w:rsid w:val="001F7ED3"/>
    <w:rsid w:val="00201011"/>
    <w:rsid w:val="002026B4"/>
    <w:rsid w:val="002026D9"/>
    <w:rsid w:val="002054FC"/>
    <w:rsid w:val="002075AA"/>
    <w:rsid w:val="00207EDD"/>
    <w:rsid w:val="002118F9"/>
    <w:rsid w:val="00211970"/>
    <w:rsid w:val="00214165"/>
    <w:rsid w:val="00216C79"/>
    <w:rsid w:val="002208D1"/>
    <w:rsid w:val="00223530"/>
    <w:rsid w:val="00226DD0"/>
    <w:rsid w:val="00230607"/>
    <w:rsid w:val="00230F64"/>
    <w:rsid w:val="00232265"/>
    <w:rsid w:val="002322F4"/>
    <w:rsid w:val="002354DB"/>
    <w:rsid w:val="002355B0"/>
    <w:rsid w:val="00235C89"/>
    <w:rsid w:val="00236174"/>
    <w:rsid w:val="0024083E"/>
    <w:rsid w:val="00241FEC"/>
    <w:rsid w:val="00242E08"/>
    <w:rsid w:val="002455B5"/>
    <w:rsid w:val="002457F5"/>
    <w:rsid w:val="00246D4F"/>
    <w:rsid w:val="00250A53"/>
    <w:rsid w:val="00253C3A"/>
    <w:rsid w:val="00253CF4"/>
    <w:rsid w:val="00254FDF"/>
    <w:rsid w:val="002558AA"/>
    <w:rsid w:val="00257387"/>
    <w:rsid w:val="0026154A"/>
    <w:rsid w:val="00267B03"/>
    <w:rsid w:val="00267CA1"/>
    <w:rsid w:val="00270E06"/>
    <w:rsid w:val="00272014"/>
    <w:rsid w:val="0027387E"/>
    <w:rsid w:val="00273B65"/>
    <w:rsid w:val="00275651"/>
    <w:rsid w:val="00277197"/>
    <w:rsid w:val="002772B5"/>
    <w:rsid w:val="002774FB"/>
    <w:rsid w:val="00277E2E"/>
    <w:rsid w:val="002854BD"/>
    <w:rsid w:val="0028730E"/>
    <w:rsid w:val="00287A78"/>
    <w:rsid w:val="002912CA"/>
    <w:rsid w:val="00291643"/>
    <w:rsid w:val="002919DB"/>
    <w:rsid w:val="00293086"/>
    <w:rsid w:val="002A02D1"/>
    <w:rsid w:val="002A213A"/>
    <w:rsid w:val="002A2633"/>
    <w:rsid w:val="002A26E9"/>
    <w:rsid w:val="002A4A49"/>
    <w:rsid w:val="002A55B5"/>
    <w:rsid w:val="002A7A1C"/>
    <w:rsid w:val="002B0785"/>
    <w:rsid w:val="002B20D8"/>
    <w:rsid w:val="002B2993"/>
    <w:rsid w:val="002B2F6C"/>
    <w:rsid w:val="002B708C"/>
    <w:rsid w:val="002B7BCC"/>
    <w:rsid w:val="002C1404"/>
    <w:rsid w:val="002C6300"/>
    <w:rsid w:val="002D0EA4"/>
    <w:rsid w:val="002D5C08"/>
    <w:rsid w:val="002E1556"/>
    <w:rsid w:val="002E1AD8"/>
    <w:rsid w:val="002E28B0"/>
    <w:rsid w:val="002E4ED1"/>
    <w:rsid w:val="002F3CFA"/>
    <w:rsid w:val="002F70A5"/>
    <w:rsid w:val="002F733A"/>
    <w:rsid w:val="002F7AF6"/>
    <w:rsid w:val="00306E05"/>
    <w:rsid w:val="003123CA"/>
    <w:rsid w:val="003134EA"/>
    <w:rsid w:val="00313B19"/>
    <w:rsid w:val="00313BE5"/>
    <w:rsid w:val="003140BC"/>
    <w:rsid w:val="003173AB"/>
    <w:rsid w:val="0032128C"/>
    <w:rsid w:val="00322C5B"/>
    <w:rsid w:val="0032312B"/>
    <w:rsid w:val="0032508D"/>
    <w:rsid w:val="00325595"/>
    <w:rsid w:val="003260B9"/>
    <w:rsid w:val="003310FD"/>
    <w:rsid w:val="00331494"/>
    <w:rsid w:val="00332B2B"/>
    <w:rsid w:val="00340DA2"/>
    <w:rsid w:val="00340F5A"/>
    <w:rsid w:val="0034291F"/>
    <w:rsid w:val="0034713B"/>
    <w:rsid w:val="00350F3E"/>
    <w:rsid w:val="00352E37"/>
    <w:rsid w:val="00352E7B"/>
    <w:rsid w:val="00353854"/>
    <w:rsid w:val="00356B96"/>
    <w:rsid w:val="00356C56"/>
    <w:rsid w:val="0036264E"/>
    <w:rsid w:val="00366387"/>
    <w:rsid w:val="00370155"/>
    <w:rsid w:val="00371504"/>
    <w:rsid w:val="00373F9D"/>
    <w:rsid w:val="0037691C"/>
    <w:rsid w:val="00376B14"/>
    <w:rsid w:val="003826D3"/>
    <w:rsid w:val="003858A3"/>
    <w:rsid w:val="00390609"/>
    <w:rsid w:val="00390ACF"/>
    <w:rsid w:val="003930C3"/>
    <w:rsid w:val="00393427"/>
    <w:rsid w:val="00393FEF"/>
    <w:rsid w:val="00394139"/>
    <w:rsid w:val="00394AE0"/>
    <w:rsid w:val="00395B20"/>
    <w:rsid w:val="003A11C2"/>
    <w:rsid w:val="003A134B"/>
    <w:rsid w:val="003A1367"/>
    <w:rsid w:val="003A20B0"/>
    <w:rsid w:val="003A3338"/>
    <w:rsid w:val="003A752D"/>
    <w:rsid w:val="003B0795"/>
    <w:rsid w:val="003B12FB"/>
    <w:rsid w:val="003B40C6"/>
    <w:rsid w:val="003C0178"/>
    <w:rsid w:val="003C1B42"/>
    <w:rsid w:val="003C3FE1"/>
    <w:rsid w:val="003C62CB"/>
    <w:rsid w:val="003C7646"/>
    <w:rsid w:val="003D0A4B"/>
    <w:rsid w:val="003D0FCA"/>
    <w:rsid w:val="003D3122"/>
    <w:rsid w:val="003D36FD"/>
    <w:rsid w:val="003D49FC"/>
    <w:rsid w:val="003D54AC"/>
    <w:rsid w:val="003D5875"/>
    <w:rsid w:val="003D5C33"/>
    <w:rsid w:val="003E1A11"/>
    <w:rsid w:val="003E207A"/>
    <w:rsid w:val="003E3201"/>
    <w:rsid w:val="003E7CB0"/>
    <w:rsid w:val="003F52CD"/>
    <w:rsid w:val="003F5CE4"/>
    <w:rsid w:val="0040312B"/>
    <w:rsid w:val="00403F5F"/>
    <w:rsid w:val="00404BBB"/>
    <w:rsid w:val="00404E97"/>
    <w:rsid w:val="00405D1E"/>
    <w:rsid w:val="0041073A"/>
    <w:rsid w:val="004129ED"/>
    <w:rsid w:val="00413B96"/>
    <w:rsid w:val="004153D1"/>
    <w:rsid w:val="0042443A"/>
    <w:rsid w:val="00425384"/>
    <w:rsid w:val="00430F3A"/>
    <w:rsid w:val="00441196"/>
    <w:rsid w:val="00443CBC"/>
    <w:rsid w:val="00445677"/>
    <w:rsid w:val="004509B7"/>
    <w:rsid w:val="004544AD"/>
    <w:rsid w:val="00456F97"/>
    <w:rsid w:val="00457089"/>
    <w:rsid w:val="00460310"/>
    <w:rsid w:val="004618A3"/>
    <w:rsid w:val="0046389C"/>
    <w:rsid w:val="004651FB"/>
    <w:rsid w:val="00471410"/>
    <w:rsid w:val="004714CE"/>
    <w:rsid w:val="00472573"/>
    <w:rsid w:val="004744D1"/>
    <w:rsid w:val="00474A18"/>
    <w:rsid w:val="004849ED"/>
    <w:rsid w:val="004863DC"/>
    <w:rsid w:val="00486834"/>
    <w:rsid w:val="00486925"/>
    <w:rsid w:val="00487314"/>
    <w:rsid w:val="0049000A"/>
    <w:rsid w:val="00492339"/>
    <w:rsid w:val="00496389"/>
    <w:rsid w:val="00496A9E"/>
    <w:rsid w:val="004A0829"/>
    <w:rsid w:val="004A0952"/>
    <w:rsid w:val="004A18F4"/>
    <w:rsid w:val="004A3168"/>
    <w:rsid w:val="004A3C86"/>
    <w:rsid w:val="004A4A2C"/>
    <w:rsid w:val="004A58B5"/>
    <w:rsid w:val="004A5BBA"/>
    <w:rsid w:val="004A62B8"/>
    <w:rsid w:val="004A742E"/>
    <w:rsid w:val="004A7915"/>
    <w:rsid w:val="004B0B6E"/>
    <w:rsid w:val="004B0FB3"/>
    <w:rsid w:val="004B0FCE"/>
    <w:rsid w:val="004B1D55"/>
    <w:rsid w:val="004B57A6"/>
    <w:rsid w:val="004B6D23"/>
    <w:rsid w:val="004C06C0"/>
    <w:rsid w:val="004C08C6"/>
    <w:rsid w:val="004C2C33"/>
    <w:rsid w:val="004C3206"/>
    <w:rsid w:val="004D0A0E"/>
    <w:rsid w:val="004D0C4D"/>
    <w:rsid w:val="004D442B"/>
    <w:rsid w:val="004D7AAC"/>
    <w:rsid w:val="004E0A33"/>
    <w:rsid w:val="004E2BF2"/>
    <w:rsid w:val="004E3E86"/>
    <w:rsid w:val="004E41F1"/>
    <w:rsid w:val="004E5F6E"/>
    <w:rsid w:val="004E67D0"/>
    <w:rsid w:val="004E7E6A"/>
    <w:rsid w:val="004F220F"/>
    <w:rsid w:val="004F22BD"/>
    <w:rsid w:val="004F34D4"/>
    <w:rsid w:val="004F55D2"/>
    <w:rsid w:val="004F6309"/>
    <w:rsid w:val="004F7296"/>
    <w:rsid w:val="00500525"/>
    <w:rsid w:val="00501D3A"/>
    <w:rsid w:val="00502CBE"/>
    <w:rsid w:val="0051094B"/>
    <w:rsid w:val="00511F83"/>
    <w:rsid w:val="005129A3"/>
    <w:rsid w:val="00513E9E"/>
    <w:rsid w:val="005201AB"/>
    <w:rsid w:val="00520A67"/>
    <w:rsid w:val="00521787"/>
    <w:rsid w:val="005227BF"/>
    <w:rsid w:val="00523851"/>
    <w:rsid w:val="005244B2"/>
    <w:rsid w:val="00525D0C"/>
    <w:rsid w:val="00531A16"/>
    <w:rsid w:val="0053230B"/>
    <w:rsid w:val="005323E0"/>
    <w:rsid w:val="00532CFA"/>
    <w:rsid w:val="00533587"/>
    <w:rsid w:val="005346B6"/>
    <w:rsid w:val="00536DD1"/>
    <w:rsid w:val="00542C4F"/>
    <w:rsid w:val="00543CE4"/>
    <w:rsid w:val="00545C2E"/>
    <w:rsid w:val="005511B4"/>
    <w:rsid w:val="005525B5"/>
    <w:rsid w:val="00552616"/>
    <w:rsid w:val="00555026"/>
    <w:rsid w:val="0055699F"/>
    <w:rsid w:val="00557E87"/>
    <w:rsid w:val="005644FD"/>
    <w:rsid w:val="00573755"/>
    <w:rsid w:val="0058077D"/>
    <w:rsid w:val="00581319"/>
    <w:rsid w:val="00581EE7"/>
    <w:rsid w:val="00585FE7"/>
    <w:rsid w:val="00592CFD"/>
    <w:rsid w:val="00594CF8"/>
    <w:rsid w:val="00594DEA"/>
    <w:rsid w:val="00597741"/>
    <w:rsid w:val="005A0E65"/>
    <w:rsid w:val="005A1D73"/>
    <w:rsid w:val="005A28B3"/>
    <w:rsid w:val="005A56B5"/>
    <w:rsid w:val="005A6F28"/>
    <w:rsid w:val="005B1A6A"/>
    <w:rsid w:val="005B266A"/>
    <w:rsid w:val="005B2681"/>
    <w:rsid w:val="005B35FE"/>
    <w:rsid w:val="005B36AF"/>
    <w:rsid w:val="005B4907"/>
    <w:rsid w:val="005B5827"/>
    <w:rsid w:val="005B6691"/>
    <w:rsid w:val="005B76B3"/>
    <w:rsid w:val="005C0169"/>
    <w:rsid w:val="005C361B"/>
    <w:rsid w:val="005C43BC"/>
    <w:rsid w:val="005C4785"/>
    <w:rsid w:val="005C5685"/>
    <w:rsid w:val="005C7DD8"/>
    <w:rsid w:val="005D02AE"/>
    <w:rsid w:val="005D3B7F"/>
    <w:rsid w:val="005D484F"/>
    <w:rsid w:val="005D78BA"/>
    <w:rsid w:val="005E0DB5"/>
    <w:rsid w:val="005E1172"/>
    <w:rsid w:val="005E426C"/>
    <w:rsid w:val="005E4525"/>
    <w:rsid w:val="005E5C07"/>
    <w:rsid w:val="005E651B"/>
    <w:rsid w:val="005E6595"/>
    <w:rsid w:val="005E7C4C"/>
    <w:rsid w:val="005F2270"/>
    <w:rsid w:val="005F6363"/>
    <w:rsid w:val="005F6A97"/>
    <w:rsid w:val="006010B7"/>
    <w:rsid w:val="006020C0"/>
    <w:rsid w:val="00603CA2"/>
    <w:rsid w:val="00605946"/>
    <w:rsid w:val="006106BB"/>
    <w:rsid w:val="00611A03"/>
    <w:rsid w:val="00615045"/>
    <w:rsid w:val="006175E8"/>
    <w:rsid w:val="00617849"/>
    <w:rsid w:val="00620C52"/>
    <w:rsid w:val="006276CF"/>
    <w:rsid w:val="00631769"/>
    <w:rsid w:val="00632F0C"/>
    <w:rsid w:val="00634105"/>
    <w:rsid w:val="006423F0"/>
    <w:rsid w:val="00643568"/>
    <w:rsid w:val="006467E0"/>
    <w:rsid w:val="006515E3"/>
    <w:rsid w:val="00651CFD"/>
    <w:rsid w:val="00654641"/>
    <w:rsid w:val="00662E68"/>
    <w:rsid w:val="00663EA2"/>
    <w:rsid w:val="00665EDF"/>
    <w:rsid w:val="00666BFE"/>
    <w:rsid w:val="006671B4"/>
    <w:rsid w:val="00670D9B"/>
    <w:rsid w:val="006710C9"/>
    <w:rsid w:val="00671F1C"/>
    <w:rsid w:val="006721A7"/>
    <w:rsid w:val="00672648"/>
    <w:rsid w:val="00672FCF"/>
    <w:rsid w:val="006734FF"/>
    <w:rsid w:val="0067596F"/>
    <w:rsid w:val="00675FB5"/>
    <w:rsid w:val="00680908"/>
    <w:rsid w:val="006825A4"/>
    <w:rsid w:val="006832AC"/>
    <w:rsid w:val="0068676B"/>
    <w:rsid w:val="006943D3"/>
    <w:rsid w:val="006956F2"/>
    <w:rsid w:val="00695D35"/>
    <w:rsid w:val="00695DBE"/>
    <w:rsid w:val="006A3134"/>
    <w:rsid w:val="006A3C03"/>
    <w:rsid w:val="006A6B36"/>
    <w:rsid w:val="006A7708"/>
    <w:rsid w:val="006B1B9D"/>
    <w:rsid w:val="006B1C53"/>
    <w:rsid w:val="006B4D78"/>
    <w:rsid w:val="006B7E63"/>
    <w:rsid w:val="006C306E"/>
    <w:rsid w:val="006C331E"/>
    <w:rsid w:val="006C62E5"/>
    <w:rsid w:val="006C66D0"/>
    <w:rsid w:val="006D3272"/>
    <w:rsid w:val="006D3A51"/>
    <w:rsid w:val="006D58A9"/>
    <w:rsid w:val="006D76F7"/>
    <w:rsid w:val="006E0F5F"/>
    <w:rsid w:val="006E1A81"/>
    <w:rsid w:val="006E1C89"/>
    <w:rsid w:val="006E2DDE"/>
    <w:rsid w:val="006E3051"/>
    <w:rsid w:val="006F4C95"/>
    <w:rsid w:val="006F5677"/>
    <w:rsid w:val="00701AB8"/>
    <w:rsid w:val="0070328C"/>
    <w:rsid w:val="0070389C"/>
    <w:rsid w:val="00705C67"/>
    <w:rsid w:val="00713824"/>
    <w:rsid w:val="00713B92"/>
    <w:rsid w:val="007146FC"/>
    <w:rsid w:val="0071476F"/>
    <w:rsid w:val="00716B43"/>
    <w:rsid w:val="007212B1"/>
    <w:rsid w:val="00721E9C"/>
    <w:rsid w:val="007227C1"/>
    <w:rsid w:val="00725562"/>
    <w:rsid w:val="00727D92"/>
    <w:rsid w:val="0073744A"/>
    <w:rsid w:val="00742D4E"/>
    <w:rsid w:val="0074599C"/>
    <w:rsid w:val="00752BA7"/>
    <w:rsid w:val="007535CB"/>
    <w:rsid w:val="00753C8F"/>
    <w:rsid w:val="007561ED"/>
    <w:rsid w:val="00756B6D"/>
    <w:rsid w:val="007572BA"/>
    <w:rsid w:val="00757EE7"/>
    <w:rsid w:val="00760B2D"/>
    <w:rsid w:val="00761A99"/>
    <w:rsid w:val="00764F56"/>
    <w:rsid w:val="00765CB0"/>
    <w:rsid w:val="00775BD9"/>
    <w:rsid w:val="00780966"/>
    <w:rsid w:val="00785777"/>
    <w:rsid w:val="007863F3"/>
    <w:rsid w:val="00787341"/>
    <w:rsid w:val="007912F6"/>
    <w:rsid w:val="00793C82"/>
    <w:rsid w:val="0079404E"/>
    <w:rsid w:val="007942F6"/>
    <w:rsid w:val="00794EEA"/>
    <w:rsid w:val="00795D11"/>
    <w:rsid w:val="007A244C"/>
    <w:rsid w:val="007A25E1"/>
    <w:rsid w:val="007A4B1F"/>
    <w:rsid w:val="007A7D9C"/>
    <w:rsid w:val="007B0E7E"/>
    <w:rsid w:val="007B37CA"/>
    <w:rsid w:val="007B3E62"/>
    <w:rsid w:val="007B4F63"/>
    <w:rsid w:val="007B716B"/>
    <w:rsid w:val="007B759C"/>
    <w:rsid w:val="007C45A4"/>
    <w:rsid w:val="007C4795"/>
    <w:rsid w:val="007C5D41"/>
    <w:rsid w:val="007C6DDA"/>
    <w:rsid w:val="007D1B69"/>
    <w:rsid w:val="007D3710"/>
    <w:rsid w:val="007D47E8"/>
    <w:rsid w:val="007D5B31"/>
    <w:rsid w:val="007E4A47"/>
    <w:rsid w:val="007E7DB4"/>
    <w:rsid w:val="007F107B"/>
    <w:rsid w:val="007F3294"/>
    <w:rsid w:val="007F35C2"/>
    <w:rsid w:val="007F3DCB"/>
    <w:rsid w:val="007F481E"/>
    <w:rsid w:val="007F5FB7"/>
    <w:rsid w:val="007F79D0"/>
    <w:rsid w:val="008006BD"/>
    <w:rsid w:val="00800DA8"/>
    <w:rsid w:val="00804617"/>
    <w:rsid w:val="0080619E"/>
    <w:rsid w:val="008064B3"/>
    <w:rsid w:val="00806C37"/>
    <w:rsid w:val="00806D63"/>
    <w:rsid w:val="008073CE"/>
    <w:rsid w:val="008106BB"/>
    <w:rsid w:val="008126E2"/>
    <w:rsid w:val="00815D64"/>
    <w:rsid w:val="00820A89"/>
    <w:rsid w:val="008224E4"/>
    <w:rsid w:val="00823C1A"/>
    <w:rsid w:val="00825B74"/>
    <w:rsid w:val="00825C0C"/>
    <w:rsid w:val="00827D03"/>
    <w:rsid w:val="008340AA"/>
    <w:rsid w:val="008408B7"/>
    <w:rsid w:val="00841A0D"/>
    <w:rsid w:val="008447E9"/>
    <w:rsid w:val="00845753"/>
    <w:rsid w:val="0084754D"/>
    <w:rsid w:val="00853F81"/>
    <w:rsid w:val="00856A58"/>
    <w:rsid w:val="00856FD6"/>
    <w:rsid w:val="00857C47"/>
    <w:rsid w:val="008606AB"/>
    <w:rsid w:val="00860C4A"/>
    <w:rsid w:val="008613CD"/>
    <w:rsid w:val="008639CA"/>
    <w:rsid w:val="008642ED"/>
    <w:rsid w:val="00864ECA"/>
    <w:rsid w:val="00864F98"/>
    <w:rsid w:val="008703CB"/>
    <w:rsid w:val="00871AC0"/>
    <w:rsid w:val="008726D2"/>
    <w:rsid w:val="00873664"/>
    <w:rsid w:val="008743B0"/>
    <w:rsid w:val="00876AB5"/>
    <w:rsid w:val="00876FEE"/>
    <w:rsid w:val="00877D06"/>
    <w:rsid w:val="00881740"/>
    <w:rsid w:val="00882C01"/>
    <w:rsid w:val="0088515A"/>
    <w:rsid w:val="00885AC5"/>
    <w:rsid w:val="00887164"/>
    <w:rsid w:val="00891AE6"/>
    <w:rsid w:val="00892D51"/>
    <w:rsid w:val="00892FC4"/>
    <w:rsid w:val="008A113C"/>
    <w:rsid w:val="008A1C9E"/>
    <w:rsid w:val="008A1F8B"/>
    <w:rsid w:val="008A379C"/>
    <w:rsid w:val="008A4CE3"/>
    <w:rsid w:val="008A6B9E"/>
    <w:rsid w:val="008A789A"/>
    <w:rsid w:val="008A7B63"/>
    <w:rsid w:val="008B015F"/>
    <w:rsid w:val="008B419B"/>
    <w:rsid w:val="008B66B5"/>
    <w:rsid w:val="008B71AE"/>
    <w:rsid w:val="008C3E6A"/>
    <w:rsid w:val="008C599A"/>
    <w:rsid w:val="008D0BBC"/>
    <w:rsid w:val="008D0DA3"/>
    <w:rsid w:val="008D220D"/>
    <w:rsid w:val="008D318E"/>
    <w:rsid w:val="008D6AE8"/>
    <w:rsid w:val="008D71E9"/>
    <w:rsid w:val="008D73D0"/>
    <w:rsid w:val="008E0228"/>
    <w:rsid w:val="008E4C2C"/>
    <w:rsid w:val="008E7892"/>
    <w:rsid w:val="008F0781"/>
    <w:rsid w:val="008F2676"/>
    <w:rsid w:val="008F4F1F"/>
    <w:rsid w:val="008F5F56"/>
    <w:rsid w:val="008F6903"/>
    <w:rsid w:val="00902794"/>
    <w:rsid w:val="009027E3"/>
    <w:rsid w:val="00902E47"/>
    <w:rsid w:val="009046C7"/>
    <w:rsid w:val="00907148"/>
    <w:rsid w:val="00911DED"/>
    <w:rsid w:val="00912473"/>
    <w:rsid w:val="009126FD"/>
    <w:rsid w:val="00915138"/>
    <w:rsid w:val="00922520"/>
    <w:rsid w:val="0092318D"/>
    <w:rsid w:val="00924970"/>
    <w:rsid w:val="00926593"/>
    <w:rsid w:val="0093286E"/>
    <w:rsid w:val="00933E3B"/>
    <w:rsid w:val="009361B2"/>
    <w:rsid w:val="009365C9"/>
    <w:rsid w:val="0094124B"/>
    <w:rsid w:val="009419C5"/>
    <w:rsid w:val="00944345"/>
    <w:rsid w:val="00954121"/>
    <w:rsid w:val="00954FB2"/>
    <w:rsid w:val="00956CFD"/>
    <w:rsid w:val="009614D5"/>
    <w:rsid w:val="00962EA7"/>
    <w:rsid w:val="00965CF0"/>
    <w:rsid w:val="009757A9"/>
    <w:rsid w:val="0097685A"/>
    <w:rsid w:val="00977842"/>
    <w:rsid w:val="009816D6"/>
    <w:rsid w:val="00982018"/>
    <w:rsid w:val="00983339"/>
    <w:rsid w:val="00984383"/>
    <w:rsid w:val="00984AB4"/>
    <w:rsid w:val="0098747C"/>
    <w:rsid w:val="00993058"/>
    <w:rsid w:val="00993F77"/>
    <w:rsid w:val="0099479E"/>
    <w:rsid w:val="009A1346"/>
    <w:rsid w:val="009A1465"/>
    <w:rsid w:val="009A4AFC"/>
    <w:rsid w:val="009A4E43"/>
    <w:rsid w:val="009B143E"/>
    <w:rsid w:val="009B1F6C"/>
    <w:rsid w:val="009B7607"/>
    <w:rsid w:val="009C0143"/>
    <w:rsid w:val="009C034B"/>
    <w:rsid w:val="009C194B"/>
    <w:rsid w:val="009C1A54"/>
    <w:rsid w:val="009C1BC1"/>
    <w:rsid w:val="009C7B8C"/>
    <w:rsid w:val="009D0A6F"/>
    <w:rsid w:val="009D1C49"/>
    <w:rsid w:val="009D2AA7"/>
    <w:rsid w:val="009D43F3"/>
    <w:rsid w:val="009D4A12"/>
    <w:rsid w:val="009D56BD"/>
    <w:rsid w:val="009D76DE"/>
    <w:rsid w:val="009E1FA8"/>
    <w:rsid w:val="009E306F"/>
    <w:rsid w:val="009E3E80"/>
    <w:rsid w:val="009E4370"/>
    <w:rsid w:val="009E565F"/>
    <w:rsid w:val="009E5FB3"/>
    <w:rsid w:val="009F39F6"/>
    <w:rsid w:val="009F423C"/>
    <w:rsid w:val="009F4407"/>
    <w:rsid w:val="009F7C59"/>
    <w:rsid w:val="00A02195"/>
    <w:rsid w:val="00A0227E"/>
    <w:rsid w:val="00A0556C"/>
    <w:rsid w:val="00A05AB5"/>
    <w:rsid w:val="00A12978"/>
    <w:rsid w:val="00A16CBB"/>
    <w:rsid w:val="00A17193"/>
    <w:rsid w:val="00A174CD"/>
    <w:rsid w:val="00A17EAD"/>
    <w:rsid w:val="00A215ED"/>
    <w:rsid w:val="00A24AB4"/>
    <w:rsid w:val="00A255AF"/>
    <w:rsid w:val="00A26F9F"/>
    <w:rsid w:val="00A31C3A"/>
    <w:rsid w:val="00A32013"/>
    <w:rsid w:val="00A32EDF"/>
    <w:rsid w:val="00A3462E"/>
    <w:rsid w:val="00A35BD7"/>
    <w:rsid w:val="00A37C45"/>
    <w:rsid w:val="00A42FD7"/>
    <w:rsid w:val="00A45948"/>
    <w:rsid w:val="00A4606C"/>
    <w:rsid w:val="00A471E8"/>
    <w:rsid w:val="00A47B28"/>
    <w:rsid w:val="00A509DA"/>
    <w:rsid w:val="00A536F4"/>
    <w:rsid w:val="00A5559A"/>
    <w:rsid w:val="00A621C9"/>
    <w:rsid w:val="00A622C1"/>
    <w:rsid w:val="00A631CD"/>
    <w:rsid w:val="00A633F6"/>
    <w:rsid w:val="00A653D8"/>
    <w:rsid w:val="00A71D9B"/>
    <w:rsid w:val="00A71F37"/>
    <w:rsid w:val="00A72505"/>
    <w:rsid w:val="00A755DF"/>
    <w:rsid w:val="00A7672B"/>
    <w:rsid w:val="00A76A8F"/>
    <w:rsid w:val="00A804B8"/>
    <w:rsid w:val="00A80AD8"/>
    <w:rsid w:val="00A82F75"/>
    <w:rsid w:val="00A843E1"/>
    <w:rsid w:val="00A87543"/>
    <w:rsid w:val="00A87C4E"/>
    <w:rsid w:val="00A90BF1"/>
    <w:rsid w:val="00A92258"/>
    <w:rsid w:val="00A9249A"/>
    <w:rsid w:val="00A92AB0"/>
    <w:rsid w:val="00A93038"/>
    <w:rsid w:val="00A930F4"/>
    <w:rsid w:val="00A945D1"/>
    <w:rsid w:val="00A94BCA"/>
    <w:rsid w:val="00A95CB6"/>
    <w:rsid w:val="00AA36DC"/>
    <w:rsid w:val="00AA5B9A"/>
    <w:rsid w:val="00AB1539"/>
    <w:rsid w:val="00AB31A2"/>
    <w:rsid w:val="00AC150B"/>
    <w:rsid w:val="00AC2834"/>
    <w:rsid w:val="00AC2CFC"/>
    <w:rsid w:val="00AC41A4"/>
    <w:rsid w:val="00AD193C"/>
    <w:rsid w:val="00AD3DCE"/>
    <w:rsid w:val="00AD49B8"/>
    <w:rsid w:val="00AE514C"/>
    <w:rsid w:val="00AE6902"/>
    <w:rsid w:val="00AF03AE"/>
    <w:rsid w:val="00AF352D"/>
    <w:rsid w:val="00AF467F"/>
    <w:rsid w:val="00B02F7E"/>
    <w:rsid w:val="00B03935"/>
    <w:rsid w:val="00B047CC"/>
    <w:rsid w:val="00B0524B"/>
    <w:rsid w:val="00B068B0"/>
    <w:rsid w:val="00B0694A"/>
    <w:rsid w:val="00B103CE"/>
    <w:rsid w:val="00B14691"/>
    <w:rsid w:val="00B14961"/>
    <w:rsid w:val="00B16370"/>
    <w:rsid w:val="00B165EB"/>
    <w:rsid w:val="00B2221A"/>
    <w:rsid w:val="00B23CA0"/>
    <w:rsid w:val="00B23CE1"/>
    <w:rsid w:val="00B24621"/>
    <w:rsid w:val="00B31A1C"/>
    <w:rsid w:val="00B33E68"/>
    <w:rsid w:val="00B34102"/>
    <w:rsid w:val="00B408D0"/>
    <w:rsid w:val="00B43AD7"/>
    <w:rsid w:val="00B512EE"/>
    <w:rsid w:val="00B522B0"/>
    <w:rsid w:val="00B52679"/>
    <w:rsid w:val="00B53886"/>
    <w:rsid w:val="00B552DF"/>
    <w:rsid w:val="00B55481"/>
    <w:rsid w:val="00B55900"/>
    <w:rsid w:val="00B567BA"/>
    <w:rsid w:val="00B568CE"/>
    <w:rsid w:val="00B61464"/>
    <w:rsid w:val="00B629DF"/>
    <w:rsid w:val="00B676B3"/>
    <w:rsid w:val="00B706B1"/>
    <w:rsid w:val="00B707B2"/>
    <w:rsid w:val="00B713A8"/>
    <w:rsid w:val="00B71605"/>
    <w:rsid w:val="00B722D0"/>
    <w:rsid w:val="00B74EFE"/>
    <w:rsid w:val="00B76288"/>
    <w:rsid w:val="00B76736"/>
    <w:rsid w:val="00B769F2"/>
    <w:rsid w:val="00B76B25"/>
    <w:rsid w:val="00B77A65"/>
    <w:rsid w:val="00B77DC7"/>
    <w:rsid w:val="00B805CD"/>
    <w:rsid w:val="00B84747"/>
    <w:rsid w:val="00B85488"/>
    <w:rsid w:val="00B87F06"/>
    <w:rsid w:val="00B94263"/>
    <w:rsid w:val="00B95A0E"/>
    <w:rsid w:val="00B96223"/>
    <w:rsid w:val="00B973FA"/>
    <w:rsid w:val="00B97738"/>
    <w:rsid w:val="00BA33C3"/>
    <w:rsid w:val="00BA3968"/>
    <w:rsid w:val="00BA4C67"/>
    <w:rsid w:val="00BA5732"/>
    <w:rsid w:val="00BA59D8"/>
    <w:rsid w:val="00BA6256"/>
    <w:rsid w:val="00BB0B3D"/>
    <w:rsid w:val="00BB37C8"/>
    <w:rsid w:val="00BB44B3"/>
    <w:rsid w:val="00BB704D"/>
    <w:rsid w:val="00BC186D"/>
    <w:rsid w:val="00BC1F18"/>
    <w:rsid w:val="00BC2C89"/>
    <w:rsid w:val="00BC3FB7"/>
    <w:rsid w:val="00BC4C4D"/>
    <w:rsid w:val="00BD248A"/>
    <w:rsid w:val="00BD294B"/>
    <w:rsid w:val="00BD3A95"/>
    <w:rsid w:val="00BD5A42"/>
    <w:rsid w:val="00BD7206"/>
    <w:rsid w:val="00BD7550"/>
    <w:rsid w:val="00BE15A1"/>
    <w:rsid w:val="00BE42E0"/>
    <w:rsid w:val="00BF3C9E"/>
    <w:rsid w:val="00BF4A7F"/>
    <w:rsid w:val="00BF4BAF"/>
    <w:rsid w:val="00BF4E0B"/>
    <w:rsid w:val="00BF51AD"/>
    <w:rsid w:val="00BF6AF4"/>
    <w:rsid w:val="00C02E9F"/>
    <w:rsid w:val="00C0682E"/>
    <w:rsid w:val="00C0725A"/>
    <w:rsid w:val="00C14DC2"/>
    <w:rsid w:val="00C15008"/>
    <w:rsid w:val="00C1741B"/>
    <w:rsid w:val="00C21475"/>
    <w:rsid w:val="00C21A7E"/>
    <w:rsid w:val="00C23912"/>
    <w:rsid w:val="00C248D1"/>
    <w:rsid w:val="00C24966"/>
    <w:rsid w:val="00C277ED"/>
    <w:rsid w:val="00C305C3"/>
    <w:rsid w:val="00C3314A"/>
    <w:rsid w:val="00C3526F"/>
    <w:rsid w:val="00C35993"/>
    <w:rsid w:val="00C36191"/>
    <w:rsid w:val="00C3709E"/>
    <w:rsid w:val="00C40750"/>
    <w:rsid w:val="00C40F35"/>
    <w:rsid w:val="00C411C4"/>
    <w:rsid w:val="00C41FA3"/>
    <w:rsid w:val="00C43700"/>
    <w:rsid w:val="00C4421F"/>
    <w:rsid w:val="00C51633"/>
    <w:rsid w:val="00C524CB"/>
    <w:rsid w:val="00C532CF"/>
    <w:rsid w:val="00C53869"/>
    <w:rsid w:val="00C54B92"/>
    <w:rsid w:val="00C568CA"/>
    <w:rsid w:val="00C56923"/>
    <w:rsid w:val="00C638C7"/>
    <w:rsid w:val="00C65626"/>
    <w:rsid w:val="00C700F4"/>
    <w:rsid w:val="00C703A9"/>
    <w:rsid w:val="00C737CB"/>
    <w:rsid w:val="00C748ED"/>
    <w:rsid w:val="00C764F0"/>
    <w:rsid w:val="00C86A07"/>
    <w:rsid w:val="00C90166"/>
    <w:rsid w:val="00C90191"/>
    <w:rsid w:val="00C916C9"/>
    <w:rsid w:val="00C928D9"/>
    <w:rsid w:val="00C92D40"/>
    <w:rsid w:val="00C94470"/>
    <w:rsid w:val="00C969DD"/>
    <w:rsid w:val="00CA074B"/>
    <w:rsid w:val="00CA3BBF"/>
    <w:rsid w:val="00CA794A"/>
    <w:rsid w:val="00CB0899"/>
    <w:rsid w:val="00CB3224"/>
    <w:rsid w:val="00CB3237"/>
    <w:rsid w:val="00CB44DC"/>
    <w:rsid w:val="00CB60D9"/>
    <w:rsid w:val="00CC1463"/>
    <w:rsid w:val="00CC212C"/>
    <w:rsid w:val="00CC27AA"/>
    <w:rsid w:val="00CD444E"/>
    <w:rsid w:val="00CD4798"/>
    <w:rsid w:val="00CD68A2"/>
    <w:rsid w:val="00CE002E"/>
    <w:rsid w:val="00CE243D"/>
    <w:rsid w:val="00CE373B"/>
    <w:rsid w:val="00CE4B78"/>
    <w:rsid w:val="00CE5334"/>
    <w:rsid w:val="00CF0557"/>
    <w:rsid w:val="00CF16D4"/>
    <w:rsid w:val="00CF4B75"/>
    <w:rsid w:val="00CF5BBA"/>
    <w:rsid w:val="00CF6DD4"/>
    <w:rsid w:val="00CF7F64"/>
    <w:rsid w:val="00D00F1D"/>
    <w:rsid w:val="00D02186"/>
    <w:rsid w:val="00D05431"/>
    <w:rsid w:val="00D06E45"/>
    <w:rsid w:val="00D07442"/>
    <w:rsid w:val="00D0762F"/>
    <w:rsid w:val="00D07858"/>
    <w:rsid w:val="00D136A0"/>
    <w:rsid w:val="00D159DE"/>
    <w:rsid w:val="00D20F89"/>
    <w:rsid w:val="00D245C0"/>
    <w:rsid w:val="00D248FD"/>
    <w:rsid w:val="00D26C81"/>
    <w:rsid w:val="00D34497"/>
    <w:rsid w:val="00D36D1A"/>
    <w:rsid w:val="00D406FD"/>
    <w:rsid w:val="00D42000"/>
    <w:rsid w:val="00D43444"/>
    <w:rsid w:val="00D446B3"/>
    <w:rsid w:val="00D449C1"/>
    <w:rsid w:val="00D4597F"/>
    <w:rsid w:val="00D4645E"/>
    <w:rsid w:val="00D46663"/>
    <w:rsid w:val="00D46E79"/>
    <w:rsid w:val="00D50422"/>
    <w:rsid w:val="00D508C3"/>
    <w:rsid w:val="00D5746A"/>
    <w:rsid w:val="00D57EAD"/>
    <w:rsid w:val="00D60958"/>
    <w:rsid w:val="00D6205F"/>
    <w:rsid w:val="00D62B9C"/>
    <w:rsid w:val="00D64D68"/>
    <w:rsid w:val="00D656A5"/>
    <w:rsid w:val="00D70DE3"/>
    <w:rsid w:val="00D72CD9"/>
    <w:rsid w:val="00D734E2"/>
    <w:rsid w:val="00D740B8"/>
    <w:rsid w:val="00D75EF0"/>
    <w:rsid w:val="00D76809"/>
    <w:rsid w:val="00D76A23"/>
    <w:rsid w:val="00D81FA1"/>
    <w:rsid w:val="00D825DD"/>
    <w:rsid w:val="00D82B99"/>
    <w:rsid w:val="00D85DC0"/>
    <w:rsid w:val="00D873C1"/>
    <w:rsid w:val="00D87B9A"/>
    <w:rsid w:val="00D91B18"/>
    <w:rsid w:val="00D9508C"/>
    <w:rsid w:val="00DA0E14"/>
    <w:rsid w:val="00DA1090"/>
    <w:rsid w:val="00DA24A2"/>
    <w:rsid w:val="00DA2994"/>
    <w:rsid w:val="00DA47E2"/>
    <w:rsid w:val="00DA682F"/>
    <w:rsid w:val="00DB1204"/>
    <w:rsid w:val="00DB2BE1"/>
    <w:rsid w:val="00DB2F85"/>
    <w:rsid w:val="00DB3127"/>
    <w:rsid w:val="00DB51FA"/>
    <w:rsid w:val="00DB5E7D"/>
    <w:rsid w:val="00DC05DC"/>
    <w:rsid w:val="00DC2A2F"/>
    <w:rsid w:val="00DC4922"/>
    <w:rsid w:val="00DC553D"/>
    <w:rsid w:val="00DC6142"/>
    <w:rsid w:val="00DC65A9"/>
    <w:rsid w:val="00DD0AAA"/>
    <w:rsid w:val="00DD1D82"/>
    <w:rsid w:val="00DD4484"/>
    <w:rsid w:val="00DD6EDE"/>
    <w:rsid w:val="00DE041D"/>
    <w:rsid w:val="00DE0873"/>
    <w:rsid w:val="00DE0901"/>
    <w:rsid w:val="00DE306F"/>
    <w:rsid w:val="00DE3384"/>
    <w:rsid w:val="00DE3C24"/>
    <w:rsid w:val="00DE4617"/>
    <w:rsid w:val="00DE46B0"/>
    <w:rsid w:val="00DE7959"/>
    <w:rsid w:val="00DF2FC9"/>
    <w:rsid w:val="00E03FA1"/>
    <w:rsid w:val="00E040E7"/>
    <w:rsid w:val="00E0700E"/>
    <w:rsid w:val="00E114F3"/>
    <w:rsid w:val="00E12E35"/>
    <w:rsid w:val="00E13370"/>
    <w:rsid w:val="00E14EBE"/>
    <w:rsid w:val="00E21BC2"/>
    <w:rsid w:val="00E232A6"/>
    <w:rsid w:val="00E25C0C"/>
    <w:rsid w:val="00E2624F"/>
    <w:rsid w:val="00E262F3"/>
    <w:rsid w:val="00E2736B"/>
    <w:rsid w:val="00E33540"/>
    <w:rsid w:val="00E339D0"/>
    <w:rsid w:val="00E34291"/>
    <w:rsid w:val="00E34E64"/>
    <w:rsid w:val="00E35426"/>
    <w:rsid w:val="00E373CF"/>
    <w:rsid w:val="00E418BA"/>
    <w:rsid w:val="00E420AD"/>
    <w:rsid w:val="00E44051"/>
    <w:rsid w:val="00E46BA5"/>
    <w:rsid w:val="00E472D4"/>
    <w:rsid w:val="00E47A0A"/>
    <w:rsid w:val="00E5460F"/>
    <w:rsid w:val="00E55040"/>
    <w:rsid w:val="00E57987"/>
    <w:rsid w:val="00E619E8"/>
    <w:rsid w:val="00E72306"/>
    <w:rsid w:val="00E7399B"/>
    <w:rsid w:val="00E739E8"/>
    <w:rsid w:val="00E74500"/>
    <w:rsid w:val="00E76AA5"/>
    <w:rsid w:val="00E810A4"/>
    <w:rsid w:val="00E8156F"/>
    <w:rsid w:val="00E83C2F"/>
    <w:rsid w:val="00E84823"/>
    <w:rsid w:val="00E86D65"/>
    <w:rsid w:val="00E930D2"/>
    <w:rsid w:val="00E93EC2"/>
    <w:rsid w:val="00E971EC"/>
    <w:rsid w:val="00EA0BF8"/>
    <w:rsid w:val="00EA10B1"/>
    <w:rsid w:val="00EA4672"/>
    <w:rsid w:val="00EB181C"/>
    <w:rsid w:val="00EB334E"/>
    <w:rsid w:val="00EB4637"/>
    <w:rsid w:val="00EB5A36"/>
    <w:rsid w:val="00EB5B9E"/>
    <w:rsid w:val="00EC0B2D"/>
    <w:rsid w:val="00EC1398"/>
    <w:rsid w:val="00EC31D7"/>
    <w:rsid w:val="00EC38AF"/>
    <w:rsid w:val="00EC4ABE"/>
    <w:rsid w:val="00EC5126"/>
    <w:rsid w:val="00EC5CB0"/>
    <w:rsid w:val="00EC6260"/>
    <w:rsid w:val="00EC671B"/>
    <w:rsid w:val="00ED1CAA"/>
    <w:rsid w:val="00ED316E"/>
    <w:rsid w:val="00ED4E93"/>
    <w:rsid w:val="00EE0982"/>
    <w:rsid w:val="00EE2C55"/>
    <w:rsid w:val="00EE41EC"/>
    <w:rsid w:val="00EE72D7"/>
    <w:rsid w:val="00EE7608"/>
    <w:rsid w:val="00EF02B2"/>
    <w:rsid w:val="00EF0863"/>
    <w:rsid w:val="00EF0D3A"/>
    <w:rsid w:val="00EF3173"/>
    <w:rsid w:val="00EF3514"/>
    <w:rsid w:val="00EF5E19"/>
    <w:rsid w:val="00F0085B"/>
    <w:rsid w:val="00F03DD7"/>
    <w:rsid w:val="00F0497A"/>
    <w:rsid w:val="00F04F6C"/>
    <w:rsid w:val="00F050C0"/>
    <w:rsid w:val="00F05C8E"/>
    <w:rsid w:val="00F07D3B"/>
    <w:rsid w:val="00F109EB"/>
    <w:rsid w:val="00F1153B"/>
    <w:rsid w:val="00F12D64"/>
    <w:rsid w:val="00F13925"/>
    <w:rsid w:val="00F15314"/>
    <w:rsid w:val="00F1667E"/>
    <w:rsid w:val="00F17ACE"/>
    <w:rsid w:val="00F17DB8"/>
    <w:rsid w:val="00F2302E"/>
    <w:rsid w:val="00F26A2D"/>
    <w:rsid w:val="00F27A79"/>
    <w:rsid w:val="00F30D08"/>
    <w:rsid w:val="00F32954"/>
    <w:rsid w:val="00F350A5"/>
    <w:rsid w:val="00F360F5"/>
    <w:rsid w:val="00F40946"/>
    <w:rsid w:val="00F41086"/>
    <w:rsid w:val="00F42D1D"/>
    <w:rsid w:val="00F44691"/>
    <w:rsid w:val="00F45561"/>
    <w:rsid w:val="00F45FA0"/>
    <w:rsid w:val="00F46777"/>
    <w:rsid w:val="00F47073"/>
    <w:rsid w:val="00F471EF"/>
    <w:rsid w:val="00F50AB4"/>
    <w:rsid w:val="00F50C98"/>
    <w:rsid w:val="00F5221D"/>
    <w:rsid w:val="00F5545D"/>
    <w:rsid w:val="00F60E58"/>
    <w:rsid w:val="00F62A66"/>
    <w:rsid w:val="00F63909"/>
    <w:rsid w:val="00F6491B"/>
    <w:rsid w:val="00F65F2F"/>
    <w:rsid w:val="00F66BE7"/>
    <w:rsid w:val="00F71C94"/>
    <w:rsid w:val="00F72D18"/>
    <w:rsid w:val="00F733E0"/>
    <w:rsid w:val="00F73806"/>
    <w:rsid w:val="00F73C0B"/>
    <w:rsid w:val="00F75FDA"/>
    <w:rsid w:val="00F77220"/>
    <w:rsid w:val="00F778C9"/>
    <w:rsid w:val="00F828EB"/>
    <w:rsid w:val="00F83B83"/>
    <w:rsid w:val="00F856E9"/>
    <w:rsid w:val="00F91EBC"/>
    <w:rsid w:val="00F92C8D"/>
    <w:rsid w:val="00F9691B"/>
    <w:rsid w:val="00F96CC1"/>
    <w:rsid w:val="00FA3008"/>
    <w:rsid w:val="00FA5FE3"/>
    <w:rsid w:val="00FA6077"/>
    <w:rsid w:val="00FA77E7"/>
    <w:rsid w:val="00FB2C55"/>
    <w:rsid w:val="00FB3621"/>
    <w:rsid w:val="00FB3A31"/>
    <w:rsid w:val="00FB52A2"/>
    <w:rsid w:val="00FB63B4"/>
    <w:rsid w:val="00FC09A0"/>
    <w:rsid w:val="00FC325D"/>
    <w:rsid w:val="00FC339E"/>
    <w:rsid w:val="00FC35EA"/>
    <w:rsid w:val="00FC4327"/>
    <w:rsid w:val="00FC49FB"/>
    <w:rsid w:val="00FD049F"/>
    <w:rsid w:val="00FE1673"/>
    <w:rsid w:val="00FE27A4"/>
    <w:rsid w:val="00FE2ACA"/>
    <w:rsid w:val="00FE2C3C"/>
    <w:rsid w:val="00FE315B"/>
    <w:rsid w:val="00FE7EA3"/>
    <w:rsid w:val="00FF0746"/>
    <w:rsid w:val="00FF2660"/>
    <w:rsid w:val="00FF383E"/>
    <w:rsid w:val="00FF43F5"/>
    <w:rsid w:val="00FF6026"/>
    <w:rsid w:val="040168D1"/>
    <w:rsid w:val="09B4687D"/>
    <w:rsid w:val="0FB33569"/>
    <w:rsid w:val="1099E001"/>
    <w:rsid w:val="11B3E1E0"/>
    <w:rsid w:val="170A9DD2"/>
    <w:rsid w:val="18D05918"/>
    <w:rsid w:val="1905675E"/>
    <w:rsid w:val="190B926E"/>
    <w:rsid w:val="19434C61"/>
    <w:rsid w:val="1958ACBD"/>
    <w:rsid w:val="1B530A6C"/>
    <w:rsid w:val="1FBEEBC9"/>
    <w:rsid w:val="20353CAB"/>
    <w:rsid w:val="225DAA7E"/>
    <w:rsid w:val="23494677"/>
    <w:rsid w:val="250ACB92"/>
    <w:rsid w:val="288727C2"/>
    <w:rsid w:val="288A6108"/>
    <w:rsid w:val="28D78DA6"/>
    <w:rsid w:val="2A1FD4BE"/>
    <w:rsid w:val="2F7BCE35"/>
    <w:rsid w:val="3420AE3F"/>
    <w:rsid w:val="36E7BB56"/>
    <w:rsid w:val="3C0DD26A"/>
    <w:rsid w:val="3F0EE72D"/>
    <w:rsid w:val="4216D795"/>
    <w:rsid w:val="4495982A"/>
    <w:rsid w:val="44B77564"/>
    <w:rsid w:val="45ADF715"/>
    <w:rsid w:val="45C20331"/>
    <w:rsid w:val="4C1BA502"/>
    <w:rsid w:val="4FC59EDC"/>
    <w:rsid w:val="503DE061"/>
    <w:rsid w:val="512B8816"/>
    <w:rsid w:val="527FA7DA"/>
    <w:rsid w:val="528FE949"/>
    <w:rsid w:val="530BB453"/>
    <w:rsid w:val="54A2C95F"/>
    <w:rsid w:val="57106895"/>
    <w:rsid w:val="5937C0E4"/>
    <w:rsid w:val="594088A9"/>
    <w:rsid w:val="5C451C5F"/>
    <w:rsid w:val="5E245202"/>
    <w:rsid w:val="5FA26A9F"/>
    <w:rsid w:val="60BDE520"/>
    <w:rsid w:val="633686B6"/>
    <w:rsid w:val="695413D3"/>
    <w:rsid w:val="712C0A6D"/>
    <w:rsid w:val="71E6E887"/>
    <w:rsid w:val="73C7185F"/>
    <w:rsid w:val="75FC7447"/>
    <w:rsid w:val="770D5D1D"/>
    <w:rsid w:val="7948EFE4"/>
    <w:rsid w:val="795C0AA5"/>
    <w:rsid w:val="7B5AC040"/>
    <w:rsid w:val="7D25A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779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4F3"/>
    <w:pPr>
      <w:spacing w:after="0" w:line="240" w:lineRule="auto"/>
    </w:pPr>
    <w:rPr>
      <w:rFonts w:eastAsiaTheme="minorEastAsi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level2">
    <w:name w:val="Title level 2"/>
    <w:qFormat/>
    <w:rsid w:val="00E114F3"/>
    <w:pPr>
      <w:spacing w:before="240" w:after="240" w:line="240" w:lineRule="auto"/>
    </w:pPr>
    <w:rPr>
      <w:rFonts w:asciiTheme="majorHAnsi" w:eastAsiaTheme="majorEastAsia" w:hAnsiTheme="majorHAnsi" w:cstheme="majorBidi"/>
      <w:bCs/>
      <w:color w:val="44546A" w:themeColor="text2"/>
      <w:sz w:val="32"/>
      <w:szCs w:val="24"/>
    </w:rPr>
  </w:style>
  <w:style w:type="paragraph" w:styleId="FootnoteText">
    <w:name w:val="footnote text"/>
    <w:basedOn w:val="Normal"/>
    <w:link w:val="FootnoteTextChar"/>
    <w:autoRedefine/>
    <w:qFormat/>
    <w:rsid w:val="003D3122"/>
    <w:pPr>
      <w:spacing w:before="80" w:line="200" w:lineRule="exact"/>
      <w:ind w:left="567" w:hanging="567"/>
      <w:jc w:val="both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3D3122"/>
    <w:rPr>
      <w:rFonts w:eastAsiaTheme="minorEastAsia"/>
      <w:sz w:val="18"/>
      <w:szCs w:val="18"/>
      <w:lang w:val="hr-HR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basedOn w:val="DefaultParagraphFont"/>
    <w:uiPriority w:val="99"/>
    <w:qFormat/>
    <w:rsid w:val="00E114F3"/>
    <w:rPr>
      <w:rFonts w:asciiTheme="minorHAnsi" w:hAnsiTheme="minorHAnsi"/>
      <w:sz w:val="22"/>
      <w:szCs w:val="18"/>
      <w:vertAlign w:val="superscript"/>
    </w:rPr>
  </w:style>
  <w:style w:type="character" w:styleId="Hyperlink">
    <w:name w:val="Hyperlink"/>
    <w:basedOn w:val="DefaultParagraphFont"/>
    <w:uiPriority w:val="99"/>
    <w:rsid w:val="00E114F3"/>
    <w:rPr>
      <w:color w:val="0563C1" w:themeColor="hyperlink"/>
      <w:u w:val="single"/>
    </w:rPr>
  </w:style>
  <w:style w:type="paragraph" w:customStyle="1" w:styleId="Annexetitre">
    <w:name w:val="Annexe titre"/>
    <w:basedOn w:val="Normal"/>
    <w:next w:val="Normal"/>
    <w:rsid w:val="00E114F3"/>
    <w:pPr>
      <w:spacing w:before="120" w:after="120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Applicationdirecte">
    <w:name w:val="Application directe"/>
    <w:basedOn w:val="Normal"/>
    <w:next w:val="Normal"/>
    <w:rsid w:val="00E114F3"/>
    <w:pPr>
      <w:spacing w:before="480" w:after="120"/>
      <w:jc w:val="both"/>
    </w:pPr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E114F3"/>
    <w:pPr>
      <w:ind w:left="720"/>
    </w:pPr>
    <w:rPr>
      <w:rFonts w:ascii="Calibri" w:eastAsia="Calibri" w:hAnsi="Calibri" w:cs="Times New Roman"/>
      <w:szCs w:val="22"/>
    </w:rPr>
  </w:style>
  <w:style w:type="paragraph" w:customStyle="1" w:styleId="TableMainHeading">
    <w:name w:val="TableMainHeading"/>
    <w:basedOn w:val="Normal"/>
    <w:next w:val="Normal"/>
    <w:uiPriority w:val="99"/>
    <w:rsid w:val="00E114F3"/>
    <w:pPr>
      <w:spacing w:before="120" w:after="120"/>
    </w:pPr>
    <w:rPr>
      <w:rFonts w:ascii="Segoe UI" w:eastAsia="Times New Roman" w:hAnsi="Segoe UI" w:cs="Times New Roman"/>
      <w:szCs w:val="20"/>
    </w:rPr>
  </w:style>
  <w:style w:type="paragraph" w:customStyle="1" w:styleId="TableTitle">
    <w:name w:val="TableTitle"/>
    <w:basedOn w:val="Normal"/>
    <w:next w:val="Normal"/>
    <w:link w:val="TableTitleChar"/>
    <w:rsid w:val="00E114F3"/>
    <w:pPr>
      <w:keepNext/>
      <w:spacing w:before="120" w:after="240"/>
      <w:jc w:val="center"/>
    </w:pPr>
    <w:rPr>
      <w:rFonts w:ascii="Arial" w:eastAsia="MS Mincho" w:hAnsi="Arial" w:cs="Times New Roman"/>
      <w:b/>
      <w:noProof/>
      <w:szCs w:val="20"/>
    </w:rPr>
  </w:style>
  <w:style w:type="character" w:customStyle="1" w:styleId="TableTitleChar">
    <w:name w:val="TableTitle Char"/>
    <w:basedOn w:val="DefaultParagraphFont"/>
    <w:link w:val="TableTitle"/>
    <w:locked/>
    <w:rsid w:val="00E114F3"/>
    <w:rPr>
      <w:rFonts w:ascii="Arial" w:eastAsia="MS Mincho" w:hAnsi="Arial" w:cs="Times New Roman"/>
      <w:b/>
      <w:noProof/>
      <w:szCs w:val="20"/>
    </w:rPr>
  </w:style>
  <w:style w:type="character" w:customStyle="1" w:styleId="InstructionsTabelleberschrift">
    <w:name w:val="Instructions Tabelle Überschrift"/>
    <w:qFormat/>
    <w:rsid w:val="00E114F3"/>
    <w:rPr>
      <w:rFonts w:ascii="Verdana" w:hAnsi="Verdana" w:cs="Times New Roman"/>
      <w:b/>
      <w:bCs/>
      <w:sz w:val="20"/>
      <w:u w:val="single"/>
    </w:rPr>
  </w:style>
  <w:style w:type="paragraph" w:customStyle="1" w:styleId="InstructionsText2">
    <w:name w:val="Instructions Text 2"/>
    <w:basedOn w:val="Normal"/>
    <w:qFormat/>
    <w:rsid w:val="00E114F3"/>
    <w:pPr>
      <w:numPr>
        <w:numId w:val="2"/>
      </w:numPr>
      <w:spacing w:after="240"/>
      <w:jc w:val="both"/>
    </w:pPr>
    <w:rPr>
      <w:rFonts w:ascii="Times New Roman" w:eastAsia="Times New Roman" w:hAnsi="Times New Roman" w:cs="Times New Roman"/>
      <w:sz w:val="24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E114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4F3"/>
    <w:rPr>
      <w:rFonts w:eastAsiaTheme="minorEastAsia"/>
      <w:szCs w:val="24"/>
    </w:rPr>
  </w:style>
  <w:style w:type="paragraph" w:styleId="Footer">
    <w:name w:val="footer"/>
    <w:basedOn w:val="Normal"/>
    <w:link w:val="FooterChar"/>
    <w:uiPriority w:val="99"/>
    <w:unhideWhenUsed/>
    <w:rsid w:val="00E114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4F3"/>
    <w:rPr>
      <w:rFonts w:eastAsiaTheme="minorEastAsia"/>
      <w:szCs w:val="24"/>
    </w:rPr>
  </w:style>
  <w:style w:type="paragraph" w:styleId="Revision">
    <w:name w:val="Revision"/>
    <w:hidden/>
    <w:uiPriority w:val="99"/>
    <w:semiHidden/>
    <w:rsid w:val="00241FEC"/>
    <w:pPr>
      <w:spacing w:after="0" w:line="240" w:lineRule="auto"/>
    </w:pPr>
    <w:rPr>
      <w:rFonts w:eastAsiaTheme="minorEastAsia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095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5D07"/>
    <w:rPr>
      <w:rFonts w:eastAsiaTheme="minorEastAsia"/>
      <w:sz w:val="20"/>
      <w:szCs w:val="20"/>
      <w:lang w:val="hr-HR"/>
    </w:rPr>
  </w:style>
  <w:style w:type="paragraph" w:customStyle="1" w:styleId="numberedparagraph">
    <w:name w:val="numbered paragraph"/>
    <w:basedOn w:val="Normal"/>
    <w:qFormat/>
    <w:rsid w:val="00095D07"/>
    <w:pPr>
      <w:numPr>
        <w:numId w:val="7"/>
      </w:numPr>
      <w:spacing w:before="240" w:after="120" w:line="276" w:lineRule="auto"/>
      <w:jc w:val="both"/>
    </w:pPr>
  </w:style>
  <w:style w:type="paragraph" w:customStyle="1" w:styleId="paragraph">
    <w:name w:val="paragraph"/>
    <w:basedOn w:val="Normal"/>
    <w:rsid w:val="00095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095D07"/>
  </w:style>
  <w:style w:type="character" w:customStyle="1" w:styleId="eop">
    <w:name w:val="eop"/>
    <w:basedOn w:val="DefaultParagraphFont"/>
    <w:rsid w:val="00095D07"/>
  </w:style>
  <w:style w:type="character" w:styleId="Mention">
    <w:name w:val="Mention"/>
    <w:basedOn w:val="DefaultParagraphFont"/>
    <w:uiPriority w:val="99"/>
    <w:unhideWhenUsed/>
    <w:rsid w:val="00095D07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F00"/>
    <w:rPr>
      <w:rFonts w:eastAsiaTheme="minorEastAsia"/>
      <w:b/>
      <w:bCs/>
      <w:sz w:val="20"/>
      <w:szCs w:val="20"/>
      <w:lang w:val="hr-HR"/>
    </w:rPr>
  </w:style>
  <w:style w:type="paragraph" w:customStyle="1" w:styleId="Style1">
    <w:name w:val="Style1"/>
    <w:basedOn w:val="ListParagraph"/>
    <w:qFormat/>
    <w:rsid w:val="00232265"/>
    <w:pPr>
      <w:numPr>
        <w:numId w:val="11"/>
      </w:numPr>
      <w:spacing w:before="60" w:after="120"/>
      <w:jc w:val="both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EN/TXT/?uri=OJ:L_202401623" TargetMode="External"/><Relationship Id="rId1" Type="http://schemas.openxmlformats.org/officeDocument/2006/relationships/hyperlink" Target="https://eur-lex.europa.eu/legal-content/EN/AUTO/?uri=OJ:L:2013:176:T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786269AE2424A8D342950147AB377" ma:contentTypeVersion="3" ma:contentTypeDescription="Create a new document." ma:contentTypeScope="" ma:versionID="1c6d71e8fe77cb1d31a72a025cb5529a">
  <xsd:schema xmlns:xsd="http://www.w3.org/2001/XMLSchema" xmlns:xs="http://www.w3.org/2001/XMLSchema" xmlns:p="http://schemas.microsoft.com/office/2006/metadata/properties" xmlns:ns2="d520683a-cb21-4d3a-9123-58e4528859ba" targetNamespace="http://schemas.microsoft.com/office/2006/metadata/properties" ma:root="true" ma:fieldsID="cdbf0337ca5db9b749df9a74d0371656" ns2:_="">
    <xsd:import namespace="d520683a-cb21-4d3a-9123-58e452885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0683a-cb21-4d3a-9123-58e452885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AA13D-5788-405C-9534-7091A4501F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897FCB-9E4A-4741-9004-D2C005DA78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858D16-5A62-4E4D-96C3-F6E767B7E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FD491-C717-43CD-8132-4648BC014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0683a-cb21-4d3a-9123-58e452885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4922</Words>
  <Characters>27528</Characters>
  <Application>Microsoft Office Word</Application>
  <DocSecurity>0</DocSecurity>
  <Lines>229</Lines>
  <Paragraphs>64</Paragraphs>
  <ScaleCrop>false</ScaleCrop>
  <Manager/>
  <Company/>
  <LinksUpToDate>false</LinksUpToDate>
  <CharactersWithSpaces>32386</CharactersWithSpaces>
  <SharedDoc>false</SharedDoc>
  <HLinks>
    <vt:vector size="36" baseType="variant">
      <vt:variant>
        <vt:i4>7143432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https://eur-lex.europa.eu/legal-content/EN/TXT/?uri=OJ:L_202401623</vt:lpwstr>
      </vt:variant>
      <vt:variant>
        <vt:lpwstr/>
      </vt:variant>
      <vt:variant>
        <vt:i4>7602297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https://eur-lex.europa.eu/legal-content/EN/AUTO/?uri=OJ:L:2013:176:TOC</vt:lpwstr>
      </vt:variant>
      <vt:variant>
        <vt:lpwstr/>
      </vt:variant>
      <vt:variant>
        <vt:i4>1507369</vt:i4>
      </vt:variant>
      <vt:variant>
        <vt:i4>9</vt:i4>
      </vt:variant>
      <vt:variant>
        <vt:i4>0</vt:i4>
      </vt:variant>
      <vt:variant>
        <vt:i4>5</vt:i4>
      </vt:variant>
      <vt:variant>
        <vt:lpwstr>mailto:anca.dinita@eba.europa.eu</vt:lpwstr>
      </vt:variant>
      <vt:variant>
        <vt:lpwstr/>
      </vt:variant>
      <vt:variant>
        <vt:i4>1507369</vt:i4>
      </vt:variant>
      <vt:variant>
        <vt:i4>6</vt:i4>
      </vt:variant>
      <vt:variant>
        <vt:i4>0</vt:i4>
      </vt:variant>
      <vt:variant>
        <vt:i4>5</vt:i4>
      </vt:variant>
      <vt:variant>
        <vt:lpwstr>mailto:anca.dinita@eba.europa.eu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mailto:anca.dinita@eba.europa.eu</vt:lpwstr>
      </vt:variant>
      <vt:variant>
        <vt:lpwstr/>
      </vt:variant>
      <vt:variant>
        <vt:i4>1507369</vt:i4>
      </vt:variant>
      <vt:variant>
        <vt:i4>0</vt:i4>
      </vt:variant>
      <vt:variant>
        <vt:i4>0</vt:i4>
      </vt:variant>
      <vt:variant>
        <vt:i4>5</vt:i4>
      </vt:variant>
      <vt:variant>
        <vt:lpwstr>mailto:anca.dinita@eba.europa.eu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2025-12-08T10:33:00Z</dcterms:created>
  <dcterms:modified xsi:type="dcterms:W3CDTF">2025-12-22T16:12:00Z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0x01010061D786269AE2424A8D342950147AB377</vt:lpwstr>
  </property>
</Properties>
</file>