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691EDB3A" w:rsidR="00E114F3" w:rsidRPr="000B62DC" w:rsidRDefault="00E114F3" w:rsidP="00795FCF">
      <w:pPr>
        <w:pStyle w:val="Annexetitre"/>
        <w:spacing w:before="0"/>
      </w:pPr>
      <w:r w:rsidRPr="000B62DC">
        <w:t xml:space="preserve">ANNEXE XXXII – Instructions pour les modèles de publication d’informations </w:t>
      </w:r>
      <w:r w:rsidR="00795FCF">
        <w:br/>
      </w:r>
      <w:r w:rsidRPr="000B62DC">
        <w:t>sur le risque opérationnel</w:t>
      </w:r>
    </w:p>
    <w:p w14:paraId="672A6659" w14:textId="77777777" w:rsidR="00E114F3" w:rsidRPr="000B62DC" w:rsidRDefault="00E114F3" w:rsidP="00E114F3">
      <w:pPr>
        <w:spacing w:after="120"/>
        <w:jc w:val="both"/>
        <w:rPr>
          <w:rFonts w:ascii="Times New Roman" w:hAnsi="Times New Roman"/>
          <w:b/>
          <w:bCs/>
          <w:sz w:val="24"/>
        </w:rPr>
      </w:pPr>
    </w:p>
    <w:p w14:paraId="384DD143" w14:textId="77777777" w:rsidR="00E114F3" w:rsidRPr="000B62DC" w:rsidRDefault="00E114F3" w:rsidP="00E114F3">
      <w:pPr>
        <w:spacing w:after="120"/>
        <w:rPr>
          <w:rFonts w:ascii="Times New Roman" w:hAnsi="Times New Roman"/>
          <w:bCs/>
          <w:sz w:val="24"/>
        </w:rPr>
      </w:pPr>
      <w:r w:rsidRPr="000B62DC">
        <w:rPr>
          <w:rFonts w:ascii="Times New Roman" w:hAnsi="Times New Roman"/>
          <w:b/>
          <w:sz w:val="24"/>
        </w:rPr>
        <w:t xml:space="preserve">Tableau EU ORA – Informations qualitatives sur le risque opérationnel. </w:t>
      </w:r>
      <w:r w:rsidRPr="000B62DC">
        <w:rPr>
          <w:rFonts w:ascii="Times New Roman" w:hAnsi="Times New Roman"/>
          <w:sz w:val="24"/>
        </w:rPr>
        <w:t>Tableau flexible</w:t>
      </w:r>
    </w:p>
    <w:p w14:paraId="2E1E5572" w14:textId="6D56D6EF" w:rsidR="00E114F3" w:rsidRPr="000B62DC" w:rsidRDefault="2A1FD4BE" w:rsidP="44B77564">
      <w:pPr>
        <w:numPr>
          <w:ilvl w:val="0"/>
          <w:numId w:val="1"/>
        </w:numPr>
        <w:spacing w:after="120"/>
        <w:jc w:val="both"/>
        <w:rPr>
          <w:rFonts w:ascii="Calibri" w:eastAsia="Times New Roman" w:hAnsi="Calibri" w:cs="Times New Roman"/>
          <w:color w:val="000000"/>
        </w:rPr>
      </w:pPr>
      <w:r w:rsidRPr="000B62DC">
        <w:rPr>
          <w:rFonts w:ascii="Times New Roman" w:hAnsi="Times New Roman"/>
          <w:sz w:val="24"/>
        </w:rPr>
        <w:t>Les établissements publient les informations figurant dans ce tableau, en application de l’article 435, paragraphe 1, et de l’article 446, paragraphe 1, point a), du règlement (UE) nº 575/2013</w:t>
      </w:r>
      <w:r w:rsidR="00E114F3" w:rsidRPr="000B62DC">
        <w:rPr>
          <w:rStyle w:val="FootnoteReference"/>
          <w:rFonts w:ascii="Times New Roman" w:hAnsi="Times New Roman"/>
          <w:sz w:val="24"/>
          <w:szCs w:val="24"/>
        </w:rPr>
        <w:footnoteReference w:id="2"/>
      </w:r>
      <w:r w:rsidRPr="000B62DC">
        <w:rPr>
          <w:rFonts w:ascii="Times New Roman" w:hAnsi="Times New Roman"/>
          <w:sz w:val="24"/>
        </w:rPr>
        <w:t>.</w:t>
      </w:r>
    </w:p>
    <w:p w14:paraId="728254AD" w14:textId="52B3E768" w:rsidR="00E114F3" w:rsidRPr="000B62DC" w:rsidRDefault="00E114F3" w:rsidP="00E114F3">
      <w:pPr>
        <w:numPr>
          <w:ilvl w:val="0"/>
          <w:numId w:val="1"/>
        </w:numPr>
        <w:spacing w:after="120"/>
        <w:jc w:val="both"/>
        <w:rPr>
          <w:rFonts w:ascii="Times New Roman" w:hAnsi="Times New Roman"/>
          <w:bCs/>
          <w:sz w:val="24"/>
        </w:rPr>
      </w:pPr>
      <w:r w:rsidRPr="000B62DC">
        <w:rPr>
          <w:rFonts w:ascii="Times New Roman" w:hAnsi="Times New Roman"/>
          <w:sz w:val="24"/>
        </w:rPr>
        <w:t>Les établissements suivent les instructions fournies ci-dessous dans la présente annexe pour compléter le tableau EU ORA de publication d’informations sur le risque opérationnel présenté à l’annexe XXXI des solutions informatiques de l’ABE.</w:t>
      </w:r>
    </w:p>
    <w:tbl>
      <w:tblPr>
        <w:tblW w:w="8926" w:type="dxa"/>
        <w:tblLook w:val="04A0" w:firstRow="1" w:lastRow="0" w:firstColumn="1" w:lastColumn="0" w:noHBand="0" w:noVBand="1"/>
      </w:tblPr>
      <w:tblGrid>
        <w:gridCol w:w="1555"/>
        <w:gridCol w:w="7371"/>
      </w:tblGrid>
      <w:tr w:rsidR="00E114F3" w:rsidRPr="000B62DC"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0B62DC" w:rsidRDefault="00E114F3">
            <w:pPr>
              <w:spacing w:after="120"/>
              <w:rPr>
                <w:rFonts w:ascii="Times New Roman" w:eastAsia="Times New Roman" w:hAnsi="Times New Roman" w:cs="Times New Roman"/>
                <w:b/>
                <w:bCs/>
                <w:color w:val="000000"/>
                <w:sz w:val="24"/>
              </w:rPr>
            </w:pPr>
            <w:r w:rsidRPr="000B62DC">
              <w:rPr>
                <w:rFonts w:ascii="Times New Roman" w:hAnsi="Times New Roman"/>
                <w:b/>
                <w:color w:val="000000"/>
                <w:sz w:val="24"/>
              </w:rPr>
              <w:t>Références juridiques et instructions</w:t>
            </w:r>
          </w:p>
        </w:tc>
      </w:tr>
      <w:tr w:rsidR="00E114F3" w:rsidRPr="000B62DC"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0B62DC" w:rsidRDefault="00E114F3">
            <w:pPr>
              <w:spacing w:after="120"/>
              <w:rPr>
                <w:rFonts w:ascii="Times New Roman" w:eastAsia="Times New Roman" w:hAnsi="Times New Roman" w:cs="Times New Roman"/>
                <w:b/>
                <w:bCs/>
                <w:color w:val="000000"/>
                <w:sz w:val="24"/>
              </w:rPr>
            </w:pPr>
            <w:r w:rsidRPr="000B62DC">
              <w:rPr>
                <w:rFonts w:ascii="Times New Roman" w:hAnsi="Times New Roman"/>
                <w:b/>
                <w:color w:val="000000"/>
                <w:sz w:val="24"/>
              </w:rPr>
              <w:t>Numéro de la ligne</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0B62DC" w:rsidRDefault="00E114F3">
            <w:pPr>
              <w:spacing w:after="120"/>
              <w:rPr>
                <w:rFonts w:ascii="Times New Roman" w:eastAsia="Times New Roman" w:hAnsi="Times New Roman" w:cs="Times New Roman"/>
                <w:b/>
                <w:bCs/>
                <w:color w:val="000000"/>
                <w:sz w:val="24"/>
              </w:rPr>
            </w:pPr>
            <w:r w:rsidRPr="000B62DC">
              <w:rPr>
                <w:rFonts w:ascii="Times New Roman" w:hAnsi="Times New Roman"/>
                <w:b/>
                <w:color w:val="000000"/>
                <w:sz w:val="24"/>
              </w:rPr>
              <w:t>Explication</w:t>
            </w:r>
          </w:p>
        </w:tc>
      </w:tr>
      <w:tr w:rsidR="00E114F3" w:rsidRPr="000B62DC"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0B62DC" w:rsidRDefault="00E114F3">
            <w:pPr>
              <w:spacing w:after="120"/>
              <w:jc w:val="center"/>
              <w:rPr>
                <w:rFonts w:ascii="Times New Roman" w:eastAsia="Times New Roman" w:hAnsi="Times New Roman" w:cs="Times New Roman"/>
                <w:color w:val="000000"/>
                <w:sz w:val="24"/>
              </w:rPr>
            </w:pPr>
            <w:proofErr w:type="gramStart"/>
            <w:r w:rsidRPr="000B62DC">
              <w:rPr>
                <w:rFonts w:ascii="Times New Roman" w:hAnsi="Times New Roman"/>
                <w:color w:val="000000"/>
                <w:sz w:val="24"/>
              </w:rPr>
              <w:t>a</w:t>
            </w:r>
            <w:proofErr w:type="gramEnd"/>
            <w:r w:rsidRPr="000B62DC">
              <w:rPr>
                <w:rFonts w:ascii="Times New Roman" w:hAnsi="Times New Roman"/>
                <w:color w:val="000000"/>
                <w:sz w:val="24"/>
              </w:rPr>
              <w:t>)</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0B62DC" w:rsidRDefault="00E114F3">
            <w:pPr>
              <w:spacing w:after="120"/>
              <w:jc w:val="both"/>
              <w:rPr>
                <w:rFonts w:ascii="Times New Roman" w:eastAsia="Times New Roman" w:hAnsi="Times New Roman" w:cs="Times New Roman"/>
                <w:b/>
                <w:color w:val="000000"/>
                <w:sz w:val="24"/>
              </w:rPr>
            </w:pPr>
            <w:r w:rsidRPr="000B62DC">
              <w:rPr>
                <w:rFonts w:ascii="Times New Roman" w:hAnsi="Times New Roman"/>
                <w:b/>
                <w:color w:val="000000"/>
                <w:sz w:val="24"/>
              </w:rPr>
              <w:t>Publication des objectifs et des politiques en matière de gestion des risques</w:t>
            </w:r>
          </w:p>
          <w:p w14:paraId="65684A44" w14:textId="36ED8962" w:rsidR="00E114F3" w:rsidRPr="000B62DC" w:rsidRDefault="2A1FD4BE">
            <w:pPr>
              <w:spacing w:after="120"/>
              <w:rPr>
                <w:rFonts w:ascii="Times New Roman" w:eastAsia="Times New Roman" w:hAnsi="Times New Roman" w:cs="Times New Roman"/>
                <w:color w:val="000000"/>
                <w:sz w:val="24"/>
              </w:rPr>
            </w:pPr>
            <w:r w:rsidRPr="000B62DC">
              <w:rPr>
                <w:rFonts w:ascii="Times New Roman" w:hAnsi="Times New Roman"/>
                <w:color w:val="000000" w:themeColor="text1"/>
                <w:sz w:val="24"/>
              </w:rPr>
              <w:t>Conformément à l’article 435, paragraphe 1, point a), du règlement (UE) nº 575/2013, les établissements publient leurs objectifs, politiques, cadres et orientations en matière de gestion du risque opérationnel, y compris les stratégies et processus mis en œuvre pour gérer ce risque.</w:t>
            </w:r>
          </w:p>
        </w:tc>
      </w:tr>
      <w:tr w:rsidR="00E114F3" w:rsidRPr="000B62DC"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0B62DC" w:rsidRDefault="00E114F3">
            <w:pPr>
              <w:spacing w:after="120"/>
              <w:jc w:val="center"/>
              <w:rPr>
                <w:rFonts w:ascii="Times New Roman" w:eastAsia="Times New Roman" w:hAnsi="Times New Roman" w:cs="Times New Roman"/>
                <w:color w:val="000000"/>
                <w:sz w:val="24"/>
              </w:rPr>
            </w:pPr>
            <w:proofErr w:type="gramStart"/>
            <w:r w:rsidRPr="000B62DC">
              <w:rPr>
                <w:rFonts w:ascii="Times New Roman" w:hAnsi="Times New Roman"/>
                <w:color w:val="000000"/>
                <w:sz w:val="24"/>
              </w:rPr>
              <w:t>b</w:t>
            </w:r>
            <w:proofErr w:type="gramEnd"/>
            <w:r w:rsidRPr="000B62DC">
              <w:rPr>
                <w:rFonts w:ascii="Times New Roman" w:hAnsi="Times New Roman"/>
                <w:color w:val="000000"/>
                <w:sz w:val="24"/>
              </w:rPr>
              <w:t>)</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0B62DC" w:rsidRDefault="00885AC5" w:rsidP="00885AC5">
            <w:pPr>
              <w:spacing w:before="120" w:after="120"/>
              <w:jc w:val="both"/>
              <w:rPr>
                <w:rFonts w:ascii="Times New Roman" w:eastAsia="Times New Roman" w:hAnsi="Times New Roman" w:cs="Times New Roman"/>
                <w:b/>
                <w:color w:val="000000"/>
                <w:sz w:val="24"/>
              </w:rPr>
            </w:pPr>
            <w:r w:rsidRPr="000B62DC">
              <w:rPr>
                <w:rFonts w:ascii="Times New Roman" w:hAnsi="Times New Roman"/>
                <w:b/>
                <w:color w:val="000000"/>
                <w:sz w:val="24"/>
              </w:rPr>
              <w:t>Publication de la structure et de l’organisation de la fonction de gestion du risque opérationnel</w:t>
            </w:r>
          </w:p>
          <w:p w14:paraId="739779F0" w14:textId="092C61F0" w:rsidR="00E114F3" w:rsidRPr="000B62DC" w:rsidRDefault="00885AC5">
            <w:pPr>
              <w:spacing w:after="120"/>
              <w:jc w:val="both"/>
              <w:rPr>
                <w:rFonts w:ascii="Times New Roman" w:eastAsia="Times New Roman" w:hAnsi="Times New Roman" w:cs="Times New Roman"/>
                <w:color w:val="000000"/>
                <w:sz w:val="24"/>
              </w:rPr>
            </w:pPr>
            <w:r w:rsidRPr="000B62DC">
              <w:rPr>
                <w:rFonts w:ascii="Times New Roman" w:hAnsi="Times New Roman"/>
                <w:color w:val="000000" w:themeColor="text1"/>
                <w:sz w:val="24"/>
              </w:rPr>
              <w:t>Conformément à l’article 435, paragraphe 1, point b), du règlement (UE) nº 575/2013, les établissements publient la structure et l’organisation de la fonction chargée de la gestion du risque opérationnel, y compris des informations sur la base de l’autorité de la fonction de gestion du risque opérationnel, ses pouvoirs et sa responsabilité conformément à l’acte constitutif et aux documents directeurs de l’établissement, ainsi que la fonction de contrôle.</w:t>
            </w:r>
          </w:p>
        </w:tc>
      </w:tr>
      <w:tr w:rsidR="00E114F3" w:rsidRPr="000B62DC"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0B62DC" w:rsidRDefault="00E114F3">
            <w:pPr>
              <w:spacing w:after="120"/>
              <w:jc w:val="center"/>
              <w:rPr>
                <w:rFonts w:ascii="Times New Roman" w:eastAsia="Times New Roman" w:hAnsi="Times New Roman" w:cs="Times New Roman"/>
                <w:color w:val="000000"/>
                <w:sz w:val="24"/>
              </w:rPr>
            </w:pPr>
            <w:r w:rsidRPr="000B62DC">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0B62DC" w:rsidRDefault="005129A3" w:rsidP="005129A3">
            <w:pPr>
              <w:spacing w:before="120" w:after="120"/>
              <w:jc w:val="both"/>
              <w:rPr>
                <w:rFonts w:ascii="Times New Roman" w:eastAsia="Times New Roman" w:hAnsi="Times New Roman" w:cs="Times New Roman"/>
                <w:b/>
                <w:color w:val="000000"/>
                <w:sz w:val="24"/>
              </w:rPr>
            </w:pPr>
            <w:r w:rsidRPr="000B62DC">
              <w:rPr>
                <w:rFonts w:ascii="Times New Roman" w:hAnsi="Times New Roman"/>
                <w:b/>
                <w:color w:val="000000"/>
                <w:sz w:val="24"/>
              </w:rPr>
              <w:t>Description de la portée et de la nature du système d’évaluation</w:t>
            </w:r>
          </w:p>
          <w:p w14:paraId="2426746E" w14:textId="624D178E" w:rsidR="00E114F3" w:rsidRPr="000B62DC" w:rsidRDefault="005129A3">
            <w:pPr>
              <w:spacing w:after="120"/>
              <w:jc w:val="both"/>
              <w:rPr>
                <w:rFonts w:ascii="Times New Roman" w:eastAsia="Times New Roman" w:hAnsi="Times New Roman" w:cs="Times New Roman"/>
                <w:color w:val="000000"/>
                <w:sz w:val="24"/>
              </w:rPr>
            </w:pPr>
            <w:r w:rsidRPr="000B62DC">
              <w:rPr>
                <w:rFonts w:ascii="Times New Roman" w:hAnsi="Times New Roman"/>
                <w:color w:val="000000" w:themeColor="text1"/>
                <w:sz w:val="24"/>
              </w:rPr>
              <w:t>Conformément à l’article 435, paragraphe 1, point c), du règlement (UE) nº 575/2013, les établissements publient la portée et la nature du système d’évaluation du risque opérationnel (c’est-à-dire les systèmes et données utilisés pour évaluer le risque opérationnel afin d’estimer l’exigence de fonds propres pour risque opérationnel).</w:t>
            </w:r>
          </w:p>
        </w:tc>
      </w:tr>
      <w:tr w:rsidR="00E114F3" w:rsidRPr="000B62DC"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0B62DC" w:rsidRDefault="00E114F3">
            <w:pPr>
              <w:spacing w:after="120"/>
              <w:jc w:val="center"/>
              <w:rPr>
                <w:rFonts w:ascii="Times New Roman" w:eastAsia="Times New Roman" w:hAnsi="Times New Roman" w:cs="Times New Roman"/>
                <w:color w:val="000000"/>
                <w:sz w:val="24"/>
              </w:rPr>
            </w:pPr>
            <w:r w:rsidRPr="000B62DC">
              <w:rPr>
                <w:rFonts w:ascii="Times New Roman" w:hAnsi="Times New Roman"/>
                <w:color w:val="000000"/>
                <w:sz w:val="24"/>
              </w:rPr>
              <w:lastRenderedPageBreak/>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0B62DC" w:rsidRDefault="005D02AE" w:rsidP="00230577">
            <w:pPr>
              <w:keepNext/>
              <w:spacing w:before="120" w:after="120"/>
              <w:jc w:val="both"/>
              <w:rPr>
                <w:rFonts w:ascii="Times New Roman" w:eastAsia="Times New Roman" w:hAnsi="Times New Roman" w:cs="Times New Roman"/>
                <w:b/>
                <w:color w:val="000000"/>
                <w:sz w:val="24"/>
              </w:rPr>
            </w:pPr>
            <w:r w:rsidRPr="000B62DC">
              <w:rPr>
                <w:rFonts w:ascii="Times New Roman" w:hAnsi="Times New Roman"/>
                <w:b/>
                <w:color w:val="000000" w:themeColor="text1"/>
                <w:sz w:val="24"/>
              </w:rPr>
              <w:t>Description de la portée et de la nature du cadre de déclaration du risque opérationnel</w:t>
            </w:r>
          </w:p>
          <w:p w14:paraId="1EE9A69D" w14:textId="428D8604" w:rsidR="00E114F3" w:rsidRPr="000B62DC" w:rsidRDefault="005D02AE">
            <w:pPr>
              <w:spacing w:after="120"/>
              <w:jc w:val="both"/>
              <w:rPr>
                <w:rFonts w:ascii="Times New Roman" w:eastAsia="Times New Roman" w:hAnsi="Times New Roman" w:cs="Times New Roman"/>
                <w:color w:val="000000"/>
                <w:sz w:val="24"/>
              </w:rPr>
            </w:pPr>
            <w:r w:rsidRPr="000B62DC">
              <w:rPr>
                <w:rFonts w:ascii="Times New Roman" w:hAnsi="Times New Roman"/>
                <w:color w:val="000000" w:themeColor="text1"/>
                <w:sz w:val="24"/>
              </w:rPr>
              <w:t>Conformément à l’article 435, paragraphe 1, point c), du règlement (UE) nº 575/2013, les établissements publient la portée et la nature du cadre de déclaration du risque opérationnel à la direction exécutive et au conseil d’administration.</w:t>
            </w:r>
          </w:p>
        </w:tc>
      </w:tr>
      <w:tr w:rsidR="00E5460F" w:rsidRPr="000B62DC"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0B62DC" w:rsidRDefault="00E5460F">
            <w:pPr>
              <w:spacing w:after="120"/>
              <w:jc w:val="center"/>
              <w:rPr>
                <w:rFonts w:ascii="Times New Roman" w:eastAsia="Times New Roman" w:hAnsi="Times New Roman" w:cs="Times New Roman"/>
                <w:color w:val="000000"/>
                <w:sz w:val="24"/>
              </w:rPr>
            </w:pPr>
            <w:proofErr w:type="gramStart"/>
            <w:r w:rsidRPr="000B62DC">
              <w:rPr>
                <w:rFonts w:ascii="Times New Roman" w:hAnsi="Times New Roman"/>
                <w:color w:val="000000"/>
                <w:sz w:val="24"/>
              </w:rPr>
              <w:t>e</w:t>
            </w:r>
            <w:proofErr w:type="gramEnd"/>
            <w:r w:rsidRPr="000B62DC">
              <w:rPr>
                <w:rFonts w:ascii="Times New Roman" w:hAnsi="Times New Roman"/>
                <w:color w:val="000000"/>
                <w:sz w:val="24"/>
              </w:rPr>
              <w:t>)</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0B62DC" w:rsidRDefault="00E25C0C" w:rsidP="00E25C0C">
            <w:pPr>
              <w:spacing w:before="120" w:after="120"/>
              <w:jc w:val="both"/>
              <w:rPr>
                <w:rFonts w:ascii="Times New Roman" w:eastAsia="Times New Roman" w:hAnsi="Times New Roman" w:cs="Times New Roman"/>
                <w:color w:val="000000"/>
                <w:sz w:val="24"/>
              </w:rPr>
            </w:pPr>
            <w:r w:rsidRPr="000B62DC">
              <w:rPr>
                <w:rFonts w:ascii="Times New Roman" w:hAnsi="Times New Roman"/>
                <w:b/>
                <w:color w:val="000000" w:themeColor="text1"/>
                <w:sz w:val="24"/>
              </w:rPr>
              <w:t>Description des politiques et stratégies d’atténuation et de couverture du risque</w:t>
            </w:r>
          </w:p>
          <w:p w14:paraId="443DC7A5" w14:textId="7D68A10D" w:rsidR="00E5460F" w:rsidRPr="000B62DC" w:rsidDel="009A4E43" w:rsidRDefault="00E25C0C" w:rsidP="00E25C0C">
            <w:pPr>
              <w:spacing w:after="120"/>
              <w:jc w:val="both"/>
              <w:rPr>
                <w:rFonts w:ascii="Times New Roman" w:eastAsia="Times New Roman" w:hAnsi="Times New Roman" w:cs="Times New Roman"/>
                <w:b/>
                <w:color w:val="000000"/>
                <w:sz w:val="24"/>
              </w:rPr>
            </w:pPr>
            <w:r w:rsidRPr="000B62DC">
              <w:rPr>
                <w:rFonts w:ascii="Times New Roman" w:hAnsi="Times New Roman"/>
                <w:color w:val="000000" w:themeColor="text1"/>
                <w:sz w:val="24"/>
              </w:rPr>
              <w:t>Conformément à l’article 435, paragraphe 1, point d), du règlement (UE) nº 575/2013, les établissements publient leurs politiques et stratégies d’atténuation du risque et de couverture du risque utilisées pour la gestion du risque opérationnel, y compris lorsque l’atténuation du risque opérationnel est réalisée au moyen de politiques (auquel cas ils publient les politiques relatives à la culture du risque, à l’appétit pour le risque et à l’externalisation), ou lorsqu’elle est réalisée par la cession d’activités à haut risque ou par la mise en place de contrôles. Les établissements publient également les expositions restantes qui sont absorbées par les établissements eux-mêmes ou, le cas échéant, les expositions restantes qui sont transférées de différentes manières, y compris via l’assurance.</w:t>
            </w:r>
          </w:p>
        </w:tc>
      </w:tr>
    </w:tbl>
    <w:p w14:paraId="0A37501D" w14:textId="77777777" w:rsidR="00E114F3" w:rsidRPr="000B62DC" w:rsidRDefault="00E114F3" w:rsidP="00E114F3">
      <w:pPr>
        <w:spacing w:after="120"/>
        <w:jc w:val="both"/>
        <w:rPr>
          <w:rFonts w:ascii="Times New Roman" w:hAnsi="Times New Roman" w:cs="Times New Roman"/>
          <w:b/>
          <w:bCs/>
          <w:sz w:val="24"/>
        </w:rPr>
      </w:pPr>
    </w:p>
    <w:p w14:paraId="73228265" w14:textId="2825D40F" w:rsidR="00E114F3" w:rsidRPr="000B62DC" w:rsidRDefault="00E114F3" w:rsidP="00E114F3">
      <w:pPr>
        <w:spacing w:after="120"/>
        <w:jc w:val="both"/>
        <w:rPr>
          <w:rFonts w:ascii="Times New Roman" w:hAnsi="Times New Roman" w:cs="Times New Roman"/>
          <w:bCs/>
          <w:sz w:val="24"/>
        </w:rPr>
      </w:pPr>
      <w:r w:rsidRPr="000B62DC">
        <w:rPr>
          <w:rFonts w:ascii="Times New Roman" w:hAnsi="Times New Roman"/>
          <w:b/>
          <w:sz w:val="24"/>
        </w:rPr>
        <w:t xml:space="preserve">Modèle EU OR1 – Pertes pour risque opérationnel. </w:t>
      </w:r>
      <w:r w:rsidRPr="000B62DC">
        <w:rPr>
          <w:rFonts w:ascii="Times New Roman" w:hAnsi="Times New Roman"/>
          <w:sz w:val="24"/>
        </w:rPr>
        <w:t>Modèle fixe</w:t>
      </w:r>
    </w:p>
    <w:p w14:paraId="70B287DB" w14:textId="7164F419" w:rsidR="00D740B8" w:rsidRPr="000B62DC" w:rsidRDefault="00D740B8" w:rsidP="00D740B8">
      <w:pPr>
        <w:numPr>
          <w:ilvl w:val="0"/>
          <w:numId w:val="1"/>
        </w:numPr>
        <w:jc w:val="both"/>
        <w:rPr>
          <w:rFonts w:ascii="Times New Roman" w:hAnsi="Times New Roman" w:cs="Times New Roman"/>
          <w:bCs/>
          <w:sz w:val="24"/>
        </w:rPr>
      </w:pPr>
      <w:r w:rsidRPr="000B62DC">
        <w:rPr>
          <w:rFonts w:ascii="Times New Roman" w:hAnsi="Times New Roman"/>
          <w:sz w:val="24"/>
        </w:rPr>
        <w:t>Les établissements publient les informations figurant dans le modèle UE OR1 en application de l’article 446, paragraphe 2, points a) et b), du règlement (UE) nº 575/2013. Ce modèle fournit des informations sur les pertes annuelles pour risque opérationnel subies au cours des dix derniers exercices, en fonction de la date comptable des pertes subies. Ces pertes annuelles pour risque opérationnel seront calculées conformément à l’article 316, paragraphe 1, du règlement (UE) nº 575/2013 et comprennent, conformément à l’article 317, paragraphe 2, dudit règlement, toutes les pertes découlant de toutes les entités faisant partie du périmètre de consolidation, y compris les pertes résultant de la fusion ou de l’acquisition d’activités (conformément à l’article 321, paragraphe 1, dudit règlement). Ces informations sont fournies dans la mesure où elles sont disponibles et dans la mesure du possible, jusqu’à ce que l’article 316, paragraphe 3, l’article 317, paragraphe 9, l’article 320, paragraphe 3, et l’article 321, paragraphe 2, du règlement (UE) nº 575/2013 soient applicables.</w:t>
      </w:r>
    </w:p>
    <w:p w14:paraId="0C12CA7B" w14:textId="77777777" w:rsidR="00D740B8" w:rsidRPr="000B62DC" w:rsidRDefault="00D740B8" w:rsidP="00D740B8">
      <w:pPr>
        <w:ind w:left="360"/>
        <w:jc w:val="both"/>
        <w:rPr>
          <w:rFonts w:ascii="Times New Roman" w:hAnsi="Times New Roman" w:cs="Times New Roman"/>
          <w:bCs/>
          <w:sz w:val="24"/>
        </w:rPr>
      </w:pPr>
    </w:p>
    <w:p w14:paraId="47EE9624" w14:textId="4A5B22B7" w:rsidR="00D740B8" w:rsidRPr="000B62DC" w:rsidRDefault="00D740B8" w:rsidP="00D740B8">
      <w:pPr>
        <w:numPr>
          <w:ilvl w:val="0"/>
          <w:numId w:val="1"/>
        </w:numPr>
        <w:jc w:val="both"/>
        <w:rPr>
          <w:rFonts w:ascii="Times New Roman" w:hAnsi="Times New Roman" w:cs="Times New Roman"/>
          <w:sz w:val="24"/>
        </w:rPr>
      </w:pPr>
      <w:r w:rsidRPr="000B62DC">
        <w:rPr>
          <w:rFonts w:ascii="Times New Roman" w:hAnsi="Times New Roman"/>
          <w:sz w:val="24"/>
        </w:rPr>
        <w:t xml:space="preserve">Les établissements publient, pour chacun des dix derniers exercices, des données sur le nombre de pertes pour risque opérationnel et le nombre de pertes pour risque opérationnel exclues, le montant total des pertes pour risque opérationnel net des recouvrements et le montant total des pertes pour risque opérationnel net des recouvrements et net des pertes exclues. Le montant annuel total des pertes pour risque opérationnel sera calculé comme étant la somme de toutes les pertes nettes sur un exercice financier donné, calculées conformément à l’article 318, paragraphe 1, du règlement (UE) nº 575/2013, qui sont égales ou supérieures aux seuils relatifs aux données sur </w:t>
      </w:r>
      <w:proofErr w:type="gramStart"/>
      <w:r w:rsidRPr="000B62DC">
        <w:rPr>
          <w:rFonts w:ascii="Times New Roman" w:hAnsi="Times New Roman"/>
          <w:sz w:val="24"/>
        </w:rPr>
        <w:t>les pertes fixés</w:t>
      </w:r>
      <w:proofErr w:type="gramEnd"/>
      <w:r w:rsidRPr="000B62DC">
        <w:rPr>
          <w:rFonts w:ascii="Times New Roman" w:hAnsi="Times New Roman"/>
          <w:sz w:val="24"/>
        </w:rPr>
        <w:t xml:space="preserve"> à l’article 319, paragraphe 1 ou 2, respectivement, dudit règlement (à savoir 20 000 EUR et 100 000 EUR). Toutefois, les pertes causées par un événement de risque opérationnel commun ou par plusieurs événements liés au même événement de risque opérationnel </w:t>
      </w:r>
      <w:proofErr w:type="gramStart"/>
      <w:r w:rsidRPr="000B62DC">
        <w:rPr>
          <w:rFonts w:ascii="Times New Roman" w:hAnsi="Times New Roman"/>
          <w:sz w:val="24"/>
        </w:rPr>
        <w:lastRenderedPageBreak/>
        <w:t>(«événement</w:t>
      </w:r>
      <w:proofErr w:type="gramEnd"/>
      <w:r w:rsidRPr="000B62DC">
        <w:rPr>
          <w:rFonts w:ascii="Times New Roman" w:hAnsi="Times New Roman"/>
          <w:sz w:val="24"/>
        </w:rPr>
        <w:t xml:space="preserve"> sous-jacent»), qui sont comptabilisées au cours de différents exercices comptables, sont additionnées pour les dix derniers exercices afin de déterminer si le seuil de publication est dépassé ou non. Les pertes et ajustements sont publiés conformément aux dispositions de l’article 317, paragraphe 3, point c), et de l’article 318 du règlement (UE) nº 575/2013. Ces montants sont publiés au cours de l’exercice dans lequel ils ont été comptabilisés dans les états financiers.</w:t>
      </w:r>
    </w:p>
    <w:p w14:paraId="2702CB88" w14:textId="77777777" w:rsidR="00D740B8" w:rsidRPr="000B62DC" w:rsidRDefault="00D740B8" w:rsidP="00D740B8">
      <w:pPr>
        <w:pStyle w:val="ListParagraph"/>
        <w:rPr>
          <w:rFonts w:ascii="Times New Roman" w:hAnsi="Times New Roman"/>
          <w:bCs/>
          <w:sz w:val="24"/>
        </w:rPr>
      </w:pPr>
    </w:p>
    <w:p w14:paraId="3146DBD3" w14:textId="48F555B9" w:rsidR="00D740B8" w:rsidRPr="000B62DC" w:rsidRDefault="00D740B8" w:rsidP="00D740B8">
      <w:pPr>
        <w:numPr>
          <w:ilvl w:val="0"/>
          <w:numId w:val="1"/>
        </w:numPr>
        <w:jc w:val="both"/>
        <w:rPr>
          <w:rFonts w:ascii="Times New Roman" w:hAnsi="Times New Roman" w:cs="Times New Roman"/>
          <w:bCs/>
          <w:sz w:val="24"/>
        </w:rPr>
      </w:pPr>
      <w:r w:rsidRPr="000B62DC">
        <w:rPr>
          <w:rFonts w:ascii="Times New Roman" w:hAnsi="Times New Roman"/>
          <w:sz w:val="24"/>
        </w:rPr>
        <w:t xml:space="preserve"> Dans le descriptif qui l’accompagne, les établissements publient les justifications agrégées des événements de risque opérationnel exceptionnels qui ont été exclus du calcul des pertes annuelles pour risque opérationnel, conformément à l’article 446, paragraphe 2, point b), du règlement (UE) nº 575/2013.</w:t>
      </w:r>
    </w:p>
    <w:p w14:paraId="066C0912" w14:textId="77777777" w:rsidR="00D740B8" w:rsidRPr="000B62DC" w:rsidRDefault="00D740B8" w:rsidP="00D740B8">
      <w:pPr>
        <w:pStyle w:val="ListParagraph"/>
        <w:rPr>
          <w:rFonts w:ascii="Times New Roman" w:hAnsi="Times New Roman"/>
          <w:bCs/>
          <w:sz w:val="24"/>
        </w:rPr>
      </w:pPr>
    </w:p>
    <w:p w14:paraId="79A49BBA" w14:textId="5D2F1C9E" w:rsidR="00D740B8" w:rsidRPr="000B62DC" w:rsidRDefault="00D740B8" w:rsidP="00D740B8">
      <w:pPr>
        <w:numPr>
          <w:ilvl w:val="0"/>
          <w:numId w:val="1"/>
        </w:numPr>
        <w:jc w:val="both"/>
        <w:rPr>
          <w:rFonts w:ascii="Times New Roman" w:hAnsi="Times New Roman" w:cs="Times New Roman"/>
          <w:bCs/>
          <w:sz w:val="24"/>
        </w:rPr>
      </w:pPr>
      <w:r w:rsidRPr="000B62DC">
        <w:rPr>
          <w:rFonts w:ascii="Times New Roman" w:hAnsi="Times New Roman"/>
          <w:sz w:val="24"/>
        </w:rPr>
        <w:t xml:space="preserve"> Les établissements publient également, de manière agrégée, toute information importante susceptible d’aider les utilisateurs à comprendre les pertes historiques, les recouvrements et les réserves légales des établissements, à l’exception des informations confidentielles et exclusives.</w:t>
      </w:r>
    </w:p>
    <w:p w14:paraId="3AF72482" w14:textId="77777777" w:rsidR="00D740B8" w:rsidRPr="000B62DC" w:rsidRDefault="00D740B8" w:rsidP="00D740B8">
      <w:pPr>
        <w:pStyle w:val="ListParagraph"/>
        <w:rPr>
          <w:rFonts w:ascii="Times New Roman" w:hAnsi="Times New Roman"/>
          <w:bCs/>
          <w:sz w:val="24"/>
        </w:rPr>
      </w:pPr>
    </w:p>
    <w:p w14:paraId="36406578" w14:textId="77777777" w:rsidR="00D740B8" w:rsidRPr="000B62DC"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0B62DC" w14:paraId="7E388732" w14:textId="77777777">
        <w:tc>
          <w:tcPr>
            <w:tcW w:w="1271" w:type="dxa"/>
            <w:shd w:val="clear" w:color="auto" w:fill="BFBFBF" w:themeFill="background1" w:themeFillShade="BF"/>
          </w:tcPr>
          <w:p w14:paraId="5F81890E" w14:textId="77777777" w:rsidR="00D740B8" w:rsidRPr="000B62DC" w:rsidRDefault="00D740B8">
            <w:pPr>
              <w:autoSpaceDE w:val="0"/>
              <w:autoSpaceDN w:val="0"/>
              <w:adjustRightInd w:val="0"/>
              <w:rPr>
                <w:rFonts w:ascii="Times New Roman" w:hAnsi="Times New Roman"/>
                <w:bCs/>
                <w:sz w:val="24"/>
              </w:rPr>
            </w:pPr>
            <w:r w:rsidRPr="000B62DC">
              <w:rPr>
                <w:rFonts w:ascii="Times New Roman" w:hAnsi="Times New Roman"/>
                <w:b/>
                <w:sz w:val="24"/>
              </w:rPr>
              <w:t>Colonne</w:t>
            </w:r>
          </w:p>
        </w:tc>
        <w:tc>
          <w:tcPr>
            <w:tcW w:w="7745" w:type="dxa"/>
            <w:shd w:val="clear" w:color="auto" w:fill="BFBFBF" w:themeFill="background1" w:themeFillShade="BF"/>
          </w:tcPr>
          <w:p w14:paraId="0773BD79" w14:textId="77777777" w:rsidR="00D740B8" w:rsidRPr="000B62DC" w:rsidRDefault="00D740B8">
            <w:pPr>
              <w:spacing w:before="60" w:after="120"/>
              <w:jc w:val="both"/>
              <w:rPr>
                <w:rFonts w:ascii="Times New Roman" w:eastAsia="Times New Roman" w:hAnsi="Times New Roman" w:cs="Times New Roman"/>
                <w:b/>
                <w:sz w:val="24"/>
              </w:rPr>
            </w:pPr>
            <w:r w:rsidRPr="000B62DC">
              <w:rPr>
                <w:rFonts w:ascii="Times New Roman" w:hAnsi="Times New Roman"/>
                <w:b/>
                <w:sz w:val="24"/>
              </w:rPr>
              <w:t>Références juridiques et instructions</w:t>
            </w:r>
          </w:p>
        </w:tc>
      </w:tr>
      <w:tr w:rsidR="00D740B8" w:rsidRPr="000B62DC" w14:paraId="4A7B0862" w14:textId="77777777">
        <w:tc>
          <w:tcPr>
            <w:tcW w:w="1271" w:type="dxa"/>
          </w:tcPr>
          <w:p w14:paraId="59A78ADD" w14:textId="77777777" w:rsidR="00D740B8" w:rsidRPr="000B62DC" w:rsidRDefault="00D740B8">
            <w:pPr>
              <w:autoSpaceDE w:val="0"/>
              <w:autoSpaceDN w:val="0"/>
              <w:adjustRightInd w:val="0"/>
              <w:jc w:val="center"/>
              <w:rPr>
                <w:rFonts w:ascii="Times New Roman" w:hAnsi="Times New Roman"/>
                <w:bCs/>
                <w:sz w:val="24"/>
              </w:rPr>
            </w:pPr>
            <w:proofErr w:type="gramStart"/>
            <w:r w:rsidRPr="000B62DC">
              <w:rPr>
                <w:rFonts w:ascii="Times New Roman" w:hAnsi="Times New Roman"/>
                <w:sz w:val="24"/>
              </w:rPr>
              <w:t>a</w:t>
            </w:r>
            <w:proofErr w:type="gramEnd"/>
            <w:r w:rsidRPr="000B62DC">
              <w:rPr>
                <w:rFonts w:ascii="Times New Roman" w:hAnsi="Times New Roman"/>
                <w:sz w:val="24"/>
              </w:rPr>
              <w:t xml:space="preserve"> à j</w:t>
            </w:r>
          </w:p>
        </w:tc>
        <w:tc>
          <w:tcPr>
            <w:tcW w:w="7745" w:type="dxa"/>
          </w:tcPr>
          <w:p w14:paraId="0B872A50" w14:textId="77777777" w:rsidR="00D740B8" w:rsidRPr="000B62DC" w:rsidRDefault="00D740B8">
            <w:pPr>
              <w:spacing w:before="120" w:after="120"/>
              <w:jc w:val="both"/>
              <w:rPr>
                <w:rFonts w:ascii="Times New Roman" w:eastAsia="Times New Roman" w:hAnsi="Times New Roman" w:cs="Times New Roman"/>
                <w:sz w:val="24"/>
              </w:rPr>
            </w:pPr>
            <w:r w:rsidRPr="000B62DC">
              <w:rPr>
                <w:rFonts w:ascii="Times New Roman" w:hAnsi="Times New Roman"/>
                <w:b/>
                <w:sz w:val="24"/>
              </w:rPr>
              <w:t>Exercice (T, T-1, T-2, T-3, T-4, T-5, T-6, T-7, T-8, T-9)</w:t>
            </w:r>
          </w:p>
          <w:p w14:paraId="5B6EF35C" w14:textId="3033D1CC" w:rsidR="00D740B8" w:rsidRPr="000B62DC" w:rsidRDefault="00D740B8">
            <w:pPr>
              <w:spacing w:before="120" w:after="120"/>
              <w:rPr>
                <w:rFonts w:ascii="Times New Roman" w:hAnsi="Times New Roman"/>
                <w:sz w:val="24"/>
              </w:rPr>
            </w:pPr>
            <w:r w:rsidRPr="000B62DC">
              <w:rPr>
                <w:rFonts w:ascii="Times New Roman" w:hAnsi="Times New Roman"/>
                <w:sz w:val="24"/>
              </w:rPr>
              <w:t xml:space="preserve">La valeur indiquée par la ligne correspondante, pour les dix derniers exercices. </w:t>
            </w:r>
          </w:p>
        </w:tc>
      </w:tr>
      <w:tr w:rsidR="00D740B8" w:rsidRPr="000B62DC" w14:paraId="7D63969A" w14:textId="77777777">
        <w:tc>
          <w:tcPr>
            <w:tcW w:w="1271" w:type="dxa"/>
          </w:tcPr>
          <w:p w14:paraId="6CFD6A05" w14:textId="77777777" w:rsidR="00D740B8" w:rsidRPr="000B62DC" w:rsidRDefault="00D740B8">
            <w:pPr>
              <w:autoSpaceDE w:val="0"/>
              <w:autoSpaceDN w:val="0"/>
              <w:adjustRightInd w:val="0"/>
              <w:jc w:val="center"/>
              <w:rPr>
                <w:rFonts w:ascii="Times New Roman" w:hAnsi="Times New Roman"/>
                <w:bCs/>
                <w:sz w:val="24"/>
              </w:rPr>
            </w:pPr>
            <w:proofErr w:type="gramStart"/>
            <w:r w:rsidRPr="000B62DC">
              <w:rPr>
                <w:rFonts w:ascii="Times New Roman" w:hAnsi="Times New Roman"/>
                <w:sz w:val="24"/>
              </w:rPr>
              <w:t>k</w:t>
            </w:r>
            <w:proofErr w:type="gramEnd"/>
          </w:p>
        </w:tc>
        <w:tc>
          <w:tcPr>
            <w:tcW w:w="7745" w:type="dxa"/>
          </w:tcPr>
          <w:p w14:paraId="50D93A86" w14:textId="77777777" w:rsidR="00D740B8" w:rsidRPr="000B62DC" w:rsidRDefault="00D740B8">
            <w:pPr>
              <w:spacing w:before="120" w:after="120"/>
              <w:jc w:val="both"/>
              <w:rPr>
                <w:rFonts w:ascii="Times New Roman" w:eastAsia="Times New Roman" w:hAnsi="Times New Roman" w:cs="Times New Roman"/>
                <w:b/>
                <w:sz w:val="24"/>
              </w:rPr>
            </w:pPr>
            <w:r w:rsidRPr="000B62DC">
              <w:rPr>
                <w:rFonts w:ascii="Times New Roman" w:hAnsi="Times New Roman"/>
                <w:b/>
                <w:sz w:val="24"/>
              </w:rPr>
              <w:t>Moyenne sur dix exercices</w:t>
            </w:r>
          </w:p>
          <w:p w14:paraId="38A7187F" w14:textId="0CB464F2" w:rsidR="00D740B8" w:rsidRPr="000B62DC" w:rsidRDefault="00D740B8">
            <w:pPr>
              <w:spacing w:before="120" w:after="120"/>
              <w:rPr>
                <w:rFonts w:ascii="Times New Roman" w:hAnsi="Times New Roman"/>
                <w:bCs/>
                <w:sz w:val="24"/>
              </w:rPr>
            </w:pPr>
            <w:r w:rsidRPr="000B62DC">
              <w:rPr>
                <w:rFonts w:ascii="Times New Roman" w:hAnsi="Times New Roman"/>
                <w:sz w:val="24"/>
              </w:rPr>
              <w:t>La moyenne des valeurs indiquées par la ligne correspondante au cours des dix derniers exercices.</w:t>
            </w:r>
          </w:p>
        </w:tc>
      </w:tr>
    </w:tbl>
    <w:p w14:paraId="7095834F" w14:textId="77777777" w:rsidR="00D740B8" w:rsidRPr="000B62DC" w:rsidRDefault="00D740B8" w:rsidP="00D740B8">
      <w:pPr>
        <w:pStyle w:val="ListParagraph"/>
        <w:rPr>
          <w:rFonts w:ascii="Times New Roman" w:hAnsi="Times New Roman"/>
          <w:bCs/>
          <w:sz w:val="24"/>
        </w:rPr>
      </w:pPr>
    </w:p>
    <w:p w14:paraId="32DB6729" w14:textId="77777777" w:rsidR="00D740B8" w:rsidRPr="000B62DC" w:rsidRDefault="00D740B8" w:rsidP="00D740B8">
      <w:pPr>
        <w:pStyle w:val="ListParagraph"/>
        <w:rPr>
          <w:rFonts w:ascii="Times New Roman" w:hAnsi="Times New Roman"/>
          <w:bCs/>
          <w:sz w:val="24"/>
        </w:rPr>
      </w:pPr>
    </w:p>
    <w:p w14:paraId="2611544E" w14:textId="77777777" w:rsidR="00D740B8" w:rsidRPr="000B62DC"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0B62DC"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0B62DC" w:rsidRDefault="00D740B8">
            <w:pPr>
              <w:autoSpaceDE w:val="0"/>
              <w:autoSpaceDN w:val="0"/>
              <w:adjustRightInd w:val="0"/>
              <w:rPr>
                <w:rFonts w:ascii="Times New Roman" w:hAnsi="Times New Roman" w:cs="Times New Roman"/>
                <w:b/>
                <w:sz w:val="24"/>
              </w:rPr>
            </w:pPr>
            <w:r w:rsidRPr="000B62DC">
              <w:rPr>
                <w:rFonts w:ascii="Times New Roman" w:hAnsi="Times New Roman"/>
                <w:b/>
                <w:sz w:val="24"/>
              </w:rPr>
              <w:t>Ligne</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0B62DC" w:rsidRDefault="00D740B8">
            <w:pPr>
              <w:rPr>
                <w:rFonts w:ascii="Times New Roman" w:hAnsi="Times New Roman" w:cs="Times New Roman"/>
                <w:b/>
                <w:sz w:val="24"/>
              </w:rPr>
            </w:pPr>
            <w:r w:rsidRPr="000B62DC">
              <w:rPr>
                <w:rFonts w:ascii="Times New Roman" w:hAnsi="Times New Roman"/>
                <w:b/>
                <w:sz w:val="24"/>
              </w:rPr>
              <w:t>Références juridiques et instructions</w:t>
            </w:r>
          </w:p>
        </w:tc>
      </w:tr>
      <w:tr w:rsidR="00D740B8" w:rsidRPr="000B62DC"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0B62DC" w:rsidRDefault="00D740B8">
            <w:pPr>
              <w:spacing w:before="120" w:after="120"/>
              <w:jc w:val="both"/>
              <w:rPr>
                <w:rFonts w:ascii="Times New Roman" w:eastAsia="Times New Roman" w:hAnsi="Times New Roman" w:cs="Times New Roman"/>
                <w:b/>
                <w:sz w:val="24"/>
              </w:rPr>
            </w:pPr>
            <w:r w:rsidRPr="000B62DC">
              <w:rPr>
                <w:rFonts w:ascii="Times New Roman" w:hAnsi="Times New Roman"/>
                <w:b/>
                <w:sz w:val="24"/>
              </w:rPr>
              <w:t>Montant total des pertes pour risque opérationnel net des recouvrements (pas d’exclusion)</w:t>
            </w:r>
          </w:p>
          <w:p w14:paraId="73A6B59F" w14:textId="42A729DD" w:rsidR="00D740B8" w:rsidRPr="000B62DC" w:rsidRDefault="00D740B8">
            <w:pPr>
              <w:spacing w:before="120" w:after="120"/>
              <w:jc w:val="both"/>
              <w:rPr>
                <w:rFonts w:ascii="Times New Roman" w:eastAsia="Times New Roman" w:hAnsi="Times New Roman" w:cs="Times New Roman"/>
                <w:sz w:val="24"/>
              </w:rPr>
            </w:pPr>
            <w:r w:rsidRPr="000B62DC">
              <w:rPr>
                <w:rFonts w:ascii="Times New Roman" w:hAnsi="Times New Roman"/>
                <w:sz w:val="24"/>
              </w:rPr>
              <w:t>Article 446, paragraphe 2, point a), et article 316, paragraphe 1, du règlement (UE) nº 575/2013.</w:t>
            </w:r>
          </w:p>
          <w:p w14:paraId="5D929629" w14:textId="254FA976" w:rsidR="00D740B8" w:rsidRPr="000B62DC" w:rsidRDefault="002B0785">
            <w:pPr>
              <w:spacing w:before="120" w:after="120"/>
              <w:jc w:val="both"/>
              <w:rPr>
                <w:rFonts w:ascii="Times New Roman" w:eastAsia="Times New Roman" w:hAnsi="Times New Roman" w:cs="Times New Roman"/>
                <w:b/>
                <w:sz w:val="24"/>
              </w:rPr>
            </w:pPr>
            <w:r w:rsidRPr="000B62DC">
              <w:rPr>
                <w:rFonts w:ascii="Times New Roman" w:hAnsi="Times New Roman"/>
                <w:sz w:val="24"/>
              </w:rPr>
              <w:t xml:space="preserve">La ligne indique le montant total des pertes net des recouvrements résultant d’événements de perte supérieurs au seuil d’événement de perte de 20 000 EUR pour chacune des 10 dernières périodes de déclaration, y compris les pertes résultant de fusions et d’acquisitions. Les pertes causées par un événement de risque opérationnel commun ou par plusieurs événements liés au même événement de risque opérationnel, qui sont comptabilisées au cours de différents exercices comptables, sont additionnées pour les dix derniers exercices afin de déterminer si le seuil de publication est dépassé ou non. Les événements de risque opérationnel exceptionnels de l’exercice qui n’ont plus d’importance au regard du profil de risque de l’établissement et pour lesquels l’établissement a obtenu de l’autorité compétente l’autorisation de les exclure de ses pertes annuelles pour risque opérationnel, conformément à l’article 320, </w:t>
            </w:r>
            <w:r w:rsidRPr="000B62DC">
              <w:rPr>
                <w:rFonts w:ascii="Times New Roman" w:hAnsi="Times New Roman"/>
                <w:sz w:val="24"/>
              </w:rPr>
              <w:lastRenderedPageBreak/>
              <w:t>paragraphe 1, du règlement (UE) nº 575/2013, sont toujours pris en considération dans le calcul de l’élément correspondant à cette ligne.</w:t>
            </w:r>
          </w:p>
        </w:tc>
      </w:tr>
      <w:tr w:rsidR="00D740B8" w:rsidRPr="000B62DC"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lastRenderedPageBreak/>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0B62DC" w:rsidRDefault="00D740B8">
            <w:pPr>
              <w:spacing w:before="120" w:after="120"/>
              <w:jc w:val="both"/>
              <w:rPr>
                <w:rFonts w:ascii="Times New Roman" w:eastAsia="Times New Roman" w:hAnsi="Times New Roman" w:cs="Times New Roman"/>
                <w:b/>
                <w:sz w:val="24"/>
              </w:rPr>
            </w:pPr>
            <w:r w:rsidRPr="000B62DC">
              <w:rPr>
                <w:rFonts w:ascii="Times New Roman" w:hAnsi="Times New Roman"/>
                <w:b/>
                <w:sz w:val="24"/>
              </w:rPr>
              <w:t>Nombre total de pertes pour risque opérationnel</w:t>
            </w:r>
          </w:p>
          <w:p w14:paraId="2EA91375" w14:textId="28AF0058" w:rsidR="00D740B8" w:rsidRPr="000B62DC" w:rsidRDefault="00D740B8">
            <w:pPr>
              <w:spacing w:before="120" w:after="120"/>
              <w:jc w:val="both"/>
              <w:rPr>
                <w:rFonts w:ascii="Times New Roman" w:eastAsia="Times New Roman" w:hAnsi="Times New Roman" w:cs="Times New Roman"/>
                <w:sz w:val="24"/>
              </w:rPr>
            </w:pPr>
            <w:r w:rsidRPr="000B62DC">
              <w:rPr>
                <w:rFonts w:ascii="Times New Roman" w:hAnsi="Times New Roman"/>
                <w:sz w:val="24"/>
              </w:rPr>
              <w:t>Article 446, paragraphe 2, point a), et article 316, paragraphe 1, du règlement (UE) nº 575/2013.</w:t>
            </w:r>
          </w:p>
          <w:p w14:paraId="275C478C" w14:textId="69738AFF" w:rsidR="00D740B8" w:rsidRPr="000B62DC" w:rsidRDefault="00471410">
            <w:pPr>
              <w:spacing w:before="120" w:after="120"/>
              <w:rPr>
                <w:rFonts w:ascii="Times New Roman" w:eastAsia="Times New Roman" w:hAnsi="Times New Roman" w:cs="Times New Roman"/>
                <w:sz w:val="24"/>
              </w:rPr>
            </w:pPr>
            <w:r w:rsidRPr="000B62DC">
              <w:rPr>
                <w:rFonts w:ascii="Times New Roman" w:hAnsi="Times New Roman"/>
                <w:sz w:val="24"/>
              </w:rPr>
              <w:t>Le nombre total de pertes pour risque opérationnel au-delà du seuil d’événement de perte de 20 000 EUR.</w:t>
            </w:r>
          </w:p>
        </w:tc>
      </w:tr>
      <w:tr w:rsidR="00D740B8" w:rsidRPr="000B62DC"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0B62DC" w:rsidRDefault="00D740B8">
            <w:pPr>
              <w:spacing w:before="120" w:after="120"/>
              <w:jc w:val="both"/>
              <w:rPr>
                <w:rFonts w:ascii="Times New Roman" w:eastAsia="Times New Roman" w:hAnsi="Times New Roman" w:cs="Times New Roman"/>
                <w:b/>
                <w:sz w:val="24"/>
              </w:rPr>
            </w:pPr>
            <w:r w:rsidRPr="000B62DC">
              <w:rPr>
                <w:rFonts w:ascii="Times New Roman" w:hAnsi="Times New Roman"/>
                <w:b/>
                <w:sz w:val="24"/>
              </w:rPr>
              <w:t>Montant total des pertes pour risque opérationnel exclues</w:t>
            </w:r>
          </w:p>
          <w:p w14:paraId="5C1A66AF" w14:textId="5CAD041D" w:rsidR="00D740B8" w:rsidRPr="000B62DC" w:rsidRDefault="00D740B8">
            <w:pPr>
              <w:spacing w:before="120" w:after="120"/>
              <w:rPr>
                <w:rFonts w:ascii="Times New Roman" w:eastAsia="Times New Roman" w:hAnsi="Times New Roman" w:cs="Times New Roman"/>
                <w:sz w:val="24"/>
              </w:rPr>
            </w:pPr>
            <w:r w:rsidRPr="000B62DC">
              <w:rPr>
                <w:rFonts w:ascii="Times New Roman" w:hAnsi="Times New Roman"/>
                <w:sz w:val="24"/>
              </w:rPr>
              <w:t>Article 446, paragraphe 2, point b), et article 320, paragraphe 1, du règlement (UE) nº 575/2013.</w:t>
            </w:r>
          </w:p>
          <w:p w14:paraId="7BE235CA" w14:textId="7483A5B2" w:rsidR="00D740B8" w:rsidRPr="000B62DC" w:rsidRDefault="002B0785">
            <w:pPr>
              <w:spacing w:before="120" w:after="120"/>
              <w:rPr>
                <w:rFonts w:ascii="Times New Roman" w:eastAsia="Times New Roman" w:hAnsi="Times New Roman" w:cs="Times New Roman"/>
                <w:sz w:val="24"/>
              </w:rPr>
            </w:pPr>
            <w:r w:rsidRPr="000B62DC">
              <w:rPr>
                <w:rFonts w:ascii="Times New Roman" w:hAnsi="Times New Roman"/>
                <w:sz w:val="24"/>
              </w:rPr>
              <w:t>Les montants totaux des pertes nettes supérieurs au seuil de perte de 20,000 EUR qui ont été exclus conformément à l’article 320, paragraphe 1, du règlement (UE) nº 575/2013, pour chacune des dix dernières périodes de déclaration.</w:t>
            </w:r>
          </w:p>
        </w:tc>
      </w:tr>
      <w:tr w:rsidR="00D740B8" w:rsidRPr="000B62DC"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0B62DC" w:rsidRDefault="00D740B8">
            <w:pPr>
              <w:spacing w:before="120" w:after="120"/>
              <w:jc w:val="both"/>
              <w:rPr>
                <w:rStyle w:val="InstructionsTabelleberschrift"/>
                <w:rFonts w:ascii="Times New Roman" w:eastAsia="Times New Roman" w:hAnsi="Times New Roman"/>
                <w:bCs w:val="0"/>
                <w:sz w:val="24"/>
                <w:u w:val="none"/>
              </w:rPr>
            </w:pPr>
            <w:r w:rsidRPr="000B62DC">
              <w:rPr>
                <w:rStyle w:val="InstructionsTabelleberschrift"/>
                <w:rFonts w:ascii="Times New Roman" w:hAnsi="Times New Roman"/>
                <w:sz w:val="24"/>
                <w:u w:val="none"/>
              </w:rPr>
              <w:t>Nombre total d’événements de risque opérationnel exclus</w:t>
            </w:r>
          </w:p>
          <w:p w14:paraId="7914E462" w14:textId="7978A3B5" w:rsidR="00D740B8" w:rsidRPr="000B62DC" w:rsidRDefault="00D740B8">
            <w:pPr>
              <w:spacing w:before="120" w:after="120"/>
              <w:rPr>
                <w:rFonts w:ascii="Times New Roman" w:eastAsia="Times New Roman" w:hAnsi="Times New Roman" w:cs="Times New Roman"/>
                <w:sz w:val="24"/>
              </w:rPr>
            </w:pPr>
            <w:r w:rsidRPr="000B62DC">
              <w:rPr>
                <w:rFonts w:ascii="Times New Roman" w:hAnsi="Times New Roman"/>
                <w:sz w:val="24"/>
              </w:rPr>
              <w:t>Article 446, paragraphe 2, point b), et article 320, paragraphe 1, du règlement (UE) nº 575/2013.</w:t>
            </w:r>
          </w:p>
          <w:p w14:paraId="318A732C" w14:textId="242D554F" w:rsidR="00D740B8" w:rsidRPr="000B62DC" w:rsidRDefault="009D4A12">
            <w:pPr>
              <w:spacing w:before="120" w:after="120"/>
              <w:jc w:val="both"/>
              <w:rPr>
                <w:rFonts w:ascii="Times New Roman" w:eastAsia="Times New Roman" w:hAnsi="Times New Roman" w:cs="Times New Roman"/>
                <w:sz w:val="24"/>
              </w:rPr>
            </w:pPr>
            <w:r w:rsidRPr="000B62DC">
              <w:rPr>
                <w:rFonts w:ascii="Times New Roman" w:hAnsi="Times New Roman"/>
                <w:sz w:val="24"/>
              </w:rPr>
              <w:t xml:space="preserve">Le nombre total d’événements de risque opérationnel exceptionnels dépassant un seuil d’événement de perte de 20 000 EUR qui ont été exclus conformément à l’article 320, paragraphe 1, du règlement (UE) nº 575/2013 pour chacune des 10 dernières périodes de déclaration. </w:t>
            </w:r>
          </w:p>
        </w:tc>
      </w:tr>
      <w:tr w:rsidR="00D740B8" w:rsidRPr="000B62DC"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0B62DC" w:rsidRDefault="00D740B8">
            <w:pPr>
              <w:spacing w:before="120" w:after="120"/>
              <w:jc w:val="both"/>
              <w:rPr>
                <w:rStyle w:val="InstructionsTabelleberschrift"/>
                <w:rFonts w:ascii="Times New Roman" w:eastAsia="Times New Roman" w:hAnsi="Times New Roman"/>
                <w:bCs w:val="0"/>
                <w:sz w:val="24"/>
                <w:u w:val="none"/>
              </w:rPr>
            </w:pPr>
            <w:r w:rsidRPr="000B62DC">
              <w:rPr>
                <w:rStyle w:val="InstructionsTabelleberschrift"/>
                <w:rFonts w:ascii="Times New Roman" w:hAnsi="Times New Roman"/>
                <w:sz w:val="24"/>
                <w:u w:val="none"/>
              </w:rPr>
              <w:t>Montant total des pertes pour risque opérationnel net des recouvrements et net des pertes exclues</w:t>
            </w:r>
          </w:p>
          <w:p w14:paraId="4203582A" w14:textId="7C24EBAE" w:rsidR="00D740B8" w:rsidRPr="000B62DC" w:rsidRDefault="002B0785">
            <w:pPr>
              <w:spacing w:before="120" w:after="120"/>
              <w:jc w:val="both"/>
              <w:rPr>
                <w:rFonts w:ascii="Times New Roman" w:eastAsia="Times New Roman" w:hAnsi="Times New Roman" w:cs="Times New Roman"/>
                <w:sz w:val="24"/>
              </w:rPr>
            </w:pPr>
            <w:r w:rsidRPr="000B62DC">
              <w:rPr>
                <w:rFonts w:ascii="Times New Roman" w:hAnsi="Times New Roman"/>
                <w:sz w:val="24"/>
              </w:rPr>
              <w:t>Le montant total des pertes pour risque opérationnel, moins le montant des recouvrements indiqués à la ligne 1, et moins les pertes exclues indiquées à la ligne 3.</w:t>
            </w:r>
          </w:p>
        </w:tc>
      </w:tr>
      <w:tr w:rsidR="00D740B8" w:rsidRPr="000B62DC"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0B62DC" w:rsidRDefault="00D740B8">
            <w:pPr>
              <w:spacing w:before="120" w:after="120"/>
              <w:jc w:val="both"/>
              <w:rPr>
                <w:rFonts w:ascii="Times New Roman" w:eastAsia="Times New Roman" w:hAnsi="Times New Roman" w:cs="Times New Roman"/>
                <w:b/>
                <w:sz w:val="24"/>
              </w:rPr>
            </w:pPr>
            <w:r w:rsidRPr="000B62DC">
              <w:rPr>
                <w:rFonts w:ascii="Times New Roman" w:hAnsi="Times New Roman"/>
                <w:b/>
                <w:sz w:val="24"/>
              </w:rPr>
              <w:t>Montant total des pertes pour risque opérationnel net des recouvrements (pas d’exclusion)</w:t>
            </w:r>
          </w:p>
          <w:p w14:paraId="647BDEC8" w14:textId="66617A83" w:rsidR="00D740B8" w:rsidRPr="000B62DC" w:rsidRDefault="00D740B8">
            <w:pPr>
              <w:spacing w:before="120" w:after="120"/>
              <w:jc w:val="both"/>
              <w:rPr>
                <w:rFonts w:ascii="Times New Roman" w:eastAsia="Times New Roman" w:hAnsi="Times New Roman" w:cs="Times New Roman"/>
                <w:sz w:val="24"/>
              </w:rPr>
            </w:pPr>
            <w:r w:rsidRPr="000B62DC">
              <w:rPr>
                <w:rFonts w:ascii="Times New Roman" w:hAnsi="Times New Roman"/>
                <w:sz w:val="24"/>
              </w:rPr>
              <w:t>Article 446, paragraphe 2, point a), et article 316, paragraphe 1, du règlement (UE) nº 575/2013.</w:t>
            </w:r>
          </w:p>
          <w:p w14:paraId="7F1E94AA" w14:textId="3C3700EE" w:rsidR="00D740B8" w:rsidRPr="000B62DC" w:rsidRDefault="003D54AC">
            <w:pPr>
              <w:spacing w:before="120" w:after="120"/>
              <w:jc w:val="both"/>
              <w:rPr>
                <w:rStyle w:val="InstructionsTabelleberschrift"/>
                <w:rFonts w:ascii="Times New Roman" w:eastAsia="Times New Roman" w:hAnsi="Times New Roman"/>
                <w:bCs w:val="0"/>
                <w:sz w:val="24"/>
              </w:rPr>
            </w:pPr>
            <w:r w:rsidRPr="000B62DC">
              <w:rPr>
                <w:rFonts w:ascii="Times New Roman" w:hAnsi="Times New Roman"/>
                <w:sz w:val="24"/>
              </w:rPr>
              <w:t xml:space="preserve">Le montant total des pertes pour risque opérationnel, diminué du montant des recouvrements, résultant d’événements de perte supérieurs à un seuil d’événement de perte de 100 000 EUR pour chacune des 10 dernières périodes de déclaration, y compris les pertes résultant de fusions et acquisitions. Les pertes causées par un événement de risque opérationnel commun ou par plusieurs événements liés au même événement de risque opérationnel, qui sont comptabilisées au cours de différents exercices comptables, sont additionnées pour les dix derniers exercices afin de déterminer si le seuil de publication est dépassé ou non. Les événements de risque opérationnel exceptionnels de l’exercice qui n’ont plus d’importance au regard du profil de risque de l’établissement et pour lesquels l’établissement a obtenu de l’autorité compétente l’autorisation de les exclure de ses pertes annuelles pour risque </w:t>
            </w:r>
            <w:r w:rsidRPr="000B62DC">
              <w:rPr>
                <w:rFonts w:ascii="Times New Roman" w:hAnsi="Times New Roman"/>
                <w:sz w:val="24"/>
              </w:rPr>
              <w:lastRenderedPageBreak/>
              <w:t>opérationnel, conformément à l’article 320, paragraphe 1, du règlement (UE) nº 575/2013, sont toujours pris en considération dans le calcul de l’élément correspondant à cette ligne.</w:t>
            </w:r>
          </w:p>
        </w:tc>
      </w:tr>
      <w:tr w:rsidR="00D740B8" w:rsidRPr="000B62DC"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lastRenderedPageBreak/>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0B62DC" w:rsidRDefault="00D740B8">
            <w:pPr>
              <w:spacing w:before="120" w:after="120"/>
              <w:jc w:val="both"/>
              <w:rPr>
                <w:rFonts w:ascii="Times New Roman" w:eastAsia="Times New Roman" w:hAnsi="Times New Roman" w:cs="Times New Roman"/>
                <w:b/>
                <w:sz w:val="24"/>
              </w:rPr>
            </w:pPr>
            <w:r w:rsidRPr="000B62DC">
              <w:rPr>
                <w:rFonts w:ascii="Times New Roman" w:hAnsi="Times New Roman"/>
                <w:b/>
                <w:sz w:val="24"/>
              </w:rPr>
              <w:t>Nombre total de pertes pour risque opérationnel</w:t>
            </w:r>
          </w:p>
          <w:p w14:paraId="7AD8EE0D" w14:textId="092E19E2" w:rsidR="00D740B8" w:rsidRPr="000B62DC" w:rsidRDefault="00D740B8">
            <w:pPr>
              <w:spacing w:before="120" w:after="120"/>
              <w:jc w:val="both"/>
              <w:rPr>
                <w:rFonts w:ascii="Times New Roman" w:eastAsia="Times New Roman" w:hAnsi="Times New Roman" w:cs="Times New Roman"/>
                <w:sz w:val="24"/>
              </w:rPr>
            </w:pPr>
            <w:r w:rsidRPr="000B62DC">
              <w:rPr>
                <w:rFonts w:ascii="Times New Roman" w:hAnsi="Times New Roman"/>
                <w:sz w:val="24"/>
              </w:rPr>
              <w:t>Article 446, paragraphe 2, point a), et article 316, paragraphe 1, du règlement (UE) nº 575/2013.</w:t>
            </w:r>
          </w:p>
          <w:p w14:paraId="6F316B8B" w14:textId="6ABB567B" w:rsidR="00D740B8" w:rsidRPr="000B62DC" w:rsidRDefault="00471410">
            <w:pPr>
              <w:spacing w:before="120" w:after="120"/>
              <w:jc w:val="both"/>
              <w:rPr>
                <w:rStyle w:val="InstructionsTabelleberschrift"/>
                <w:rFonts w:ascii="Times New Roman" w:eastAsia="Times New Roman" w:hAnsi="Times New Roman"/>
                <w:bCs w:val="0"/>
                <w:sz w:val="24"/>
              </w:rPr>
            </w:pPr>
            <w:r w:rsidRPr="000B62DC">
              <w:rPr>
                <w:rFonts w:ascii="Times New Roman" w:hAnsi="Times New Roman"/>
                <w:sz w:val="24"/>
              </w:rPr>
              <w:t>Le nombre total de pertes pour risque opérationnel au-delà du seuil d’événement de perte de 100 000 EUR.</w:t>
            </w:r>
          </w:p>
        </w:tc>
      </w:tr>
      <w:tr w:rsidR="00D740B8" w:rsidRPr="000B62DC"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0B62DC" w:rsidRDefault="00D740B8">
            <w:pPr>
              <w:spacing w:before="120" w:after="120"/>
              <w:jc w:val="both"/>
              <w:rPr>
                <w:rFonts w:ascii="Times New Roman" w:eastAsia="Times New Roman" w:hAnsi="Times New Roman" w:cs="Times New Roman"/>
                <w:b/>
                <w:sz w:val="24"/>
              </w:rPr>
            </w:pPr>
            <w:r w:rsidRPr="000B62DC">
              <w:rPr>
                <w:rFonts w:ascii="Times New Roman" w:hAnsi="Times New Roman"/>
                <w:b/>
                <w:sz w:val="24"/>
              </w:rPr>
              <w:t>Montant total des pertes pour risque opérationnel exclues</w:t>
            </w:r>
          </w:p>
          <w:p w14:paraId="71DECF65" w14:textId="48A395A5" w:rsidR="00D740B8" w:rsidRPr="000B62DC" w:rsidRDefault="00D740B8">
            <w:pPr>
              <w:spacing w:before="120" w:after="120"/>
              <w:rPr>
                <w:rFonts w:ascii="Times New Roman" w:eastAsia="Times New Roman" w:hAnsi="Times New Roman" w:cs="Times New Roman"/>
                <w:sz w:val="24"/>
              </w:rPr>
            </w:pPr>
            <w:r w:rsidRPr="000B62DC">
              <w:rPr>
                <w:rFonts w:ascii="Times New Roman" w:hAnsi="Times New Roman"/>
                <w:sz w:val="24"/>
              </w:rPr>
              <w:t>Article 446, paragraphe 2, point b), et article 320, paragraphe 1, du règlement (UE) nº 575/2013.</w:t>
            </w:r>
          </w:p>
          <w:p w14:paraId="0BC74916" w14:textId="396B699A" w:rsidR="00D740B8" w:rsidRPr="000B62DC" w:rsidRDefault="003D54AC">
            <w:pPr>
              <w:spacing w:before="120" w:after="120"/>
              <w:jc w:val="both"/>
              <w:rPr>
                <w:rStyle w:val="InstructionsTabelleberschrift"/>
                <w:rFonts w:ascii="Times New Roman" w:eastAsia="Times New Roman" w:hAnsi="Times New Roman"/>
                <w:bCs w:val="0"/>
                <w:sz w:val="24"/>
              </w:rPr>
            </w:pPr>
            <w:r w:rsidRPr="000B62DC">
              <w:rPr>
                <w:rFonts w:ascii="Times New Roman" w:hAnsi="Times New Roman"/>
                <w:sz w:val="24"/>
              </w:rPr>
              <w:t>Les montants totaux des pertes nettes au-dessus d’un seuil d’événement de perte de 100,000 EUR, exclus conformément à l’article 320, paragraphe 1, du règlement (UE) nº 575/2013, pour chacune des dix dernières périodes de déclaration.</w:t>
            </w:r>
          </w:p>
        </w:tc>
      </w:tr>
      <w:tr w:rsidR="00D740B8" w:rsidRPr="000B62DC"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0B62DC" w:rsidRDefault="00D740B8">
            <w:pPr>
              <w:spacing w:before="120" w:after="120"/>
              <w:jc w:val="both"/>
              <w:rPr>
                <w:rStyle w:val="InstructionsTabelleberschrift"/>
                <w:rFonts w:ascii="Times New Roman" w:eastAsia="Times New Roman" w:hAnsi="Times New Roman"/>
                <w:bCs w:val="0"/>
                <w:sz w:val="24"/>
                <w:u w:val="none"/>
              </w:rPr>
            </w:pPr>
            <w:r w:rsidRPr="000B62DC">
              <w:rPr>
                <w:rStyle w:val="InstructionsTabelleberschrift"/>
                <w:rFonts w:ascii="Times New Roman" w:hAnsi="Times New Roman"/>
                <w:sz w:val="24"/>
                <w:u w:val="none"/>
              </w:rPr>
              <w:t>Nombre total d’événements de risque opérationnel exclus</w:t>
            </w:r>
          </w:p>
          <w:p w14:paraId="2B56754D" w14:textId="46B0AAAA" w:rsidR="00D740B8" w:rsidRPr="000B62DC" w:rsidRDefault="00D740B8">
            <w:pPr>
              <w:spacing w:before="120" w:after="120"/>
              <w:rPr>
                <w:rFonts w:ascii="Times New Roman" w:eastAsia="Times New Roman" w:hAnsi="Times New Roman" w:cs="Times New Roman"/>
                <w:sz w:val="24"/>
              </w:rPr>
            </w:pPr>
            <w:r w:rsidRPr="000B62DC">
              <w:rPr>
                <w:rFonts w:ascii="Times New Roman" w:hAnsi="Times New Roman"/>
                <w:sz w:val="24"/>
              </w:rPr>
              <w:t>Article 446, paragraphe 2, point b), et article 320, paragraphe 1, du règlement (UE) nº 575/2013.</w:t>
            </w:r>
          </w:p>
          <w:p w14:paraId="2EDEC8CA" w14:textId="252B783D" w:rsidR="00D740B8" w:rsidRPr="000B62DC" w:rsidRDefault="00471410">
            <w:pPr>
              <w:spacing w:before="120" w:after="120"/>
              <w:jc w:val="both"/>
              <w:rPr>
                <w:rStyle w:val="InstructionsTabelleberschrift"/>
                <w:rFonts w:ascii="Times New Roman" w:eastAsia="Times New Roman" w:hAnsi="Times New Roman"/>
                <w:bCs w:val="0"/>
                <w:sz w:val="24"/>
              </w:rPr>
            </w:pPr>
            <w:r w:rsidRPr="000B62DC">
              <w:rPr>
                <w:rFonts w:ascii="Times New Roman" w:hAnsi="Times New Roman"/>
                <w:sz w:val="24"/>
              </w:rPr>
              <w:t>Le nombre total d’événements de risque opérationnel exceptionnels dépassant un seuil d’événement de perte de 100 000 EUR qui ont été exclus conformément à l’article 320, paragraphe 1, du règlement (UE) nº 575/2013 pour chacune des 10 dernières périodes de déclaration.</w:t>
            </w:r>
          </w:p>
        </w:tc>
      </w:tr>
      <w:tr w:rsidR="00D740B8" w:rsidRPr="000B62DC"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0B62DC" w:rsidRDefault="00D740B8">
            <w:pPr>
              <w:spacing w:before="120" w:after="120"/>
              <w:jc w:val="both"/>
              <w:rPr>
                <w:rStyle w:val="InstructionsTabelleberschrift"/>
                <w:rFonts w:ascii="Times New Roman" w:eastAsia="Times New Roman" w:hAnsi="Times New Roman"/>
                <w:bCs w:val="0"/>
                <w:sz w:val="24"/>
                <w:u w:val="none"/>
              </w:rPr>
            </w:pPr>
            <w:r w:rsidRPr="000B62DC">
              <w:rPr>
                <w:rStyle w:val="InstructionsTabelleberschrift"/>
                <w:rFonts w:ascii="Times New Roman" w:hAnsi="Times New Roman"/>
                <w:sz w:val="24"/>
                <w:u w:val="none"/>
              </w:rPr>
              <w:t>Montant total des pertes pour risque opérationnel net des recouvrements et net des pertes exclues</w:t>
            </w:r>
          </w:p>
          <w:p w14:paraId="65622881" w14:textId="32C07686" w:rsidR="00D740B8" w:rsidRPr="000B62DC" w:rsidRDefault="006943D3">
            <w:pPr>
              <w:spacing w:before="120" w:after="120"/>
              <w:jc w:val="both"/>
              <w:rPr>
                <w:rStyle w:val="InstructionsTabelleberschrift"/>
                <w:rFonts w:ascii="Times New Roman" w:eastAsia="Times New Roman" w:hAnsi="Times New Roman"/>
                <w:bCs w:val="0"/>
                <w:sz w:val="24"/>
              </w:rPr>
            </w:pPr>
            <w:r w:rsidRPr="000B62DC">
              <w:rPr>
                <w:rFonts w:ascii="Times New Roman" w:hAnsi="Times New Roman"/>
                <w:sz w:val="24"/>
              </w:rPr>
              <w:t>La ligne indique le montant total des pertes pour risque opérationnel, moins le montant des recouvrements indiqué à la ligne 6, et moins le montant des pertes exclues indiqué à la ligne 8.</w:t>
            </w:r>
          </w:p>
        </w:tc>
      </w:tr>
      <w:tr w:rsidR="00D740B8" w:rsidRPr="000B62DC"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0B62DC"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0B62DC">
              <w:rPr>
                <w:rFonts w:ascii="Times New Roman" w:hAnsi="Times New Roman"/>
                <w:sz w:val="24"/>
              </w:rPr>
              <w:t>Sans objet.</w:t>
            </w:r>
          </w:p>
        </w:tc>
      </w:tr>
      <w:tr w:rsidR="00D740B8" w:rsidRPr="000B62DC"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0B62DC" w:rsidRDefault="00D740B8">
            <w:pPr>
              <w:spacing w:before="120" w:after="120"/>
              <w:jc w:val="both"/>
              <w:rPr>
                <w:rStyle w:val="InstructionsTabelleberschrift"/>
                <w:rFonts w:ascii="Times New Roman" w:eastAsia="Times New Roman" w:hAnsi="Times New Roman"/>
                <w:b w:val="0"/>
                <w:bCs w:val="0"/>
                <w:sz w:val="24"/>
                <w:u w:val="none"/>
              </w:rPr>
            </w:pPr>
            <w:r w:rsidRPr="000B62DC">
              <w:rPr>
                <w:rStyle w:val="InstructionsTabelleberschrift"/>
                <w:rFonts w:ascii="Times New Roman" w:hAnsi="Times New Roman"/>
                <w:b w:val="0"/>
                <w:sz w:val="24"/>
                <w:u w:val="none"/>
              </w:rPr>
              <w:t>Sans objet.</w:t>
            </w:r>
          </w:p>
        </w:tc>
      </w:tr>
      <w:tr w:rsidR="00D740B8" w:rsidRPr="000B62DC"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0B62DC" w:rsidRDefault="00D740B8">
            <w:pPr>
              <w:spacing w:before="120" w:after="120"/>
              <w:jc w:val="both"/>
              <w:rPr>
                <w:rStyle w:val="InstructionsTabelleberschrift"/>
                <w:rFonts w:ascii="Times New Roman" w:eastAsia="Times New Roman" w:hAnsi="Times New Roman"/>
                <w:b w:val="0"/>
                <w:bCs w:val="0"/>
                <w:sz w:val="24"/>
                <w:u w:val="none"/>
              </w:rPr>
            </w:pPr>
            <w:r w:rsidRPr="000B62DC">
              <w:rPr>
                <w:rStyle w:val="InstructionsTabelleberschrift"/>
                <w:rFonts w:ascii="Times New Roman" w:hAnsi="Times New Roman"/>
                <w:b w:val="0"/>
                <w:sz w:val="24"/>
                <w:u w:val="none"/>
              </w:rPr>
              <w:t>Sans objet.</w:t>
            </w:r>
          </w:p>
        </w:tc>
      </w:tr>
    </w:tbl>
    <w:p w14:paraId="25A698B0" w14:textId="77777777" w:rsidR="00D740B8" w:rsidRPr="000B62DC" w:rsidRDefault="00D740B8" w:rsidP="00D740B8">
      <w:pPr>
        <w:pStyle w:val="InstructionsText2"/>
        <w:numPr>
          <w:ilvl w:val="0"/>
          <w:numId w:val="0"/>
        </w:numPr>
        <w:ind w:left="360"/>
        <w:rPr>
          <w:lang w:val="en-US"/>
        </w:rPr>
      </w:pPr>
    </w:p>
    <w:p w14:paraId="033C5861" w14:textId="77777777" w:rsidR="00D740B8" w:rsidRPr="000B62DC" w:rsidRDefault="00D740B8" w:rsidP="00D740B8">
      <w:pPr>
        <w:jc w:val="both"/>
        <w:rPr>
          <w:rFonts w:ascii="Times New Roman" w:hAnsi="Times New Roman" w:cs="Times New Roman"/>
          <w:bCs/>
          <w:sz w:val="24"/>
        </w:rPr>
      </w:pPr>
      <w:r w:rsidRPr="000B62DC">
        <w:rPr>
          <w:rFonts w:ascii="Times New Roman" w:hAnsi="Times New Roman"/>
          <w:b/>
          <w:sz w:val="24"/>
        </w:rPr>
        <w:t xml:space="preserve">Modèle EU OR2 – Indicateur d’activité, composantes et sous-composantes. </w:t>
      </w:r>
      <w:r w:rsidRPr="000B62DC">
        <w:rPr>
          <w:rFonts w:ascii="Times New Roman" w:hAnsi="Times New Roman"/>
          <w:sz w:val="24"/>
        </w:rPr>
        <w:t>Modèle fixe</w:t>
      </w:r>
    </w:p>
    <w:p w14:paraId="3D173CCF" w14:textId="77777777" w:rsidR="00D740B8" w:rsidRPr="000B62DC" w:rsidRDefault="00D740B8" w:rsidP="00D740B8">
      <w:pPr>
        <w:ind w:left="360"/>
        <w:jc w:val="both"/>
        <w:rPr>
          <w:rFonts w:ascii="Times New Roman" w:hAnsi="Times New Roman" w:cs="Times New Roman"/>
          <w:bCs/>
          <w:sz w:val="24"/>
        </w:rPr>
      </w:pPr>
    </w:p>
    <w:p w14:paraId="3F849430" w14:textId="414C531B" w:rsidR="00D740B8" w:rsidRPr="000B62DC" w:rsidRDefault="00D740B8" w:rsidP="00D740B8">
      <w:pPr>
        <w:numPr>
          <w:ilvl w:val="0"/>
          <w:numId w:val="1"/>
        </w:numPr>
        <w:jc w:val="both"/>
        <w:rPr>
          <w:rFonts w:ascii="Times New Roman" w:hAnsi="Times New Roman" w:cs="Times New Roman"/>
          <w:bCs/>
          <w:sz w:val="24"/>
        </w:rPr>
      </w:pPr>
      <w:r w:rsidRPr="000B62DC">
        <w:rPr>
          <w:rFonts w:ascii="Times New Roman" w:hAnsi="Times New Roman"/>
          <w:sz w:val="24"/>
        </w:rPr>
        <w:t xml:space="preserve">Les établissements publient les informations figurant dans le modèle EU OR2 en application de l’article 446, paragraphe 1, points c) et d), du règlement (UE) nº 575/2013. Ce modèle fournit des informations sur le calcul de la composante indicateur d’activité (BIC), conformément à l’article 313 du règlement (UE) nº 575/2013, ainsi que sur le calcul de l’indicateur d’activité (BI), des composantes et des sous-composantes, conformément à l’article 314 dudit règlement. En outre, ce modèle fournit également des informations sur </w:t>
      </w:r>
      <w:r w:rsidRPr="000B62DC">
        <w:rPr>
          <w:rFonts w:ascii="Times New Roman" w:hAnsi="Times New Roman"/>
          <w:sz w:val="24"/>
        </w:rPr>
        <w:lastRenderedPageBreak/>
        <w:t>les montants exclus de l’indicateur d’activité relatif aux entités ou activités cédées, conformément à l’article 315, paragraphe 2.</w:t>
      </w:r>
    </w:p>
    <w:p w14:paraId="5C35CEC0" w14:textId="77777777" w:rsidR="00D740B8" w:rsidRPr="000B62DC" w:rsidRDefault="00D740B8" w:rsidP="00D740B8">
      <w:pPr>
        <w:ind w:left="360"/>
        <w:jc w:val="both"/>
        <w:rPr>
          <w:rFonts w:ascii="Times New Roman" w:hAnsi="Times New Roman" w:cs="Times New Roman"/>
          <w:bCs/>
          <w:sz w:val="24"/>
        </w:rPr>
      </w:pPr>
    </w:p>
    <w:p w14:paraId="1749895F" w14:textId="07869965" w:rsidR="00D740B8" w:rsidRPr="000B62DC" w:rsidRDefault="00D740B8" w:rsidP="00D740B8">
      <w:pPr>
        <w:numPr>
          <w:ilvl w:val="0"/>
          <w:numId w:val="1"/>
        </w:numPr>
        <w:jc w:val="both"/>
        <w:rPr>
          <w:rFonts w:ascii="Times New Roman" w:hAnsi="Times New Roman" w:cs="Times New Roman"/>
          <w:bCs/>
          <w:sz w:val="24"/>
        </w:rPr>
      </w:pPr>
      <w:r w:rsidRPr="000B62DC">
        <w:rPr>
          <w:rFonts w:ascii="Times New Roman" w:hAnsi="Times New Roman"/>
          <w:sz w:val="24"/>
        </w:rPr>
        <w:t>Les établissements publient les informations relatives aux trois derniers exercices financiers concernant le montant de la liste pertinente des éléments requis pour le calcul des sous-composantes du BI qui contribuent au calcul des exigences de fonds propres pour risque opérationnel.</w:t>
      </w:r>
    </w:p>
    <w:p w14:paraId="7B27D162" w14:textId="77777777" w:rsidR="00D740B8" w:rsidRPr="000B62DC" w:rsidRDefault="00D740B8" w:rsidP="00D740B8">
      <w:pPr>
        <w:pStyle w:val="ListParagraph"/>
        <w:rPr>
          <w:rFonts w:ascii="Times New Roman" w:hAnsi="Times New Roman"/>
          <w:bCs/>
          <w:sz w:val="24"/>
        </w:rPr>
      </w:pPr>
    </w:p>
    <w:p w14:paraId="41988E91" w14:textId="281D16EA" w:rsidR="00D740B8" w:rsidRPr="000B62DC" w:rsidRDefault="00D740B8" w:rsidP="00D740B8">
      <w:pPr>
        <w:numPr>
          <w:ilvl w:val="0"/>
          <w:numId w:val="1"/>
        </w:numPr>
        <w:jc w:val="both"/>
        <w:rPr>
          <w:rFonts w:ascii="Times New Roman" w:hAnsi="Times New Roman" w:cs="Times New Roman"/>
          <w:bCs/>
          <w:sz w:val="24"/>
        </w:rPr>
      </w:pPr>
      <w:r w:rsidRPr="000B62DC">
        <w:rPr>
          <w:rFonts w:ascii="Times New Roman" w:hAnsi="Times New Roman"/>
          <w:sz w:val="24"/>
        </w:rPr>
        <w:t>Conformément à l’article 314, paragraphe 8, du règlement (UE) nº 575/2013, lorsqu’aucune donnée historique n’est disponible, les établissements déclarent les estimations prospectives de leurs activités.</w:t>
      </w:r>
    </w:p>
    <w:p w14:paraId="14A23528" w14:textId="485ED75C" w:rsidR="00D740B8" w:rsidRPr="000B62DC" w:rsidRDefault="00D740B8" w:rsidP="00D740B8">
      <w:pPr>
        <w:pStyle w:val="numberedparagraph"/>
        <w:numPr>
          <w:ilvl w:val="0"/>
          <w:numId w:val="1"/>
        </w:numPr>
        <w:rPr>
          <w:rFonts w:ascii="Times New Roman" w:hAnsi="Times New Roman" w:cs="Times New Roman"/>
          <w:sz w:val="24"/>
        </w:rPr>
      </w:pPr>
      <w:r w:rsidRPr="000B62DC">
        <w:rPr>
          <w:rFonts w:ascii="Times New Roman" w:hAnsi="Times New Roman"/>
          <w:sz w:val="24"/>
        </w:rPr>
        <w:t>Lorsque les établissements disposent de moins de trois ans de données relatives aux éléments détaillés figurant dans les composantes du BI, les données historiques disponibles sont affectées en priorité aux colonnes correspondantes du modèle. Lorsque les établissements ne disposent de données historiques relatives aux composantes du BI que pour un exercice, ces données sont déclarées dans la colonne correspondant à l’exercice le plus récent (par exemple,</w:t>
      </w:r>
      <w:proofErr w:type="gramStart"/>
      <w:r w:rsidRPr="000B62DC">
        <w:rPr>
          <w:rFonts w:ascii="Times New Roman" w:hAnsi="Times New Roman"/>
          <w:sz w:val="24"/>
        </w:rPr>
        <w:t xml:space="preserve"> «dernier</w:t>
      </w:r>
      <w:proofErr w:type="gramEnd"/>
      <w:r w:rsidRPr="000B62DC">
        <w:rPr>
          <w:rFonts w:ascii="Times New Roman" w:hAnsi="Times New Roman"/>
          <w:sz w:val="24"/>
        </w:rPr>
        <w:t xml:space="preserve"> exercice»). Lorsque cela semble raisonnable, les estimations prospectives sont incluses respectivement dans l’exercice -1 et l’exercice -2 jusqu’à ce que ces données soient disponibles.</w:t>
      </w:r>
    </w:p>
    <w:p w14:paraId="2DDE0943" w14:textId="7F04DC41" w:rsidR="00D740B8" w:rsidRPr="000B62DC" w:rsidRDefault="00D740B8" w:rsidP="00D740B8">
      <w:pPr>
        <w:pStyle w:val="numberedparagraph"/>
        <w:numPr>
          <w:ilvl w:val="0"/>
          <w:numId w:val="1"/>
        </w:numPr>
        <w:rPr>
          <w:rFonts w:ascii="Times New Roman" w:hAnsi="Times New Roman" w:cs="Times New Roman"/>
          <w:sz w:val="24"/>
        </w:rPr>
      </w:pPr>
      <w:r w:rsidRPr="000B62DC">
        <w:rPr>
          <w:rFonts w:ascii="Times New Roman" w:hAnsi="Times New Roman"/>
          <w:sz w:val="24"/>
        </w:rPr>
        <w:t>Les établissements n’incluent dans les sous-postes faisant partie du calcul de la composante intérêts, contrats de location et dividendes (ILDC) aucun chiffre relatif aux établissements filiales spécifiques dont l’ILDC est calculé séparément conformément à l’article 314, paragraphe 3, du règlement (UE) nº 575/2013.</w:t>
      </w:r>
    </w:p>
    <w:p w14:paraId="3512454B" w14:textId="27224DC8" w:rsidR="00841A0D" w:rsidRPr="000B62DC" w:rsidRDefault="00D740B8" w:rsidP="00D740B8">
      <w:pPr>
        <w:numPr>
          <w:ilvl w:val="0"/>
          <w:numId w:val="1"/>
        </w:numPr>
        <w:jc w:val="both"/>
        <w:rPr>
          <w:rFonts w:ascii="Times New Roman" w:hAnsi="Times New Roman" w:cs="Times New Roman"/>
          <w:bCs/>
          <w:sz w:val="24"/>
        </w:rPr>
      </w:pPr>
      <w:r w:rsidRPr="000B62DC">
        <w:rPr>
          <w:rFonts w:ascii="Times New Roman" w:hAnsi="Times New Roman"/>
          <w:sz w:val="24"/>
        </w:rPr>
        <w:t>Les établissements n’incluent pas dans les sous-postes faisant partie du calcul de la composante intérêts, contrats de location et dividendes (ILDC) les chiffres provenant des lignes d’activité de banque de détail et/ou de banque commerciale dans les cas où ils ont reçu l’autorisation d’appliquer l’article 314, paragraphe 4, du règlement (UE) nº 575/2013.</w:t>
      </w:r>
    </w:p>
    <w:p w14:paraId="22AE3E22" w14:textId="77777777" w:rsidR="00841A0D" w:rsidRPr="000B62DC" w:rsidRDefault="00841A0D" w:rsidP="00841A0D">
      <w:pPr>
        <w:ind w:left="360"/>
        <w:jc w:val="both"/>
        <w:rPr>
          <w:rFonts w:ascii="Times New Roman" w:hAnsi="Times New Roman" w:cs="Times New Roman"/>
          <w:bCs/>
          <w:sz w:val="24"/>
        </w:rPr>
      </w:pPr>
    </w:p>
    <w:p w14:paraId="3A161EFD" w14:textId="7882B43A" w:rsidR="00D740B8" w:rsidRPr="000B62DC" w:rsidRDefault="003826D3" w:rsidP="00D740B8">
      <w:pPr>
        <w:numPr>
          <w:ilvl w:val="0"/>
          <w:numId w:val="1"/>
        </w:numPr>
        <w:jc w:val="both"/>
        <w:rPr>
          <w:rFonts w:ascii="Times New Roman" w:hAnsi="Times New Roman" w:cs="Times New Roman"/>
          <w:bCs/>
          <w:sz w:val="24"/>
        </w:rPr>
      </w:pPr>
      <w:r w:rsidRPr="000B62DC">
        <w:rPr>
          <w:rFonts w:ascii="Times New Roman" w:hAnsi="Times New Roman"/>
          <w:sz w:val="24"/>
        </w:rPr>
        <w:t>Néanmoins, les établissements déclarent à la ligne 1 le montant total de l’ILDC, y compris les montants calculés conformément à l’article 314, paragraphe 3, du règlement (UE) nº 575/2013. À la ligne EU 1, l’ILDC, à l’exclusion des entités visées à l’article 314, paragraphe 3, est également déclarée.</w:t>
      </w:r>
    </w:p>
    <w:p w14:paraId="7DAFACF8" w14:textId="77777777" w:rsidR="00D740B8" w:rsidRPr="000B62DC" w:rsidRDefault="00D740B8" w:rsidP="00D740B8">
      <w:pPr>
        <w:ind w:left="360"/>
        <w:jc w:val="both"/>
        <w:rPr>
          <w:rFonts w:ascii="Times New Roman" w:hAnsi="Times New Roman" w:cs="Times New Roman"/>
          <w:bCs/>
          <w:sz w:val="24"/>
        </w:rPr>
      </w:pPr>
    </w:p>
    <w:p w14:paraId="578B96DC" w14:textId="494916C5" w:rsidR="00D740B8" w:rsidRPr="000B62DC" w:rsidRDefault="00D740B8" w:rsidP="00D740B8">
      <w:pPr>
        <w:numPr>
          <w:ilvl w:val="0"/>
          <w:numId w:val="1"/>
        </w:numPr>
        <w:jc w:val="both"/>
        <w:rPr>
          <w:rFonts w:ascii="Times New Roman" w:hAnsi="Times New Roman" w:cs="Times New Roman"/>
          <w:bCs/>
          <w:sz w:val="24"/>
        </w:rPr>
      </w:pPr>
      <w:r w:rsidRPr="000B62DC">
        <w:rPr>
          <w:rFonts w:ascii="Times New Roman" w:hAnsi="Times New Roman"/>
          <w:sz w:val="24"/>
        </w:rPr>
        <w:t>Dans le texte descriptif correspondant, conformément à l’article 446, paragraphe 1, du règlement (UE) nº 575/2013, les établissements publient les justifications de chaque exclusion de l’indicateur d’activité, à l’exception de l’exclusion des lignes d’activité de banque de détail et de banque commerciale prises en considération en vertu de l’article 314, paragraphe 4.</w:t>
      </w:r>
    </w:p>
    <w:p w14:paraId="22C673C4" w14:textId="77777777" w:rsidR="00393FEF" w:rsidRPr="000B62DC" w:rsidRDefault="00393FEF" w:rsidP="00532CFA">
      <w:pPr>
        <w:pStyle w:val="ListParagraph"/>
        <w:rPr>
          <w:rFonts w:ascii="Times New Roman" w:hAnsi="Times New Roman"/>
          <w:bCs/>
          <w:sz w:val="24"/>
        </w:rPr>
      </w:pPr>
    </w:p>
    <w:p w14:paraId="7DD11602" w14:textId="2BC0B288" w:rsidR="00393FEF" w:rsidRPr="000B62DC" w:rsidRDefault="006020C0" w:rsidP="00D740B8">
      <w:pPr>
        <w:numPr>
          <w:ilvl w:val="0"/>
          <w:numId w:val="1"/>
        </w:numPr>
        <w:jc w:val="both"/>
        <w:rPr>
          <w:rFonts w:ascii="Times New Roman" w:hAnsi="Times New Roman" w:cs="Times New Roman"/>
          <w:bCs/>
          <w:sz w:val="24"/>
        </w:rPr>
      </w:pPr>
      <w:r w:rsidRPr="000B62DC">
        <w:rPr>
          <w:rFonts w:ascii="Times New Roman" w:hAnsi="Times New Roman"/>
          <w:sz w:val="24"/>
        </w:rPr>
        <w:t>Compte tenu du lien étroit entre les exigences de publication du risque opérationnel et les états financiers de l’établissement, les références aux exigences de déclaration reflétées dans l’annexe V des solutions informatiques de l’ABE (FINREP) ont été reflétées dans l’ensemble des instructions.</w:t>
      </w:r>
    </w:p>
    <w:p w14:paraId="1D4913E2" w14:textId="77777777" w:rsidR="00DD1D82" w:rsidRPr="000B62DC" w:rsidRDefault="00DD1D82" w:rsidP="00DD1D82">
      <w:pPr>
        <w:pStyle w:val="ListParagraph"/>
        <w:rPr>
          <w:rFonts w:ascii="Times New Roman" w:hAnsi="Times New Roman"/>
          <w:bCs/>
          <w:sz w:val="24"/>
        </w:rPr>
      </w:pPr>
    </w:p>
    <w:p w14:paraId="11E51AFD" w14:textId="3D720718" w:rsidR="00DD1D82" w:rsidRPr="000B62DC" w:rsidRDefault="00050ABA" w:rsidP="001257B6">
      <w:pPr>
        <w:numPr>
          <w:ilvl w:val="0"/>
          <w:numId w:val="1"/>
        </w:numPr>
        <w:jc w:val="both"/>
        <w:rPr>
          <w:rFonts w:ascii="Times New Roman" w:hAnsi="Times New Roman" w:cs="Times New Roman"/>
          <w:bCs/>
          <w:sz w:val="24"/>
        </w:rPr>
      </w:pPr>
      <w:r w:rsidRPr="000B62DC">
        <w:rPr>
          <w:rFonts w:ascii="Times New Roman" w:hAnsi="Times New Roman"/>
          <w:sz w:val="24"/>
        </w:rPr>
        <w:t>Les conventions de signature pour remplir ce modèle suivent les conventions figurant à l’annexe V des solutions informatiques de l’ABE.</w:t>
      </w:r>
    </w:p>
    <w:p w14:paraId="21275E00" w14:textId="77777777" w:rsidR="00D740B8" w:rsidRPr="000B62DC"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0B62DC" w14:paraId="069EA903" w14:textId="77777777">
        <w:trPr>
          <w:trHeight w:val="300"/>
        </w:trPr>
        <w:tc>
          <w:tcPr>
            <w:tcW w:w="1260" w:type="dxa"/>
            <w:shd w:val="clear" w:color="auto" w:fill="BFBFBF" w:themeFill="background1" w:themeFillShade="BF"/>
          </w:tcPr>
          <w:p w14:paraId="7E4DE4F0" w14:textId="77777777" w:rsidR="00D740B8" w:rsidRPr="000B62DC" w:rsidRDefault="00D740B8">
            <w:pPr>
              <w:autoSpaceDE w:val="0"/>
              <w:autoSpaceDN w:val="0"/>
              <w:adjustRightInd w:val="0"/>
              <w:rPr>
                <w:rFonts w:ascii="Times New Roman" w:hAnsi="Times New Roman" w:cs="Times New Roman"/>
                <w:b/>
                <w:sz w:val="24"/>
              </w:rPr>
            </w:pPr>
            <w:r w:rsidRPr="000B62DC">
              <w:rPr>
                <w:rFonts w:ascii="Times New Roman" w:hAnsi="Times New Roman"/>
                <w:b/>
                <w:sz w:val="24"/>
              </w:rPr>
              <w:t>Colonne</w:t>
            </w:r>
          </w:p>
        </w:tc>
        <w:tc>
          <w:tcPr>
            <w:tcW w:w="7756" w:type="dxa"/>
            <w:shd w:val="clear" w:color="auto" w:fill="BFBFBF" w:themeFill="background1" w:themeFillShade="BF"/>
          </w:tcPr>
          <w:p w14:paraId="0D54BB35" w14:textId="77777777" w:rsidR="00D740B8" w:rsidRPr="000B62DC" w:rsidDel="00B46ADB" w:rsidRDefault="00D740B8">
            <w:pPr>
              <w:autoSpaceDE w:val="0"/>
              <w:autoSpaceDN w:val="0"/>
              <w:adjustRightInd w:val="0"/>
              <w:rPr>
                <w:bCs/>
              </w:rPr>
            </w:pPr>
            <w:r w:rsidRPr="000B62DC">
              <w:rPr>
                <w:rFonts w:ascii="Times New Roman" w:hAnsi="Times New Roman"/>
                <w:b/>
                <w:sz w:val="24"/>
              </w:rPr>
              <w:t>Références juridiques et instructions</w:t>
            </w:r>
          </w:p>
        </w:tc>
      </w:tr>
      <w:tr w:rsidR="00D740B8" w:rsidRPr="000B62DC" w14:paraId="7AE7216D" w14:textId="77777777">
        <w:trPr>
          <w:trHeight w:val="300"/>
        </w:trPr>
        <w:tc>
          <w:tcPr>
            <w:tcW w:w="1260" w:type="dxa"/>
          </w:tcPr>
          <w:p w14:paraId="0FC699E1" w14:textId="0D76C831" w:rsidR="00D740B8" w:rsidRPr="000B62DC" w:rsidRDefault="00D740B8" w:rsidP="00165BEF">
            <w:pPr>
              <w:autoSpaceDE w:val="0"/>
              <w:autoSpaceDN w:val="0"/>
              <w:adjustRightInd w:val="0"/>
              <w:jc w:val="center"/>
              <w:rPr>
                <w:rFonts w:ascii="Times New Roman" w:hAnsi="Times New Roman"/>
                <w:bCs/>
                <w:sz w:val="24"/>
              </w:rPr>
            </w:pPr>
            <w:proofErr w:type="gramStart"/>
            <w:r w:rsidRPr="000B62DC">
              <w:rPr>
                <w:rFonts w:ascii="Times New Roman" w:hAnsi="Times New Roman"/>
                <w:sz w:val="24"/>
              </w:rPr>
              <w:t>a</w:t>
            </w:r>
            <w:proofErr w:type="gramEnd"/>
            <w:r w:rsidRPr="000B62DC">
              <w:rPr>
                <w:rFonts w:ascii="Times New Roman" w:hAnsi="Times New Roman"/>
                <w:sz w:val="24"/>
              </w:rPr>
              <w:t>, b, c</w:t>
            </w:r>
          </w:p>
        </w:tc>
        <w:tc>
          <w:tcPr>
            <w:tcW w:w="7756" w:type="dxa"/>
          </w:tcPr>
          <w:p w14:paraId="510A12A5" w14:textId="13FB6D98" w:rsidR="00D740B8" w:rsidRPr="000B62DC" w:rsidRDefault="00D740B8">
            <w:pPr>
              <w:autoSpaceDE w:val="0"/>
              <w:autoSpaceDN w:val="0"/>
              <w:adjustRightInd w:val="0"/>
              <w:rPr>
                <w:rStyle w:val="InstructionsTabelleberschrift"/>
                <w:rFonts w:ascii="Times New Roman" w:hAnsi="Times New Roman"/>
                <w:sz w:val="24"/>
                <w:u w:val="none"/>
              </w:rPr>
            </w:pPr>
            <w:r w:rsidRPr="000B62DC">
              <w:rPr>
                <w:rStyle w:val="InstructionsTabelleberschrift"/>
                <w:rFonts w:ascii="Times New Roman" w:hAnsi="Times New Roman"/>
                <w:sz w:val="24"/>
                <w:u w:val="none"/>
              </w:rPr>
              <w:t>Valeur</w:t>
            </w:r>
          </w:p>
          <w:p w14:paraId="0A7A2FD7" w14:textId="77777777" w:rsidR="00D740B8" w:rsidRPr="000B62DC" w:rsidRDefault="00D740B8">
            <w:pPr>
              <w:rPr>
                <w:rFonts w:ascii="Times New Roman" w:hAnsi="Times New Roman"/>
                <w:sz w:val="24"/>
                <w:lang w:eastAsia="de-DE"/>
              </w:rPr>
            </w:pPr>
          </w:p>
          <w:p w14:paraId="0C8A142A" w14:textId="4CAB13C5" w:rsidR="00D740B8" w:rsidRPr="000B62DC" w:rsidRDefault="00D740B8">
            <w:pPr>
              <w:autoSpaceDE w:val="0"/>
              <w:autoSpaceDN w:val="0"/>
              <w:adjustRightInd w:val="0"/>
              <w:rPr>
                <w:rFonts w:ascii="Times New Roman" w:hAnsi="Times New Roman" w:cs="Times New Roman"/>
                <w:bCs/>
                <w:sz w:val="24"/>
              </w:rPr>
            </w:pPr>
            <w:r w:rsidRPr="000B62DC">
              <w:rPr>
                <w:rFonts w:ascii="Times New Roman" w:hAnsi="Times New Roman"/>
                <w:sz w:val="24"/>
              </w:rPr>
              <w:t>Article 446, paragraphe 1, point d), et article 314, paragraphe 1, du règlement (UE) nº 575/2013.</w:t>
            </w:r>
          </w:p>
          <w:p w14:paraId="7883915F" w14:textId="77777777" w:rsidR="00D740B8" w:rsidRPr="000B62DC" w:rsidRDefault="00D740B8">
            <w:pPr>
              <w:autoSpaceDE w:val="0"/>
              <w:autoSpaceDN w:val="0"/>
              <w:adjustRightInd w:val="0"/>
              <w:rPr>
                <w:rFonts w:ascii="Times New Roman" w:hAnsi="Times New Roman"/>
                <w:bCs/>
                <w:sz w:val="24"/>
                <w:lang w:eastAsia="nl-BE"/>
              </w:rPr>
            </w:pPr>
          </w:p>
          <w:p w14:paraId="558CD9DA" w14:textId="2FA81485" w:rsidR="00EA10B1" w:rsidRPr="000B62DC" w:rsidRDefault="002F3CFA">
            <w:pPr>
              <w:pStyle w:val="paragraph"/>
              <w:spacing w:before="0" w:beforeAutospacing="0" w:after="0" w:afterAutospacing="0"/>
              <w:textAlignment w:val="baseline"/>
            </w:pPr>
            <w:r w:rsidRPr="000B62DC">
              <w:t>La valeur de la liste des éléments faisant partie du calcul du BI et de ses composantes [calcul de l’ILDC, de la composante services (SC) et de la composante financière (FC)] conformément aux normes comptables applicables pour chacun des trois derniers exercices financiers.</w:t>
            </w:r>
          </w:p>
          <w:p w14:paraId="3414DDFE" w14:textId="77777777" w:rsidR="007B3E62" w:rsidRPr="000B62DC" w:rsidRDefault="007B3E62">
            <w:pPr>
              <w:pStyle w:val="paragraph"/>
              <w:spacing w:before="0" w:beforeAutospacing="0" w:after="0" w:afterAutospacing="0"/>
              <w:textAlignment w:val="baseline"/>
              <w:rPr>
                <w:lang w:eastAsia="de-DE"/>
              </w:rPr>
            </w:pPr>
          </w:p>
          <w:p w14:paraId="374E1BCA" w14:textId="5E2803E9" w:rsidR="007B3E62" w:rsidRPr="000B62DC" w:rsidRDefault="00B76B25">
            <w:pPr>
              <w:pStyle w:val="paragraph"/>
              <w:spacing w:before="0" w:beforeAutospacing="0" w:after="0" w:afterAutospacing="0"/>
              <w:textAlignment w:val="baseline"/>
            </w:pPr>
            <w:r w:rsidRPr="000B62DC">
              <w:t>Les montants doivent être déclarés après l’application des ajustements liés aux fusions/acquisitions et aux activités cédées.</w:t>
            </w:r>
          </w:p>
          <w:p w14:paraId="00BACA37" w14:textId="77777777" w:rsidR="00EA10B1" w:rsidRPr="000B62DC" w:rsidRDefault="00EA10B1">
            <w:pPr>
              <w:pStyle w:val="paragraph"/>
              <w:spacing w:before="0" w:beforeAutospacing="0" w:after="0" w:afterAutospacing="0"/>
              <w:textAlignment w:val="baseline"/>
              <w:rPr>
                <w:lang w:eastAsia="de-DE"/>
              </w:rPr>
            </w:pPr>
          </w:p>
          <w:p w14:paraId="21635601" w14:textId="1A8DE566" w:rsidR="00D740B8" w:rsidRPr="000B62DC" w:rsidRDefault="00D740B8" w:rsidP="000F6C61">
            <w:pPr>
              <w:pStyle w:val="paragraph"/>
              <w:spacing w:before="0" w:beforeAutospacing="0" w:after="0" w:afterAutospacing="0"/>
              <w:textAlignment w:val="baseline"/>
            </w:pPr>
            <w:r w:rsidRPr="000B62DC">
              <w:t>Pour la FC, les valeurs à communiquer refléteront les valeurs comptables déterminées à l’aide de la limite comptable ou de la limite prudentielle afin d’identifier les éléments du portefeuille de négociation et du portefeuille bancaire pour chacun des trois derniers exercices financiers, conformément à l’article 314, paragraphe 6, du règlement (UE) nº 575/2013.</w:t>
            </w:r>
          </w:p>
        </w:tc>
      </w:tr>
      <w:tr w:rsidR="00D740B8" w:rsidRPr="000B62DC" w14:paraId="3103AD05" w14:textId="77777777">
        <w:trPr>
          <w:trHeight w:val="300"/>
        </w:trPr>
        <w:tc>
          <w:tcPr>
            <w:tcW w:w="1260" w:type="dxa"/>
          </w:tcPr>
          <w:p w14:paraId="0FFA543A" w14:textId="77777777" w:rsidR="00D740B8" w:rsidRPr="000B62DC" w:rsidRDefault="00D740B8" w:rsidP="00165BEF">
            <w:pPr>
              <w:autoSpaceDE w:val="0"/>
              <w:autoSpaceDN w:val="0"/>
              <w:adjustRightInd w:val="0"/>
              <w:jc w:val="center"/>
              <w:rPr>
                <w:rFonts w:ascii="Times New Roman" w:hAnsi="Times New Roman"/>
                <w:bCs/>
                <w:sz w:val="24"/>
              </w:rPr>
            </w:pPr>
            <w:proofErr w:type="gramStart"/>
            <w:r w:rsidRPr="000B62DC">
              <w:rPr>
                <w:rFonts w:ascii="Times New Roman" w:hAnsi="Times New Roman"/>
                <w:sz w:val="24"/>
              </w:rPr>
              <w:t>d</w:t>
            </w:r>
            <w:proofErr w:type="gramEnd"/>
          </w:p>
        </w:tc>
        <w:tc>
          <w:tcPr>
            <w:tcW w:w="7756" w:type="dxa"/>
          </w:tcPr>
          <w:p w14:paraId="117DF1D7" w14:textId="77777777" w:rsidR="00D740B8" w:rsidRPr="000B62DC" w:rsidRDefault="00D740B8">
            <w:pPr>
              <w:autoSpaceDE w:val="0"/>
              <w:autoSpaceDN w:val="0"/>
              <w:adjustRightInd w:val="0"/>
              <w:rPr>
                <w:rStyle w:val="InstructionsTabelleberschrift"/>
                <w:rFonts w:ascii="Times New Roman" w:hAnsi="Times New Roman"/>
                <w:sz w:val="24"/>
                <w:u w:val="none"/>
              </w:rPr>
            </w:pPr>
            <w:r w:rsidRPr="000B62DC">
              <w:rPr>
                <w:rStyle w:val="InstructionsTabelleberschrift"/>
                <w:rFonts w:ascii="Times New Roman" w:hAnsi="Times New Roman"/>
                <w:sz w:val="24"/>
                <w:u w:val="none"/>
              </w:rPr>
              <w:t>Valeurs moyennes</w:t>
            </w:r>
          </w:p>
          <w:p w14:paraId="27B3847F" w14:textId="77777777" w:rsidR="00D740B8" w:rsidRPr="000B62DC" w:rsidRDefault="00D740B8">
            <w:pPr>
              <w:autoSpaceDE w:val="0"/>
              <w:autoSpaceDN w:val="0"/>
              <w:adjustRightInd w:val="0"/>
              <w:rPr>
                <w:rFonts w:ascii="Times New Roman" w:hAnsi="Times New Roman"/>
                <w:sz w:val="24"/>
                <w:lang w:eastAsia="de-DE"/>
              </w:rPr>
            </w:pPr>
          </w:p>
          <w:p w14:paraId="2CEEC93D" w14:textId="277817D6" w:rsidR="00D740B8" w:rsidRPr="000B62DC" w:rsidRDefault="00D740B8">
            <w:pPr>
              <w:autoSpaceDE w:val="0"/>
              <w:autoSpaceDN w:val="0"/>
              <w:adjustRightInd w:val="0"/>
              <w:rPr>
                <w:rFonts w:ascii="Times New Roman" w:hAnsi="Times New Roman" w:cs="Times New Roman"/>
                <w:bCs/>
                <w:sz w:val="24"/>
              </w:rPr>
            </w:pPr>
            <w:r w:rsidRPr="000B62DC">
              <w:rPr>
                <w:rFonts w:ascii="Times New Roman" w:hAnsi="Times New Roman"/>
                <w:sz w:val="24"/>
              </w:rPr>
              <w:t>Article 314, paragraphes 2, 5 et 6, du règlement (UE) nº 575/2013.</w:t>
            </w:r>
          </w:p>
          <w:p w14:paraId="5FAAFF7A" w14:textId="77777777" w:rsidR="00D740B8" w:rsidRPr="000B62DC" w:rsidRDefault="00D740B8">
            <w:pPr>
              <w:autoSpaceDE w:val="0"/>
              <w:autoSpaceDN w:val="0"/>
              <w:adjustRightInd w:val="0"/>
              <w:rPr>
                <w:rStyle w:val="InstructionsTabelleberschrift"/>
                <w:rFonts w:ascii="Times New Roman" w:hAnsi="Times New Roman"/>
                <w:sz w:val="24"/>
              </w:rPr>
            </w:pPr>
          </w:p>
          <w:p w14:paraId="3E17CEC0" w14:textId="402AFA6E" w:rsidR="00D740B8" w:rsidRPr="000B62DC" w:rsidRDefault="00D740B8">
            <w:pPr>
              <w:pStyle w:val="paragraph"/>
              <w:spacing w:before="0" w:beforeAutospacing="0" w:after="0" w:afterAutospacing="0"/>
              <w:textAlignment w:val="baseline"/>
              <w:rPr>
                <w:rStyle w:val="normaltextrun"/>
              </w:rPr>
            </w:pPr>
            <w:r w:rsidRPr="000B62DC">
              <w:rPr>
                <w:rStyle w:val="normaltextrun"/>
              </w:rPr>
              <w:t>Les valeurs calculées des composantes ILDC, SC et FC et la valeur moyenne de leurs sous-composantes correspondantes calculées au cours des trois derniers exercices financiers et se rapportant à l’exercice T.</w:t>
            </w:r>
          </w:p>
          <w:p w14:paraId="32637704" w14:textId="35682543" w:rsidR="00D740B8" w:rsidRPr="000B62DC" w:rsidRDefault="00D740B8">
            <w:pPr>
              <w:pStyle w:val="paragraph"/>
              <w:spacing w:before="0" w:beforeAutospacing="0" w:after="0" w:afterAutospacing="0"/>
              <w:textAlignment w:val="baseline"/>
              <w:rPr>
                <w:rStyle w:val="normaltextrun"/>
              </w:rPr>
            </w:pPr>
          </w:p>
          <w:p w14:paraId="6C270BFC" w14:textId="453723AA" w:rsidR="00D740B8" w:rsidRPr="000B62DC"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0B62DC">
              <w:rPr>
                <w:rStyle w:val="normaltextrun"/>
              </w:rPr>
              <w:t xml:space="preserve">La moyenne est calculée en tenant compte des valeurs comptables pour chacun des trois derniers exercices. </w:t>
            </w:r>
          </w:p>
        </w:tc>
      </w:tr>
    </w:tbl>
    <w:p w14:paraId="75117700" w14:textId="77777777" w:rsidR="00D740B8" w:rsidRPr="000B62DC"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0B62DC"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0B62DC" w:rsidRDefault="00D740B8">
            <w:pPr>
              <w:autoSpaceDE w:val="0"/>
              <w:autoSpaceDN w:val="0"/>
              <w:adjustRightInd w:val="0"/>
              <w:rPr>
                <w:rFonts w:ascii="Times New Roman" w:hAnsi="Times New Roman" w:cs="Times New Roman"/>
                <w:b/>
                <w:sz w:val="24"/>
              </w:rPr>
            </w:pPr>
            <w:r w:rsidRPr="000B62DC">
              <w:rPr>
                <w:rFonts w:ascii="Times New Roman" w:hAnsi="Times New Roman"/>
                <w:b/>
                <w:sz w:val="24"/>
              </w:rPr>
              <w:t>Ligne</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0B62DC" w:rsidRDefault="00D740B8">
            <w:pPr>
              <w:rPr>
                <w:rFonts w:ascii="Times New Roman" w:hAnsi="Times New Roman" w:cs="Times New Roman"/>
                <w:b/>
                <w:sz w:val="24"/>
              </w:rPr>
            </w:pPr>
            <w:r w:rsidRPr="000B62DC">
              <w:rPr>
                <w:rFonts w:ascii="Times New Roman" w:hAnsi="Times New Roman"/>
                <w:b/>
                <w:sz w:val="24"/>
              </w:rPr>
              <w:t>Références juridiques et instructions</w:t>
            </w:r>
          </w:p>
        </w:tc>
      </w:tr>
      <w:tr w:rsidR="00D740B8" w:rsidRPr="000B62DC"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0B62DC" w:rsidRDefault="00D740B8">
            <w:pPr>
              <w:spacing w:before="60" w:after="120"/>
              <w:jc w:val="both"/>
              <w:rPr>
                <w:rFonts w:ascii="Times New Roman" w:eastAsia="Times New Roman" w:hAnsi="Times New Roman" w:cs="Times New Roman"/>
                <w:b/>
                <w:sz w:val="24"/>
              </w:rPr>
            </w:pPr>
            <w:r w:rsidRPr="000B62DC">
              <w:rPr>
                <w:rFonts w:ascii="Times New Roman" w:hAnsi="Times New Roman"/>
                <w:b/>
                <w:sz w:val="24"/>
              </w:rPr>
              <w:t>Composante intérêts, contrats de location et dividendes (ILDC)</w:t>
            </w:r>
          </w:p>
          <w:p w14:paraId="78381763" w14:textId="2625CE0B" w:rsidR="00D740B8" w:rsidRPr="000B62DC" w:rsidRDefault="00D740B8">
            <w:pPr>
              <w:spacing w:before="60" w:after="120"/>
              <w:jc w:val="both"/>
              <w:rPr>
                <w:rFonts w:ascii="Times New Roman" w:eastAsia="Times New Roman" w:hAnsi="Times New Roman" w:cs="Times New Roman"/>
                <w:b/>
                <w:sz w:val="24"/>
              </w:rPr>
            </w:pPr>
            <w:r w:rsidRPr="000B62DC">
              <w:rPr>
                <w:rFonts w:ascii="Times New Roman" w:hAnsi="Times New Roman"/>
                <w:sz w:val="24"/>
              </w:rPr>
              <w:t>La composante intérêts, contrats de location et dividendes (ILDC) est calculée conformément à l’article 314, paragraphe 2, du règlement (UE) nº 575/2013, y compris, le cas échéant, les montants calculés conformément à l’article 314, paragraphe 3, dudit règlement. Lorsqu’un établissement fait l’objet de la dérogation visée à l’article 314, paragraphe 4, du règlement (UE) nº 575/2013, il n’inclut aucun chiffre provenant des lignes d’activité de banque de détail et de banque commerciale.</w:t>
            </w:r>
          </w:p>
        </w:tc>
      </w:tr>
      <w:tr w:rsidR="00456F97" w:rsidRPr="000B62DC"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0B62DC" w:rsidRDefault="00E03FA1">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0B62DC" w:rsidRDefault="00E2624F">
            <w:pPr>
              <w:spacing w:before="60" w:after="120"/>
              <w:jc w:val="both"/>
              <w:rPr>
                <w:rFonts w:ascii="Times New Roman" w:eastAsia="Times New Roman" w:hAnsi="Times New Roman" w:cs="Times New Roman"/>
                <w:b/>
                <w:sz w:val="24"/>
              </w:rPr>
            </w:pPr>
            <w:r w:rsidRPr="000B62DC">
              <w:rPr>
                <w:rFonts w:ascii="Times New Roman" w:hAnsi="Times New Roman"/>
                <w:b/>
                <w:sz w:val="24"/>
              </w:rPr>
              <w:t>ILDC se rapportant à l’établissement individuel/au groupe consolidé (à l’exclusion des entités visées à l’article 314, paragraphe 3)</w:t>
            </w:r>
          </w:p>
          <w:p w14:paraId="3B4A0231" w14:textId="6A33703B" w:rsidR="00E2624F" w:rsidRPr="000B62DC" w:rsidRDefault="00E2624F" w:rsidP="00413B96">
            <w:pPr>
              <w:rPr>
                <w:rFonts w:ascii="Times New Roman" w:hAnsi="Times New Roman"/>
                <w:color w:val="000000" w:themeColor="text1"/>
                <w:sz w:val="24"/>
              </w:rPr>
            </w:pPr>
            <w:r w:rsidRPr="000B62DC">
              <w:rPr>
                <w:rFonts w:ascii="Times New Roman" w:hAnsi="Times New Roman"/>
                <w:sz w:val="24"/>
              </w:rPr>
              <w:t>La composante intérêts, contrats de location et dividendes (ILDC) est calculée conformément à l’article 314, paragraphe 2, du règlement (UE) nº 575/2013, sans inclure de chiffres faisant partie du calcul de l’ILDC dans les cas où l’établissement applique la dérogation conformément à l’article 314, paragraphe 3, dudit règlement.</w:t>
            </w:r>
          </w:p>
        </w:tc>
      </w:tr>
      <w:tr w:rsidR="00D740B8" w:rsidRPr="000B62DC"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lastRenderedPageBreak/>
              <w:t>1a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0B62DC" w:rsidRDefault="00D740B8">
            <w:pPr>
              <w:spacing w:before="60" w:after="120"/>
              <w:jc w:val="both"/>
              <w:rPr>
                <w:rFonts w:ascii="Times New Roman" w:eastAsia="Times New Roman" w:hAnsi="Times New Roman" w:cs="Times New Roman"/>
                <w:b/>
                <w:sz w:val="24"/>
              </w:rPr>
            </w:pPr>
            <w:r w:rsidRPr="000B62DC">
              <w:rPr>
                <w:rFonts w:ascii="Times New Roman" w:hAnsi="Times New Roman"/>
                <w:b/>
                <w:sz w:val="24"/>
              </w:rPr>
              <w:t>Produits d’intérêts et de contrats de location</w:t>
            </w:r>
          </w:p>
          <w:p w14:paraId="33CCD1CB" w14:textId="130AE220" w:rsidR="00BD248A" w:rsidRPr="000B62DC" w:rsidRDefault="00D740B8">
            <w:pPr>
              <w:rPr>
                <w:rFonts w:ascii="Times New Roman" w:eastAsia="Times New Roman" w:hAnsi="Times New Roman" w:cs="Times New Roman"/>
                <w:sz w:val="24"/>
              </w:rPr>
            </w:pPr>
            <w:r w:rsidRPr="000B62DC">
              <w:rPr>
                <w:rFonts w:ascii="Times New Roman" w:hAnsi="Times New Roman"/>
                <w:sz w:val="24"/>
              </w:rPr>
              <w:t>La somme des produits d’intérêts provenant de tous les actifs financiers, des autres revenus provenant des actifs donnés en location et des bénéfices sur actifs donnés en location, conformément à l’annexe V des solutions informatiques de l’ABE.</w:t>
            </w:r>
          </w:p>
          <w:p w14:paraId="76D4A1E7" w14:textId="77777777" w:rsidR="00BD248A" w:rsidRPr="000B62DC" w:rsidRDefault="00BD248A">
            <w:pPr>
              <w:rPr>
                <w:rFonts w:ascii="Times New Roman" w:eastAsia="Times New Roman" w:hAnsi="Times New Roman" w:cs="Times New Roman"/>
                <w:sz w:val="24"/>
              </w:rPr>
            </w:pPr>
          </w:p>
          <w:p w14:paraId="19841383" w14:textId="08257E38" w:rsidR="00F5221D" w:rsidRPr="000B62DC" w:rsidRDefault="004F220F">
            <w:pPr>
              <w:rPr>
                <w:rFonts w:ascii="Times New Roman" w:eastAsia="Times New Roman" w:hAnsi="Times New Roman" w:cs="Times New Roman"/>
                <w:sz w:val="24"/>
              </w:rPr>
            </w:pPr>
            <w:r w:rsidRPr="000B62DC">
              <w:rPr>
                <w:rFonts w:ascii="Times New Roman" w:hAnsi="Times New Roman"/>
                <w:sz w:val="24"/>
              </w:rPr>
              <w:t>Les produits d’intérêts provenant de tous les actifs financiers sont calculés conformément à l’annexe V, partie 2, paragraphe 31, des solutions informatiques de l’ABE et conformément aux spécifications supplémentaires de l’annexe V, partie 2, paragraphes 187, 189 et 194 ii, des solutions informatiques de l’ABE.</w:t>
            </w:r>
          </w:p>
          <w:p w14:paraId="55B6FFE6" w14:textId="77777777" w:rsidR="00F5221D" w:rsidRPr="000B62DC" w:rsidRDefault="00F5221D">
            <w:pPr>
              <w:rPr>
                <w:rFonts w:ascii="Times New Roman" w:eastAsia="Times New Roman" w:hAnsi="Times New Roman" w:cs="Times New Roman"/>
                <w:sz w:val="24"/>
              </w:rPr>
            </w:pPr>
          </w:p>
          <w:p w14:paraId="00ED9136" w14:textId="12CD18AE" w:rsidR="00E76AA5" w:rsidRPr="000B62DC" w:rsidRDefault="00F5221D" w:rsidP="007535CB">
            <w:pPr>
              <w:rPr>
                <w:rFonts w:ascii="Times New Roman" w:eastAsia="Times New Roman" w:hAnsi="Times New Roman" w:cs="Times New Roman"/>
                <w:sz w:val="24"/>
              </w:rPr>
            </w:pPr>
            <w:r w:rsidRPr="000B62DC">
              <w:rPr>
                <w:rFonts w:ascii="Times New Roman" w:hAnsi="Times New Roman"/>
                <w:sz w:val="24"/>
              </w:rPr>
              <w:t xml:space="preserve">Les autres revenus provenant d’actifs donnés en location (location-financement et location simple) excluent les produits d’intérêts. Ce montant est calculé conformément à l’annexe V, partie 2, paragraphes 314 et 315, des solutions informatiques de l’ABE, et </w:t>
            </w:r>
            <w:proofErr w:type="gramStart"/>
            <w:r w:rsidRPr="000B62DC">
              <w:rPr>
                <w:rFonts w:ascii="Times New Roman" w:hAnsi="Times New Roman"/>
                <w:sz w:val="24"/>
              </w:rPr>
              <w:t>représente:</w:t>
            </w:r>
            <w:proofErr w:type="gramEnd"/>
            <w:r w:rsidRPr="000B62DC">
              <w:rPr>
                <w:rFonts w:ascii="Times New Roman" w:hAnsi="Times New Roman"/>
                <w:sz w:val="24"/>
              </w:rPr>
              <w:t xml:space="preserve"> i) les revenus provenant des variations de la juste valeur d’immeubles de placement qui génèrent des loyers et sont mesurés selon le modèle de la juste valeur; et/ou ii) les revenus provenant de contrats de location simple, y compris les revenus locatifs provenant d’immeubles de placement.</w:t>
            </w:r>
          </w:p>
          <w:p w14:paraId="6C1BE770" w14:textId="77777777" w:rsidR="007535CB" w:rsidRPr="000B62DC" w:rsidRDefault="007535CB" w:rsidP="007535CB">
            <w:pPr>
              <w:rPr>
                <w:rFonts w:ascii="Times New Roman" w:eastAsia="Times New Roman" w:hAnsi="Times New Roman" w:cs="Times New Roman"/>
                <w:sz w:val="24"/>
              </w:rPr>
            </w:pPr>
          </w:p>
          <w:p w14:paraId="742C7468" w14:textId="3A50C109" w:rsidR="00D740B8" w:rsidRPr="000B62DC" w:rsidRDefault="00BB0B3D" w:rsidP="004F34D4">
            <w:pPr>
              <w:rPr>
                <w:rFonts w:ascii="Times New Roman" w:eastAsia="Times New Roman" w:hAnsi="Times New Roman" w:cs="Times New Roman"/>
                <w:sz w:val="24"/>
              </w:rPr>
            </w:pPr>
            <w:r w:rsidRPr="000B62DC">
              <w:rPr>
                <w:rFonts w:ascii="Times New Roman" w:hAnsi="Times New Roman"/>
                <w:sz w:val="24"/>
              </w:rPr>
              <w:t>Les bénéfices des actifs donnés en location (location-financement et location simple) comprennent: i) les gains résultant de modifications de contrats de location conformément à l’annexe V, partie 2, paragraphe 49, des solutions informatiques de l’ABE; ii) le reste des autres produits d’exploitation («Autres produits d’exploitation») conformément à l’annexe V, partie 2, paragraphes 314 et 316, des solutions informatiques de l’ABE, s’ils sont liés à des actifs donnés en location (location-financement et location simple).</w:t>
            </w:r>
          </w:p>
        </w:tc>
      </w:tr>
      <w:tr w:rsidR="00D740B8" w:rsidRPr="000B62DC"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0B62DC" w:rsidRDefault="00D740B8">
            <w:pPr>
              <w:spacing w:before="60" w:after="120"/>
              <w:jc w:val="both"/>
              <w:rPr>
                <w:rFonts w:ascii="Times New Roman" w:eastAsia="Times New Roman" w:hAnsi="Times New Roman" w:cs="Times New Roman"/>
                <w:b/>
                <w:sz w:val="24"/>
              </w:rPr>
            </w:pPr>
            <w:r w:rsidRPr="000B62DC">
              <w:rPr>
                <w:rFonts w:ascii="Times New Roman" w:hAnsi="Times New Roman"/>
                <w:b/>
                <w:sz w:val="24"/>
              </w:rPr>
              <w:t>Charges d’intérêts et frais liés aux contrats de location</w:t>
            </w:r>
          </w:p>
          <w:p w14:paraId="65B73157" w14:textId="72BA8427" w:rsidR="00EC1398" w:rsidRPr="000B62DC" w:rsidRDefault="00D740B8">
            <w:pPr>
              <w:rPr>
                <w:rFonts w:ascii="Times New Roman" w:eastAsia="Times New Roman" w:hAnsi="Times New Roman" w:cs="Times New Roman"/>
                <w:sz w:val="24"/>
              </w:rPr>
            </w:pPr>
            <w:r w:rsidRPr="000B62DC">
              <w:rPr>
                <w:rFonts w:ascii="Times New Roman" w:hAnsi="Times New Roman"/>
                <w:sz w:val="24"/>
              </w:rPr>
              <w:t>La somme des charges d’intérêts de tous les passifs financiers, des charges découlant des actifs donnés en location et des amortissements, des dépréciations et des pertes des actifs donnés en location, tels que visés à l’annexe V des solutions informatiques de l’ABE.</w:t>
            </w:r>
          </w:p>
          <w:p w14:paraId="06CEDDA9" w14:textId="77777777" w:rsidR="00BA33C3" w:rsidRPr="000B62DC" w:rsidRDefault="00BA33C3">
            <w:pPr>
              <w:rPr>
                <w:rFonts w:ascii="Times New Roman" w:eastAsia="Times New Roman" w:hAnsi="Times New Roman" w:cs="Times New Roman"/>
                <w:sz w:val="24"/>
              </w:rPr>
            </w:pPr>
          </w:p>
          <w:p w14:paraId="3ACFF991" w14:textId="1BCDC8C4" w:rsidR="00BA33C3" w:rsidRPr="000B62DC" w:rsidRDefault="00BA33C3">
            <w:pPr>
              <w:rPr>
                <w:rFonts w:ascii="Times New Roman" w:eastAsia="Times New Roman" w:hAnsi="Times New Roman" w:cs="Times New Roman"/>
                <w:sz w:val="24"/>
              </w:rPr>
            </w:pPr>
            <w:r w:rsidRPr="000B62DC">
              <w:rPr>
                <w:rFonts w:ascii="Times New Roman" w:hAnsi="Times New Roman"/>
                <w:sz w:val="24"/>
              </w:rPr>
              <w:t>Les charges d’intérêts de tous les passifs financiers sont calculées conformément à l’annexe V, partie 2, paragraphe 31, des solutions informatiques de l’ABE et conformément aux spécifications supplémentaires de l’annexe V, partie 2, paragraphes 188, 190 et 194 ii, des solutions informatiques de l’ABE. Les charges d’intérêts qui sont dues à des événements de risque opérationnel ne sont pas incluses. Elles doivent plutôt être incluses dans la composante services, conformément à l’article 314, paragraphe 5, du règlement (UE) nº 575/2013.</w:t>
            </w:r>
          </w:p>
          <w:p w14:paraId="2D079DF5" w14:textId="77777777" w:rsidR="003D0A4B" w:rsidRPr="000B62DC" w:rsidRDefault="003D0A4B">
            <w:pPr>
              <w:rPr>
                <w:rFonts w:ascii="Times New Roman" w:eastAsia="Times New Roman" w:hAnsi="Times New Roman" w:cs="Times New Roman"/>
                <w:sz w:val="24"/>
              </w:rPr>
            </w:pPr>
          </w:p>
          <w:p w14:paraId="08A94531" w14:textId="1EA15404" w:rsidR="003D0A4B" w:rsidRPr="000B62DC" w:rsidRDefault="003D0A4B" w:rsidP="00D136A0">
            <w:pPr>
              <w:rPr>
                <w:rFonts w:ascii="Times New Roman" w:eastAsia="Times New Roman" w:hAnsi="Times New Roman" w:cs="Times New Roman"/>
                <w:sz w:val="24"/>
              </w:rPr>
            </w:pPr>
            <w:r w:rsidRPr="000B62DC">
              <w:rPr>
                <w:rFonts w:ascii="Times New Roman" w:hAnsi="Times New Roman"/>
                <w:sz w:val="24"/>
              </w:rPr>
              <w:t xml:space="preserve">Les frais liés aux actifs donnés en location (location simple) comprennent les dépenses conformément à l’annexe V, partie 2, paragraphes 314 et 315, des solutions informatiques de l’ABE relatives aux contrats de location simple, et représentent: i) les charges provenant des variations de la juste valeur d’immeubles de placement qui génèrent des loyers et sont mesurés selon le modèle de la juste valeur à partir des actifs donnés en location simple; et </w:t>
            </w:r>
            <w:r w:rsidRPr="000B62DC">
              <w:rPr>
                <w:rFonts w:ascii="Times New Roman" w:hAnsi="Times New Roman"/>
                <w:sz w:val="24"/>
              </w:rPr>
              <w:lastRenderedPageBreak/>
              <w:t>ii) les charges provenant de contrats de location simple, y compris les charges d’exploitation directes provenant d’immeubles de placement qui génèrent des loyers. En outre, les établissements devraient également inclure ici les autres charges administratives liées à des actifs en location simple conformément à l’annexe V, partie 2, paragraphe 208 ix, des solutions informatiques de l’ABE. Les charges qui sont dues à des événements de risque opérationnel ne sont pas incluses. Elles doivent plutôt être incluses dans la composante services, conformément à l’article 314, paragraphe 5, du règlement (UE) nº 575/2013.</w:t>
            </w:r>
          </w:p>
          <w:p w14:paraId="61020FEC" w14:textId="77777777" w:rsidR="00376B14" w:rsidRPr="000B62DC" w:rsidRDefault="00376B14">
            <w:pPr>
              <w:rPr>
                <w:rFonts w:ascii="Times New Roman" w:eastAsia="Times New Roman" w:hAnsi="Times New Roman" w:cs="Times New Roman"/>
                <w:sz w:val="24"/>
              </w:rPr>
            </w:pPr>
          </w:p>
          <w:p w14:paraId="5D976FDD" w14:textId="0FB08478" w:rsidR="00376B14" w:rsidRPr="000B62DC" w:rsidRDefault="00376B14">
            <w:pPr>
              <w:rPr>
                <w:rFonts w:ascii="Times New Roman" w:eastAsia="Times New Roman" w:hAnsi="Times New Roman" w:cs="Times New Roman"/>
                <w:sz w:val="24"/>
              </w:rPr>
            </w:pPr>
            <w:r w:rsidRPr="000B62DC">
              <w:rPr>
                <w:rFonts w:ascii="Times New Roman" w:hAnsi="Times New Roman"/>
                <w:sz w:val="24"/>
              </w:rPr>
              <w:t>L’amortissement des actifs donnés en location correspond aux charges d’amortissement telles que déclarées conformément aux normes comptables internationales (IAS) 1, paragraphes 102 et 104, mais uniquement celles afférentes à des actifs en location simple dont les produits ou charges sont inclus dans le calcul des produits/charges d’intérêts.</w:t>
            </w:r>
          </w:p>
          <w:p w14:paraId="5D82FC67" w14:textId="77777777" w:rsidR="00DA24A2" w:rsidRPr="000B62DC" w:rsidRDefault="00DA24A2">
            <w:pPr>
              <w:rPr>
                <w:rFonts w:ascii="Times New Roman" w:eastAsia="Times New Roman" w:hAnsi="Times New Roman" w:cs="Times New Roman"/>
                <w:sz w:val="24"/>
              </w:rPr>
            </w:pPr>
          </w:p>
          <w:p w14:paraId="1D89DE9C" w14:textId="6D7B59E2" w:rsidR="00DA24A2" w:rsidRPr="000B62DC" w:rsidRDefault="00DA24A2">
            <w:pPr>
              <w:rPr>
                <w:rFonts w:ascii="Times New Roman" w:eastAsia="Times New Roman" w:hAnsi="Times New Roman" w:cs="Times New Roman"/>
                <w:sz w:val="24"/>
              </w:rPr>
            </w:pPr>
            <w:r w:rsidRPr="000B62DC">
              <w:rPr>
                <w:rFonts w:ascii="Times New Roman" w:hAnsi="Times New Roman"/>
                <w:sz w:val="24"/>
              </w:rPr>
              <w:t>La dépréciation des actifs donnés en location correspond aux charges résultant des actifs en location simple qui représentent la dépréciation ou la reprise de dépréciation, conformément à la norme IAS 36, paragraphe 126, point a), alinéa b).</w:t>
            </w:r>
          </w:p>
          <w:p w14:paraId="11B36ACB" w14:textId="77777777" w:rsidR="00DA24A2" w:rsidRPr="000B62DC" w:rsidRDefault="00DA24A2">
            <w:pPr>
              <w:rPr>
                <w:rFonts w:ascii="Times New Roman" w:eastAsia="Times New Roman" w:hAnsi="Times New Roman" w:cs="Times New Roman"/>
                <w:sz w:val="24"/>
              </w:rPr>
            </w:pPr>
          </w:p>
          <w:p w14:paraId="0FA351B6" w14:textId="470A5833" w:rsidR="00D740B8" w:rsidRPr="000B62DC" w:rsidRDefault="00DA24A2" w:rsidP="004F34D4">
            <w:pPr>
              <w:rPr>
                <w:rFonts w:ascii="Times New Roman" w:hAnsi="Times New Roman"/>
                <w:sz w:val="24"/>
              </w:rPr>
            </w:pPr>
            <w:r w:rsidRPr="000B62DC">
              <w:rPr>
                <w:rFonts w:ascii="Times New Roman" w:hAnsi="Times New Roman"/>
                <w:sz w:val="24"/>
              </w:rPr>
              <w:t>Les pertes des actifs donnés en location correspondent au reste des autres charges d’exploitation (autres charges d’exploitation) conformément à l’annexe V, partie 2, section 29.3, paragraphe 316, des solutions informatiques de l’ABE, si elles sont liées à des actifs en location simple. Les pertes qui sont dues à des événements de risque opérationnel ne sont pas incluses. Elles doivent plutôt être incluses dans la composante services, conformément à l’article 314, paragraphe 5, du règlement (UE) nº 575/2013.</w:t>
            </w:r>
          </w:p>
        </w:tc>
      </w:tr>
      <w:tr w:rsidR="00D740B8" w:rsidRPr="000B62DC"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lastRenderedPageBreak/>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0B62DC" w:rsidRDefault="00B76736">
            <w:pPr>
              <w:spacing w:before="60" w:after="120"/>
              <w:jc w:val="both"/>
              <w:rPr>
                <w:rStyle w:val="InstructionsTabelleberschrift"/>
                <w:rFonts w:ascii="Times New Roman" w:eastAsia="Times New Roman" w:hAnsi="Times New Roman"/>
                <w:sz w:val="24"/>
                <w:u w:val="none"/>
              </w:rPr>
            </w:pPr>
            <w:r w:rsidRPr="000B62DC">
              <w:rPr>
                <w:rStyle w:val="InstructionsTabelleberschrift"/>
                <w:rFonts w:ascii="Times New Roman" w:hAnsi="Times New Roman"/>
                <w:sz w:val="24"/>
                <w:u w:val="none"/>
              </w:rPr>
              <w:t>Total des actifs/de la composante actifs</w:t>
            </w:r>
          </w:p>
          <w:p w14:paraId="15501679" w14:textId="3EB04379" w:rsidR="00D740B8" w:rsidRPr="000B62DC" w:rsidRDefault="00B76736">
            <w:pPr>
              <w:spacing w:before="60" w:after="120"/>
              <w:jc w:val="both"/>
              <w:rPr>
                <w:rFonts w:ascii="Times New Roman" w:eastAsia="Times New Roman" w:hAnsi="Times New Roman" w:cs="Times New Roman"/>
                <w:sz w:val="24"/>
              </w:rPr>
            </w:pPr>
            <w:r w:rsidRPr="000B62DC">
              <w:rPr>
                <w:rFonts w:ascii="Times New Roman" w:hAnsi="Times New Roman"/>
                <w:sz w:val="24"/>
              </w:rPr>
              <w:t xml:space="preserve">Dans la colonne d), </w:t>
            </w:r>
            <w:proofErr w:type="gramStart"/>
            <w:r w:rsidRPr="000B62DC">
              <w:rPr>
                <w:rFonts w:ascii="Times New Roman" w:hAnsi="Times New Roman"/>
                <w:sz w:val="24"/>
              </w:rPr>
              <w:t>la composante actifs</w:t>
            </w:r>
            <w:proofErr w:type="gramEnd"/>
            <w:r w:rsidRPr="000B62DC">
              <w:rPr>
                <w:rFonts w:ascii="Times New Roman" w:hAnsi="Times New Roman"/>
                <w:sz w:val="24"/>
              </w:rPr>
              <w:t xml:space="preserve"> calculée conformément à l’article 314, paragraphe 2, du règlement (UE) nº 575/2013.</w:t>
            </w:r>
          </w:p>
          <w:p w14:paraId="65FF56C9" w14:textId="24401D0D" w:rsidR="004E3E86" w:rsidRPr="000B62DC" w:rsidRDefault="003E3201" w:rsidP="00373F9D">
            <w:pPr>
              <w:rPr>
                <w:rFonts w:ascii="Times New Roman" w:hAnsi="Times New Roman"/>
                <w:sz w:val="24"/>
              </w:rPr>
            </w:pPr>
            <w:r w:rsidRPr="000B62DC">
              <w:rPr>
                <w:rFonts w:ascii="Times New Roman" w:hAnsi="Times New Roman"/>
                <w:sz w:val="24"/>
              </w:rPr>
              <w:t>Dans les autres colonnes, le total des actifs correspond à la somme de la valeur comptable brute des soldes de trésorerie auprès des banques centrales et des autres dépôts à vue, titres de créance, prêts et avances, ainsi que de la valeur comptable des dérivés (couvertures commerciales et économiques et comptabilité de couverture) et des actifs faisant l’objet de contrats de location (actifs corporels et incorporels). Ces éléments font référence à l’annexe V des solutions informatiques de l’ABE.</w:t>
            </w:r>
          </w:p>
          <w:p w14:paraId="2655EEC4" w14:textId="6116BB66" w:rsidR="00BC1F18" w:rsidRPr="000B62DC" w:rsidRDefault="00BC1F18" w:rsidP="00BC1F18">
            <w:pPr>
              <w:rPr>
                <w:rFonts w:ascii="Times New Roman" w:hAnsi="Times New Roman"/>
                <w:sz w:val="24"/>
              </w:rPr>
            </w:pPr>
          </w:p>
        </w:tc>
      </w:tr>
      <w:tr w:rsidR="00D740B8" w:rsidRPr="000B62DC"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0B62DC" w:rsidRDefault="00B76736">
            <w:pPr>
              <w:spacing w:before="60" w:after="120"/>
              <w:jc w:val="both"/>
              <w:rPr>
                <w:rStyle w:val="InstructionsTabelleberschrift"/>
                <w:rFonts w:ascii="Times New Roman" w:eastAsia="Times New Roman" w:hAnsi="Times New Roman"/>
                <w:bCs w:val="0"/>
                <w:sz w:val="24"/>
                <w:u w:val="none"/>
              </w:rPr>
            </w:pPr>
            <w:r w:rsidRPr="000B62DC">
              <w:rPr>
                <w:rStyle w:val="InstructionsTabelleberschrift"/>
                <w:rFonts w:ascii="Times New Roman" w:hAnsi="Times New Roman"/>
                <w:sz w:val="24"/>
                <w:u w:val="none"/>
              </w:rPr>
              <w:t>Produits de dividendes/composante dividendes</w:t>
            </w:r>
          </w:p>
          <w:p w14:paraId="1A066B7B" w14:textId="4AA7538A" w:rsidR="00D740B8" w:rsidRPr="000B62DC" w:rsidRDefault="00B76736" w:rsidP="004E3E86">
            <w:pPr>
              <w:spacing w:before="60" w:after="120"/>
              <w:jc w:val="both"/>
              <w:rPr>
                <w:rFonts w:ascii="Times New Roman" w:eastAsia="Times New Roman" w:hAnsi="Times New Roman" w:cs="Times New Roman"/>
                <w:sz w:val="24"/>
              </w:rPr>
            </w:pPr>
            <w:r w:rsidRPr="000B62DC">
              <w:rPr>
                <w:rFonts w:ascii="Times New Roman" w:hAnsi="Times New Roman"/>
                <w:sz w:val="24"/>
              </w:rPr>
              <w:t xml:space="preserve">Dans la colonne d), la composante </w:t>
            </w:r>
            <w:proofErr w:type="gramStart"/>
            <w:r w:rsidRPr="000B62DC">
              <w:rPr>
                <w:rFonts w:ascii="Times New Roman" w:hAnsi="Times New Roman"/>
                <w:sz w:val="24"/>
              </w:rPr>
              <w:t>dividendes calculée</w:t>
            </w:r>
            <w:proofErr w:type="gramEnd"/>
            <w:r w:rsidRPr="000B62DC">
              <w:rPr>
                <w:rFonts w:ascii="Times New Roman" w:hAnsi="Times New Roman"/>
                <w:sz w:val="24"/>
              </w:rPr>
              <w:t xml:space="preserve"> conformément à l’article 314, paragraphe 2, du règlement (UE) nº 575/2013.</w:t>
            </w:r>
          </w:p>
          <w:p w14:paraId="3F4B342E" w14:textId="23DB8876" w:rsidR="004E3E86" w:rsidRPr="000B62DC" w:rsidRDefault="004E3E86" w:rsidP="004E3E86">
            <w:pPr>
              <w:rPr>
                <w:rFonts w:ascii="Times New Roman" w:hAnsi="Times New Roman"/>
                <w:sz w:val="24"/>
              </w:rPr>
            </w:pPr>
            <w:r w:rsidRPr="000B62DC">
              <w:rPr>
                <w:rFonts w:ascii="Times New Roman" w:hAnsi="Times New Roman"/>
                <w:sz w:val="24"/>
              </w:rPr>
              <w:t>Les établissements déclarent les produits de dividendes conformément à l’annexe V, partie 2, paragraphes 40 à 42, des solutions informatiques de l’ABE.</w:t>
            </w:r>
          </w:p>
        </w:tc>
      </w:tr>
      <w:tr w:rsidR="003826D3" w:rsidRPr="000B62DC"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0B62DC" w:rsidRDefault="003826D3" w:rsidP="003826D3">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0B62DC" w:rsidRDefault="003826D3" w:rsidP="003826D3">
            <w:pPr>
              <w:spacing w:before="60" w:after="120"/>
              <w:jc w:val="both"/>
              <w:rPr>
                <w:rFonts w:ascii="Times New Roman" w:eastAsia="Times New Roman" w:hAnsi="Times New Roman" w:cs="Times New Roman"/>
                <w:b/>
                <w:sz w:val="24"/>
              </w:rPr>
            </w:pPr>
            <w:r w:rsidRPr="000B62DC">
              <w:rPr>
                <w:rFonts w:ascii="Times New Roman" w:hAnsi="Times New Roman"/>
                <w:b/>
                <w:sz w:val="24"/>
              </w:rPr>
              <w:t>Composante services (SC)</w:t>
            </w:r>
          </w:p>
          <w:p w14:paraId="2D48B659" w14:textId="0264DFE4" w:rsidR="00080F37" w:rsidRPr="000B62DC" w:rsidRDefault="005E7C4C" w:rsidP="003826D3">
            <w:pPr>
              <w:spacing w:before="60" w:after="120"/>
              <w:jc w:val="both"/>
              <w:rPr>
                <w:rFonts w:ascii="Times New Roman" w:eastAsia="Times New Roman" w:hAnsi="Times New Roman" w:cs="Times New Roman"/>
                <w:sz w:val="24"/>
              </w:rPr>
            </w:pPr>
            <w:r w:rsidRPr="000B62DC">
              <w:rPr>
                <w:rFonts w:ascii="Times New Roman" w:hAnsi="Times New Roman"/>
                <w:sz w:val="24"/>
              </w:rPr>
              <w:t>La composante services (SC) calculée conformément à l’article 314, paragraphe 5, du règlement (UE) nº 575/2013.</w:t>
            </w:r>
          </w:p>
          <w:p w14:paraId="2EFCFDAF" w14:textId="3F07E77F" w:rsidR="003826D3" w:rsidRPr="000B62DC" w:rsidRDefault="0094124B" w:rsidP="003826D3">
            <w:pPr>
              <w:spacing w:before="60" w:after="120"/>
              <w:jc w:val="both"/>
              <w:rPr>
                <w:rStyle w:val="InstructionsTabelleberschrift"/>
                <w:rFonts w:ascii="Times New Roman" w:eastAsia="Times New Roman" w:hAnsi="Times New Roman"/>
                <w:bCs w:val="0"/>
                <w:sz w:val="24"/>
              </w:rPr>
            </w:pPr>
            <w:r w:rsidRPr="000B62DC">
              <w:rPr>
                <w:rFonts w:ascii="Times New Roman" w:hAnsi="Times New Roman"/>
                <w:sz w:val="24"/>
              </w:rPr>
              <w:lastRenderedPageBreak/>
              <w:t xml:space="preserve">Lorsqu’un établissement fait l’objet de la dérogation visée à l’article 314, paragraphe 4, du règlement (UE) nº 575/2013, il n’inclut aucun chiffre provenant des lignes d’activité de banque de détail et de banque commerciale. </w:t>
            </w:r>
          </w:p>
        </w:tc>
      </w:tr>
      <w:tr w:rsidR="003826D3" w:rsidRPr="000B62DC"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0B62DC" w:rsidRDefault="003826D3" w:rsidP="003826D3">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lastRenderedPageBreak/>
              <w:t>2a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0B62DC" w:rsidRDefault="003826D3" w:rsidP="003826D3">
            <w:pPr>
              <w:spacing w:before="60" w:after="120"/>
              <w:jc w:val="both"/>
              <w:rPr>
                <w:rFonts w:ascii="Times New Roman" w:eastAsia="Times New Roman" w:hAnsi="Times New Roman" w:cs="Times New Roman"/>
                <w:b/>
                <w:sz w:val="24"/>
              </w:rPr>
            </w:pPr>
            <w:r w:rsidRPr="000B62DC">
              <w:rPr>
                <w:rFonts w:ascii="Times New Roman" w:hAnsi="Times New Roman"/>
                <w:b/>
                <w:sz w:val="24"/>
              </w:rPr>
              <w:t>Produits d’honoraires et de commissions</w:t>
            </w:r>
          </w:p>
          <w:p w14:paraId="1394D6AF" w14:textId="06AD3617" w:rsidR="003826D3" w:rsidRPr="000B62DC" w:rsidRDefault="009816D6" w:rsidP="003826D3">
            <w:pPr>
              <w:spacing w:before="60" w:after="120"/>
              <w:jc w:val="both"/>
              <w:rPr>
                <w:rFonts w:ascii="Times New Roman" w:eastAsia="Times New Roman" w:hAnsi="Times New Roman" w:cs="Times New Roman"/>
                <w:sz w:val="24"/>
              </w:rPr>
            </w:pPr>
            <w:r w:rsidRPr="000B62DC">
              <w:rPr>
                <w:rFonts w:ascii="Times New Roman" w:hAnsi="Times New Roman"/>
                <w:sz w:val="24"/>
              </w:rPr>
              <w:t>Produits d’honoraires et de commissions visés à l’annexe V, partie 2, paragraphes 281 à 284, des solutions informatiques de l’ABE et calculés conformément à l’article 314, paragraphe 5, du règlement (UE) nº 575/2013.</w:t>
            </w:r>
          </w:p>
          <w:p w14:paraId="0EA5E8EE" w14:textId="07382D3A" w:rsidR="008D318E" w:rsidRPr="000B62DC" w:rsidRDefault="008D318E" w:rsidP="003826D3">
            <w:pPr>
              <w:spacing w:before="60" w:after="120"/>
              <w:jc w:val="both"/>
              <w:rPr>
                <w:rFonts w:ascii="Times New Roman" w:eastAsia="Times New Roman" w:hAnsi="Times New Roman" w:cs="Times New Roman"/>
                <w:sz w:val="24"/>
              </w:rPr>
            </w:pPr>
            <w:r w:rsidRPr="000B62DC">
              <w:rPr>
                <w:rFonts w:ascii="Times New Roman" w:hAnsi="Times New Roman"/>
                <w:sz w:val="24"/>
              </w:rPr>
              <w:t>Les revenus provenant d’activités auxiliaires, telles que les activités informatiques nécessaires à l’exécution d’un service financier, devraient également être inclus dans ce poste, conformément à l’article 7 des normes techniques de réglementation à élaborer en vertu de l’article 314, paragraphe 9, du règlement (UE) nº 575/2013.</w:t>
            </w:r>
          </w:p>
          <w:p w14:paraId="388F841F" w14:textId="1B0267DB" w:rsidR="00D91B18" w:rsidRPr="000B62DC" w:rsidRDefault="007D3710" w:rsidP="003826D3">
            <w:pPr>
              <w:spacing w:before="60" w:after="120"/>
              <w:jc w:val="both"/>
              <w:rPr>
                <w:rStyle w:val="InstructionsTabelleberschrift"/>
                <w:rFonts w:ascii="Times New Roman" w:eastAsia="Times New Roman" w:hAnsi="Times New Roman"/>
                <w:b w:val="0"/>
                <w:bCs w:val="0"/>
                <w:sz w:val="24"/>
                <w:u w:val="none"/>
              </w:rPr>
            </w:pPr>
            <w:r w:rsidRPr="000B62DC">
              <w:rPr>
                <w:rStyle w:val="InstructionsTabelleberschrift"/>
                <w:rFonts w:ascii="Times New Roman" w:hAnsi="Times New Roman"/>
                <w:b w:val="0"/>
                <w:sz w:val="24"/>
                <w:u w:val="none"/>
              </w:rPr>
              <w:t>La partie des produits d’honoraires et de commissions reçue d’établissements qui sont membres du même système de protection institutionnel, conformément à l’article 314, paragraphe 5, du règlement (UE) nº 575/2013, est exclue.</w:t>
            </w:r>
          </w:p>
        </w:tc>
      </w:tr>
      <w:tr w:rsidR="003826D3" w:rsidRPr="000B62DC"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0B62DC" w:rsidRDefault="003826D3" w:rsidP="003826D3">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2b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0B62DC" w:rsidRDefault="003826D3" w:rsidP="003826D3">
            <w:pPr>
              <w:spacing w:before="60" w:after="120"/>
              <w:jc w:val="both"/>
              <w:rPr>
                <w:rFonts w:ascii="Times New Roman" w:eastAsia="Times New Roman" w:hAnsi="Times New Roman" w:cs="Times New Roman"/>
                <w:b/>
                <w:sz w:val="24"/>
              </w:rPr>
            </w:pPr>
            <w:r w:rsidRPr="000B62DC">
              <w:rPr>
                <w:rFonts w:ascii="Times New Roman" w:hAnsi="Times New Roman"/>
                <w:b/>
                <w:sz w:val="24"/>
              </w:rPr>
              <w:t>Charges d’honoraires et de commissions</w:t>
            </w:r>
          </w:p>
          <w:p w14:paraId="241530E4" w14:textId="72E685E0" w:rsidR="003826D3" w:rsidRPr="000B62DC" w:rsidRDefault="009816D6" w:rsidP="003826D3">
            <w:pPr>
              <w:spacing w:before="60" w:after="120"/>
              <w:jc w:val="both"/>
              <w:rPr>
                <w:rFonts w:ascii="Times New Roman" w:eastAsia="Times New Roman" w:hAnsi="Times New Roman" w:cs="Times New Roman"/>
                <w:sz w:val="24"/>
              </w:rPr>
            </w:pPr>
            <w:r w:rsidRPr="000B62DC">
              <w:rPr>
                <w:rFonts w:ascii="Times New Roman" w:hAnsi="Times New Roman"/>
                <w:sz w:val="24"/>
              </w:rPr>
              <w:t>Charges d’honoraires et de commissions conformément à l’annexe V, partie 2, paragraphes 281 à 284, des solutions informatiques de l’ABE et calculées conformément à l’article 314, paragraphe 5, du règlement (UE) nº 575/2013.</w:t>
            </w:r>
          </w:p>
          <w:p w14:paraId="03E34B08" w14:textId="2D67624D" w:rsidR="00126683" w:rsidRPr="000B62DC" w:rsidRDefault="00126683" w:rsidP="003826D3">
            <w:pPr>
              <w:spacing w:before="60" w:after="120"/>
              <w:jc w:val="both"/>
              <w:rPr>
                <w:rFonts w:ascii="Times New Roman" w:eastAsia="Times New Roman" w:hAnsi="Times New Roman" w:cs="Times New Roman"/>
                <w:sz w:val="24"/>
              </w:rPr>
            </w:pPr>
            <w:r w:rsidRPr="000B62DC">
              <w:rPr>
                <w:rFonts w:ascii="Times New Roman" w:hAnsi="Times New Roman"/>
                <w:sz w:val="24"/>
              </w:rPr>
              <w:t>Les frais de sous-traitance payés en échange de services financiers, représentés par la liste des activités figurant à l’article 8 des normes techniques de réglementation à élaborer en vertu de l’article 314, paragraphe 9, du règlement (UE) nº 575/2013, s’ils sont inclus dans le référentiel comptable appliqué au titre des charges administratives, conformément à l’article 16 desdites normes, doivent être déclarés dans cette ligne. Les charges résultant d’activités auxiliaires, telles que les activités informatiques nécessaires à l’exécution d’un service financier, doivent également être incluses dans ce poste.</w:t>
            </w:r>
          </w:p>
          <w:p w14:paraId="37B7C759" w14:textId="401F429B" w:rsidR="00A87543" w:rsidRPr="000B62DC" w:rsidRDefault="00A87543" w:rsidP="003826D3">
            <w:pPr>
              <w:spacing w:before="60" w:after="120"/>
              <w:jc w:val="both"/>
              <w:rPr>
                <w:rStyle w:val="InstructionsTabelleberschrift"/>
                <w:rFonts w:ascii="Times New Roman" w:eastAsia="Times New Roman" w:hAnsi="Times New Roman"/>
                <w:b w:val="0"/>
                <w:sz w:val="24"/>
              </w:rPr>
            </w:pPr>
            <w:r w:rsidRPr="000B62DC">
              <w:rPr>
                <w:rFonts w:ascii="Times New Roman" w:hAnsi="Times New Roman"/>
                <w:sz w:val="24"/>
              </w:rPr>
              <w:t>La partie des charges d’honoraires et de commissions versée aux établissements qui sont membres du même système de protection institutionnel, conformément à l’article 314, paragraphe 5, du règlement (UE) nº 575/2013, est exclue.</w:t>
            </w:r>
          </w:p>
        </w:tc>
      </w:tr>
      <w:tr w:rsidR="003826D3" w:rsidRPr="000B62DC"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0B62DC" w:rsidRDefault="003826D3" w:rsidP="003826D3">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0B62DC" w:rsidRDefault="003826D3" w:rsidP="003826D3">
            <w:pPr>
              <w:spacing w:before="60" w:after="120"/>
              <w:jc w:val="both"/>
              <w:rPr>
                <w:rStyle w:val="InstructionsTabelleberschrift"/>
                <w:rFonts w:ascii="Times New Roman" w:eastAsia="Times New Roman" w:hAnsi="Times New Roman"/>
                <w:sz w:val="24"/>
                <w:u w:val="none"/>
              </w:rPr>
            </w:pPr>
            <w:r w:rsidRPr="000B62DC">
              <w:rPr>
                <w:rStyle w:val="InstructionsTabelleberschrift"/>
                <w:rFonts w:ascii="Times New Roman" w:hAnsi="Times New Roman"/>
                <w:sz w:val="24"/>
                <w:u w:val="none"/>
              </w:rPr>
              <w:t>Autres produits d’exploitation</w:t>
            </w:r>
          </w:p>
          <w:p w14:paraId="035A399D" w14:textId="7232F3EB" w:rsidR="00671F1C" w:rsidRPr="000B62DC" w:rsidRDefault="009816D6" w:rsidP="003826D3">
            <w:pPr>
              <w:spacing w:before="60" w:after="120"/>
              <w:jc w:val="both"/>
              <w:rPr>
                <w:rFonts w:ascii="Times New Roman" w:eastAsia="Times New Roman" w:hAnsi="Times New Roman" w:cs="Times New Roman"/>
                <w:sz w:val="24"/>
              </w:rPr>
            </w:pPr>
            <w:r w:rsidRPr="000B62DC">
              <w:rPr>
                <w:rFonts w:ascii="Times New Roman" w:hAnsi="Times New Roman"/>
                <w:sz w:val="24"/>
              </w:rPr>
              <w:t>Autres produits d’exploitation, y compris: gains provenant d’actifs non courants et de groupes destinés à être cédés classés comme détenus en vue de la vente ne remplissant pas les conditions requises pour être considérés comme des activités abandonnées (en cas de pertes, les valeurs sont traitées comme nulles), conformément à l’annexe V, partie 2, paragraphe 55, des solutions informatiques de l’ABE, et autres produits d’exploitation visés à l’annexe V, partie 2, paragraphes 314 et 316, des solutions informatiques de l’ABE, mais à l’exclusion des produits des contrats de location simple et de tout élément déterminé en vertu de l’article 314, paragraphe 7, du règlement (UE) 2021/451.</w:t>
            </w:r>
          </w:p>
          <w:p w14:paraId="39451B35" w14:textId="17278A47" w:rsidR="00A471E8" w:rsidRPr="000B62DC" w:rsidRDefault="007863F3" w:rsidP="003826D3">
            <w:pPr>
              <w:spacing w:before="60" w:after="120"/>
              <w:jc w:val="both"/>
              <w:rPr>
                <w:rFonts w:ascii="Times New Roman" w:eastAsia="Times New Roman" w:hAnsi="Times New Roman" w:cs="Times New Roman"/>
                <w:sz w:val="24"/>
              </w:rPr>
            </w:pPr>
            <w:r w:rsidRPr="000B62DC">
              <w:rPr>
                <w:rFonts w:ascii="Times New Roman" w:hAnsi="Times New Roman"/>
                <w:sz w:val="24"/>
              </w:rPr>
              <w:t>Le recouvrement des charges administratives ne devrait pas être envisagé conformément à l’article 5 des normes techniques de réglementation sur les composantes de l’indicateur d’activité à élaborer en vertu de l’article 314, paragraphe 9, du règlement (UE) nº 575/2013.</w:t>
            </w:r>
          </w:p>
          <w:p w14:paraId="0B35E56E" w14:textId="27C4774F" w:rsidR="00695D35" w:rsidRPr="000B62DC" w:rsidRDefault="00695D35" w:rsidP="003826D3">
            <w:pPr>
              <w:spacing w:before="60" w:after="120"/>
              <w:jc w:val="both"/>
              <w:rPr>
                <w:rFonts w:ascii="Times New Roman" w:eastAsia="Times New Roman" w:hAnsi="Times New Roman" w:cs="Times New Roman"/>
                <w:sz w:val="24"/>
              </w:rPr>
            </w:pPr>
            <w:r w:rsidRPr="000B62DC">
              <w:rPr>
                <w:rFonts w:ascii="Times New Roman" w:hAnsi="Times New Roman"/>
                <w:sz w:val="24"/>
              </w:rPr>
              <w:lastRenderedPageBreak/>
              <w:t>Le montant des autres produits d’exploitation reçus d’établissements qui sont membres du même système de protection institutionnel, conformément à l’article 314, paragraphe 5, du règlement (UE) nº 575/2013, est exclu.</w:t>
            </w:r>
          </w:p>
          <w:p w14:paraId="685D1BC1" w14:textId="04DD0137" w:rsidR="00695D35" w:rsidRPr="000B62DC" w:rsidRDefault="00695D35" w:rsidP="003826D3">
            <w:pPr>
              <w:spacing w:before="60" w:after="120"/>
              <w:jc w:val="both"/>
              <w:rPr>
                <w:rStyle w:val="InstructionsTabelleberschrift"/>
                <w:rFonts w:ascii="Times New Roman" w:eastAsia="Times New Roman" w:hAnsi="Times New Roman"/>
                <w:b w:val="0"/>
                <w:bCs w:val="0"/>
                <w:sz w:val="24"/>
                <w:u w:val="none"/>
              </w:rPr>
            </w:pPr>
            <w:r w:rsidRPr="000B62DC">
              <w:rPr>
                <w:rFonts w:ascii="Times New Roman" w:hAnsi="Times New Roman"/>
                <w:sz w:val="24"/>
              </w:rPr>
              <w:t>Le montant de cette ligne est calculé conformément à l’article 314, paragraphe 5, du règlement (UE) nº 575/2013.</w:t>
            </w:r>
          </w:p>
        </w:tc>
      </w:tr>
      <w:tr w:rsidR="003826D3" w:rsidRPr="000B62DC"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0B62DC" w:rsidRDefault="003826D3" w:rsidP="003826D3">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lastRenderedPageBreak/>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0B62DC" w:rsidRDefault="003826D3" w:rsidP="003826D3">
            <w:pPr>
              <w:spacing w:before="60" w:after="120"/>
              <w:jc w:val="both"/>
              <w:rPr>
                <w:rStyle w:val="InstructionsTabelleberschrift"/>
                <w:rFonts w:ascii="Times New Roman" w:eastAsia="Times New Roman" w:hAnsi="Times New Roman"/>
                <w:sz w:val="24"/>
                <w:u w:val="none"/>
              </w:rPr>
            </w:pPr>
            <w:r w:rsidRPr="000B62DC">
              <w:rPr>
                <w:rStyle w:val="InstructionsTabelleberschrift"/>
                <w:rFonts w:ascii="Times New Roman" w:hAnsi="Times New Roman"/>
                <w:sz w:val="24"/>
                <w:u w:val="none"/>
              </w:rPr>
              <w:t>Autres charges d’exploitation</w:t>
            </w:r>
          </w:p>
          <w:p w14:paraId="13FCDFA5" w14:textId="269315A4" w:rsidR="00B722D0" w:rsidRPr="000B62DC" w:rsidRDefault="009816D6" w:rsidP="003826D3">
            <w:pPr>
              <w:spacing w:before="60" w:after="120"/>
              <w:jc w:val="both"/>
              <w:rPr>
                <w:rFonts w:ascii="Times New Roman" w:eastAsia="Times New Roman" w:hAnsi="Times New Roman" w:cs="Times New Roman"/>
                <w:sz w:val="24"/>
              </w:rPr>
            </w:pPr>
            <w:r w:rsidRPr="000B62DC">
              <w:rPr>
                <w:rFonts w:ascii="Times New Roman" w:hAnsi="Times New Roman"/>
                <w:sz w:val="24"/>
              </w:rPr>
              <w:t xml:space="preserve">Autres charges d’exploitation, y </w:t>
            </w:r>
            <w:proofErr w:type="gramStart"/>
            <w:r w:rsidRPr="000B62DC">
              <w:rPr>
                <w:rFonts w:ascii="Times New Roman" w:hAnsi="Times New Roman"/>
                <w:sz w:val="24"/>
              </w:rPr>
              <w:t>compris:</w:t>
            </w:r>
            <w:proofErr w:type="gramEnd"/>
          </w:p>
          <w:p w14:paraId="0E760CEE" w14:textId="74A56BE8" w:rsidR="00643568" w:rsidRPr="000B62DC" w:rsidRDefault="004D0A0E" w:rsidP="002A26E9">
            <w:pPr>
              <w:pStyle w:val="ListParagraph"/>
              <w:numPr>
                <w:ilvl w:val="0"/>
                <w:numId w:val="9"/>
              </w:numPr>
              <w:spacing w:before="60" w:after="120"/>
              <w:jc w:val="both"/>
              <w:rPr>
                <w:rFonts w:ascii="Times New Roman" w:eastAsia="Times New Roman" w:hAnsi="Times New Roman"/>
                <w:sz w:val="24"/>
              </w:rPr>
            </w:pPr>
            <w:r w:rsidRPr="000B62DC">
              <w:rPr>
                <w:rFonts w:ascii="Times New Roman" w:hAnsi="Times New Roman"/>
                <w:sz w:val="24"/>
              </w:rPr>
              <w:t xml:space="preserve">pertes provenant d’actifs non courants et de groupes destinés à être cédés classés comme détenus en vue de la vente ne remplissant pas les conditions requises pour être considérées comme des opérations abandonnées: pertes autres qu’en raison d’événements de risque opérationnel provenant d’actifs non courants et de groupes destinés à être cédés classés comme détenus en vue de la vente ne remplissant pas les conditions requises pour être considérés comme des opérations abandonnées conformément à l’annexe V, partie 2, paragraphe 55, des solutions informatiques de l’ABE. Seules les pertes doivent être </w:t>
            </w:r>
            <w:proofErr w:type="gramStart"/>
            <w:r w:rsidRPr="000B62DC">
              <w:rPr>
                <w:rFonts w:ascii="Times New Roman" w:hAnsi="Times New Roman"/>
                <w:sz w:val="24"/>
              </w:rPr>
              <w:t>déclarées;</w:t>
            </w:r>
            <w:proofErr w:type="gramEnd"/>
            <w:r w:rsidRPr="000B62DC">
              <w:rPr>
                <w:rFonts w:ascii="Times New Roman" w:hAnsi="Times New Roman"/>
                <w:sz w:val="24"/>
              </w:rPr>
              <w:t xml:space="preserve"> en cas de gain, la valeur est considérée comme nulle aux fins de cette ligne;</w:t>
            </w:r>
          </w:p>
          <w:p w14:paraId="0334035E" w14:textId="19D6E763" w:rsidR="00EE7608" w:rsidRPr="000B62DC" w:rsidRDefault="004D0A0E" w:rsidP="00EE7608">
            <w:pPr>
              <w:pStyle w:val="ListParagraph"/>
              <w:numPr>
                <w:ilvl w:val="0"/>
                <w:numId w:val="9"/>
              </w:numPr>
              <w:spacing w:before="60" w:after="120"/>
              <w:jc w:val="both"/>
              <w:rPr>
                <w:rFonts w:ascii="Times New Roman" w:eastAsia="Times New Roman" w:hAnsi="Times New Roman"/>
                <w:sz w:val="24"/>
              </w:rPr>
            </w:pPr>
            <w:proofErr w:type="gramStart"/>
            <w:r w:rsidRPr="000B62DC">
              <w:rPr>
                <w:rFonts w:ascii="Times New Roman" w:hAnsi="Times New Roman"/>
                <w:sz w:val="24"/>
              </w:rPr>
              <w:t>total</w:t>
            </w:r>
            <w:proofErr w:type="gramEnd"/>
            <w:r w:rsidRPr="000B62DC">
              <w:rPr>
                <w:rFonts w:ascii="Times New Roman" w:hAnsi="Times New Roman"/>
                <w:sz w:val="24"/>
              </w:rPr>
              <w:t xml:space="preserve"> des pertes, charges, provisions et autres incidences financières dues à des événements de risque opérationnel: somme de toutes les pertes, charges, provisions et autres incidences financières liées à des événements de risque opérationnel telles que déclarées à la ligne 0080 du modèle C.16.03 inclus à l’annexe I des solutions informatiques de l’ABE;</w:t>
            </w:r>
          </w:p>
          <w:p w14:paraId="2C93E8CD" w14:textId="64776E12" w:rsidR="004D0A0E" w:rsidRPr="000B62DC" w:rsidRDefault="00A37C45" w:rsidP="00EE7608">
            <w:pPr>
              <w:pStyle w:val="ListParagraph"/>
              <w:numPr>
                <w:ilvl w:val="0"/>
                <w:numId w:val="9"/>
              </w:numPr>
              <w:spacing w:before="60" w:after="120"/>
              <w:jc w:val="both"/>
              <w:rPr>
                <w:rFonts w:ascii="Times New Roman" w:eastAsia="Times New Roman" w:hAnsi="Times New Roman"/>
                <w:sz w:val="24"/>
              </w:rPr>
            </w:pPr>
            <w:proofErr w:type="gramStart"/>
            <w:r w:rsidRPr="000B62DC">
              <w:rPr>
                <w:rFonts w:ascii="Times New Roman" w:hAnsi="Times New Roman"/>
                <w:sz w:val="24"/>
              </w:rPr>
              <w:t>autres</w:t>
            </w:r>
            <w:proofErr w:type="gramEnd"/>
            <w:r w:rsidRPr="000B62DC">
              <w:rPr>
                <w:rFonts w:ascii="Times New Roman" w:hAnsi="Times New Roman"/>
                <w:sz w:val="24"/>
              </w:rPr>
              <w:t xml:space="preserve"> charges d’exploitation, autres que celles liées à des événements de risque opérationnel, conformément à l’annexe V, partie 2, paragraphes 314 et 316, des solutions informatiques de l’ABE, représentant:</w:t>
            </w:r>
          </w:p>
          <w:p w14:paraId="01D56412" w14:textId="77777777" w:rsidR="004A5BBA" w:rsidRPr="000B62DC" w:rsidRDefault="004A5BBA" w:rsidP="004A5BBA">
            <w:pPr>
              <w:pStyle w:val="ListParagraph"/>
              <w:numPr>
                <w:ilvl w:val="1"/>
                <w:numId w:val="10"/>
              </w:numPr>
              <w:spacing w:before="60" w:after="120"/>
              <w:jc w:val="both"/>
              <w:rPr>
                <w:rFonts w:ascii="Times New Roman" w:eastAsia="Times New Roman" w:hAnsi="Times New Roman"/>
                <w:sz w:val="24"/>
              </w:rPr>
            </w:pPr>
            <w:proofErr w:type="gramStart"/>
            <w:r w:rsidRPr="000B62DC">
              <w:rPr>
                <w:rFonts w:ascii="Times New Roman" w:hAnsi="Times New Roman"/>
                <w:sz w:val="24"/>
              </w:rPr>
              <w:t>les</w:t>
            </w:r>
            <w:proofErr w:type="gramEnd"/>
            <w:r w:rsidRPr="000B62DC">
              <w:rPr>
                <w:rFonts w:ascii="Times New Roman" w:hAnsi="Times New Roman"/>
                <w:sz w:val="24"/>
              </w:rPr>
              <w:t xml:space="preserve"> charges provenant de variations de la juste valeur d’actifs corporels mesurés selon le modèle de la juste valeur, à l’exception des dépenses provenant de variations de la juste valeur d’immeubles de placement qui génèrent des loyers et sont mesurés selon le modèle de la juste valeur à partir des actifs donnés en location simple;</w:t>
            </w:r>
          </w:p>
          <w:p w14:paraId="726CB5AB" w14:textId="426E3DFA" w:rsidR="004A5BBA" w:rsidRPr="000B62DC"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0B62DC" w:rsidRDefault="004A5BBA" w:rsidP="004A5BBA">
            <w:pPr>
              <w:pStyle w:val="ListParagraph"/>
              <w:numPr>
                <w:ilvl w:val="1"/>
                <w:numId w:val="10"/>
              </w:numPr>
              <w:spacing w:before="60" w:after="120"/>
              <w:jc w:val="both"/>
              <w:rPr>
                <w:rFonts w:ascii="Times New Roman" w:eastAsia="Times New Roman" w:hAnsi="Times New Roman"/>
                <w:sz w:val="24"/>
              </w:rPr>
            </w:pPr>
            <w:proofErr w:type="gramStart"/>
            <w:r w:rsidRPr="000B62DC">
              <w:rPr>
                <w:rFonts w:ascii="Times New Roman" w:hAnsi="Times New Roman"/>
                <w:sz w:val="24"/>
              </w:rPr>
              <w:t>le</w:t>
            </w:r>
            <w:proofErr w:type="gramEnd"/>
            <w:r w:rsidRPr="000B62DC">
              <w:rPr>
                <w:rFonts w:ascii="Times New Roman" w:hAnsi="Times New Roman"/>
                <w:sz w:val="24"/>
              </w:rPr>
              <w:t xml:space="preserve"> reste des autres charges d’exploitation («Autres charges d’exploitation») conformément à l’annexe V, partie 2, paragraphes 314 et 316, des solutions informatiques de l’ABE, si elles ne sont pas liées à des actifs donnés en location.</w:t>
            </w:r>
          </w:p>
          <w:p w14:paraId="6CDC5FBE" w14:textId="54C68FB7" w:rsidR="004A3C86" w:rsidRPr="000B62DC" w:rsidRDefault="004A3C86" w:rsidP="00EE7608">
            <w:pPr>
              <w:spacing w:before="60" w:after="120"/>
              <w:jc w:val="both"/>
              <w:rPr>
                <w:rStyle w:val="InstructionsTabelleberschrift"/>
                <w:rFonts w:ascii="Times New Roman" w:eastAsia="Times New Roman" w:hAnsi="Times New Roman"/>
                <w:b w:val="0"/>
                <w:bCs w:val="0"/>
                <w:sz w:val="24"/>
                <w:u w:val="none"/>
              </w:rPr>
            </w:pPr>
            <w:r w:rsidRPr="000B62DC">
              <w:rPr>
                <w:rStyle w:val="InstructionsTabelleberschrift"/>
                <w:rFonts w:ascii="Times New Roman" w:hAnsi="Times New Roman"/>
                <w:b w:val="0"/>
                <w:sz w:val="24"/>
                <w:u w:val="none"/>
              </w:rPr>
              <w:t>Le montant des autres charges d’exploitation reçues d’établissements qui sont membres du même système de protection institutionnel conformément à l’article 314, paragraphe 5, du règlement (UE) nº 575/2013, est exclu.</w:t>
            </w:r>
          </w:p>
          <w:p w14:paraId="6F1C30F0" w14:textId="3B05E985" w:rsidR="003826D3" w:rsidRPr="000B62DC" w:rsidRDefault="00DE3384" w:rsidP="003826D3">
            <w:pPr>
              <w:spacing w:before="60" w:after="120"/>
              <w:jc w:val="both"/>
              <w:rPr>
                <w:rStyle w:val="InstructionsTabelleberschrift"/>
                <w:rFonts w:ascii="Times New Roman" w:eastAsia="Times New Roman" w:hAnsi="Times New Roman"/>
                <w:sz w:val="24"/>
              </w:rPr>
            </w:pPr>
            <w:r w:rsidRPr="000B62DC">
              <w:rPr>
                <w:rFonts w:ascii="Times New Roman" w:hAnsi="Times New Roman"/>
                <w:sz w:val="24"/>
              </w:rPr>
              <w:t>Le montant de cette ligne est calculé conformément à l’article 314, paragraphe 5, du règlement (UE) nº 575/2013.</w:t>
            </w:r>
          </w:p>
        </w:tc>
      </w:tr>
      <w:tr w:rsidR="003826D3" w:rsidRPr="000B62DC"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0B62DC" w:rsidRDefault="003826D3" w:rsidP="003826D3">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lastRenderedPageBreak/>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0B62DC" w:rsidRDefault="003826D3" w:rsidP="003826D3">
            <w:pPr>
              <w:spacing w:before="60" w:after="120"/>
              <w:jc w:val="both"/>
              <w:rPr>
                <w:rStyle w:val="InstructionsTabelleberschrift"/>
                <w:rFonts w:ascii="Times New Roman" w:eastAsia="Times New Roman" w:hAnsi="Times New Roman"/>
                <w:bCs w:val="0"/>
                <w:sz w:val="24"/>
                <w:u w:val="none"/>
              </w:rPr>
            </w:pPr>
            <w:r w:rsidRPr="000B62DC">
              <w:rPr>
                <w:rStyle w:val="InstructionsTabelleberschrift"/>
                <w:rFonts w:ascii="Times New Roman" w:hAnsi="Times New Roman"/>
                <w:sz w:val="24"/>
                <w:u w:val="none"/>
              </w:rPr>
              <w:t>Composante financière (FC)</w:t>
            </w:r>
          </w:p>
          <w:p w14:paraId="1C2CD9AE" w14:textId="16B8F7FC" w:rsidR="003826D3" w:rsidRPr="000B62DC" w:rsidRDefault="00DE3384" w:rsidP="003826D3">
            <w:pPr>
              <w:spacing w:before="60" w:after="120"/>
              <w:jc w:val="both"/>
              <w:rPr>
                <w:rStyle w:val="InstructionsTabelleberschrift"/>
                <w:rFonts w:ascii="Times New Roman" w:eastAsia="Times New Roman" w:hAnsi="Times New Roman"/>
                <w:b w:val="0"/>
                <w:bCs w:val="0"/>
                <w:sz w:val="24"/>
                <w:u w:val="none"/>
              </w:rPr>
            </w:pPr>
            <w:r w:rsidRPr="000B62DC">
              <w:rPr>
                <w:rStyle w:val="InstructionsTabelleberschrift"/>
                <w:rFonts w:ascii="Times New Roman" w:hAnsi="Times New Roman"/>
                <w:b w:val="0"/>
                <w:sz w:val="24"/>
                <w:u w:val="none"/>
              </w:rPr>
              <w:t xml:space="preserve">La composante financière (FC) calculée conformément à l’article 314, paragraphe 6, du règlement (UE) nº 575/2013. </w:t>
            </w:r>
            <w:r w:rsidRPr="000B62DC">
              <w:rPr>
                <w:rFonts w:ascii="Times New Roman" w:hAnsi="Times New Roman"/>
                <w:sz w:val="24"/>
              </w:rPr>
              <w:t>Lorsqu’un établissement fait l’objet de la dérogation visée à l’article 314, paragraphe 4, du règlement (UE) nº 575/2013, il n’inclut aucun chiffre provenant des lignes d’activité de banque de détail et de banque commerciale.</w:t>
            </w:r>
          </w:p>
        </w:tc>
      </w:tr>
      <w:tr w:rsidR="003826D3" w:rsidRPr="000B62DC"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0B62DC" w:rsidRDefault="003826D3" w:rsidP="003826D3">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3a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0B62DC" w:rsidRDefault="003826D3" w:rsidP="003826D3">
            <w:pPr>
              <w:spacing w:before="60" w:after="120"/>
              <w:jc w:val="both"/>
              <w:rPr>
                <w:rStyle w:val="InstructionsTabelleberschrift"/>
                <w:rFonts w:ascii="Times New Roman" w:eastAsia="Times New Roman" w:hAnsi="Times New Roman"/>
                <w:bCs w:val="0"/>
                <w:sz w:val="24"/>
                <w:u w:val="none"/>
              </w:rPr>
            </w:pPr>
            <w:r w:rsidRPr="000B62DC">
              <w:rPr>
                <w:rStyle w:val="InstructionsTabelleberschrift"/>
                <w:rFonts w:ascii="Times New Roman" w:hAnsi="Times New Roman"/>
                <w:sz w:val="24"/>
                <w:u w:val="none"/>
              </w:rPr>
              <w:t>Pertes ou bénéfices nets applicables au portefeuille de négociation (TB)</w:t>
            </w:r>
          </w:p>
          <w:p w14:paraId="4E177CA3" w14:textId="4C472892" w:rsidR="003826D3" w:rsidRPr="000B62DC" w:rsidRDefault="003826D3" w:rsidP="003826D3">
            <w:pPr>
              <w:spacing w:before="60" w:after="120"/>
              <w:jc w:val="both"/>
              <w:rPr>
                <w:rStyle w:val="InstructionsTabelleberschrift"/>
                <w:rFonts w:ascii="Times New Roman" w:hAnsi="Times New Roman"/>
                <w:b w:val="0"/>
                <w:bCs w:val="0"/>
                <w:sz w:val="24"/>
                <w:u w:val="none"/>
              </w:rPr>
            </w:pPr>
            <w:r w:rsidRPr="000B62DC">
              <w:rPr>
                <w:rStyle w:val="InstructionsTabelleberschrift"/>
                <w:rFonts w:ascii="Times New Roman" w:hAnsi="Times New Roman"/>
                <w:b w:val="0"/>
                <w:sz w:val="24"/>
                <w:u w:val="none"/>
              </w:rPr>
              <w:t xml:space="preserve">Les pertes ou bénéfices nets applicables au portefeuille de négociation sont calculés comme la somme des éléments </w:t>
            </w:r>
            <w:proofErr w:type="gramStart"/>
            <w:r w:rsidRPr="000B62DC">
              <w:rPr>
                <w:rStyle w:val="InstructionsTabelleberschrift"/>
                <w:rFonts w:ascii="Times New Roman" w:hAnsi="Times New Roman"/>
                <w:b w:val="0"/>
                <w:sz w:val="24"/>
                <w:u w:val="none"/>
              </w:rPr>
              <w:t>suivants:</w:t>
            </w:r>
            <w:proofErr w:type="gramEnd"/>
          </w:p>
          <w:p w14:paraId="6324889B" w14:textId="380EDA28" w:rsidR="008A379C" w:rsidRPr="000B62DC" w:rsidRDefault="008A379C" w:rsidP="00232265">
            <w:pPr>
              <w:pStyle w:val="Style1"/>
              <w:rPr>
                <w:rStyle w:val="InstructionsTabelleberschrift"/>
                <w:rFonts w:ascii="Times New Roman" w:hAnsi="Times New Roman"/>
                <w:b w:val="0"/>
                <w:bCs w:val="0"/>
                <w:sz w:val="24"/>
                <w:u w:val="none"/>
              </w:rPr>
            </w:pPr>
            <w:proofErr w:type="gramStart"/>
            <w:r w:rsidRPr="000B62DC">
              <w:rPr>
                <w:u w:val="single"/>
              </w:rPr>
              <w:t>gains</w:t>
            </w:r>
            <w:proofErr w:type="gramEnd"/>
            <w:r w:rsidRPr="000B62DC">
              <w:rPr>
                <w:u w:val="single"/>
              </w:rPr>
              <w:t xml:space="preserve"> ou (-) pertes sur actifs et passifs financiers de négociation ou détenus à des fins de transaction, nets</w:t>
            </w:r>
            <w:r w:rsidRPr="000B62DC">
              <w:t>: gains ou (-) pertes sur actifs et passifs financiers détenus à des fins de transaction, conformément à l’annexe V, partie 2, paragraphes 43 et 46, des solutions informatiques de l’ABE ou sur les actifs et passifs financiers de négociation conformément à la directive 86/635/CEE du Conseil (la «directive comptable bancaire» ou «BAD»), article 27. Présentation verticale, paragraphe </w:t>
            </w:r>
            <w:proofErr w:type="gramStart"/>
            <w:r w:rsidRPr="000B62DC">
              <w:t>6;</w:t>
            </w:r>
            <w:proofErr w:type="gramEnd"/>
          </w:p>
          <w:p w14:paraId="0B998657" w14:textId="654F8692" w:rsidR="008A379C" w:rsidRPr="000B62DC" w:rsidRDefault="008A379C" w:rsidP="00232265">
            <w:pPr>
              <w:pStyle w:val="Style1"/>
              <w:rPr>
                <w:rStyle w:val="InstructionsTabelleberschrift"/>
                <w:rFonts w:ascii="Times New Roman" w:hAnsi="Times New Roman"/>
                <w:b w:val="0"/>
                <w:bCs w:val="0"/>
                <w:sz w:val="24"/>
                <w:u w:val="none"/>
              </w:rPr>
            </w:pPr>
            <w:r w:rsidRPr="000B62DC">
              <w:rPr>
                <w:u w:val="single"/>
              </w:rPr>
              <w:t>gains ou (-) pertes résultant de la comptabilité de couverture, nets</w:t>
            </w:r>
            <w:r w:rsidRPr="000B62DC">
              <w:t>: gains ou (-) pertes résultant de la comptabilité de couverture, nets, dans la composante portefeuille de négociation uniquement dans les circonstances exceptionnelles où la comptabilité de couverture, calculée conformément à l’annexe V, partie 2, paragraphe 47, des solutions informatiques de l’ABE ou conformément à l’article 8, paragraphe 1, point a), et paragraphes 6 et 8, de la directive comptable, est utilisée pour couvrir des actifs et passifs financiers détenus à des fins de transaction ou des actifs et passifs financiers de négociation; et</w:t>
            </w:r>
          </w:p>
          <w:p w14:paraId="1BC37DE4" w14:textId="36EA6A27" w:rsidR="008A379C" w:rsidRPr="000B62DC" w:rsidRDefault="008A379C" w:rsidP="00232265">
            <w:pPr>
              <w:pStyle w:val="Style1"/>
              <w:rPr>
                <w:rStyle w:val="InstructionsTabelleberschrift"/>
                <w:rFonts w:ascii="Times New Roman" w:hAnsi="Times New Roman"/>
                <w:b w:val="0"/>
                <w:bCs w:val="0"/>
                <w:sz w:val="24"/>
                <w:u w:val="none"/>
              </w:rPr>
            </w:pPr>
            <w:proofErr w:type="gramStart"/>
            <w:r w:rsidRPr="000B62DC">
              <w:rPr>
                <w:u w:val="single"/>
              </w:rPr>
              <w:t>variations</w:t>
            </w:r>
            <w:proofErr w:type="gramEnd"/>
            <w:r w:rsidRPr="000B62DC">
              <w:rPr>
                <w:u w:val="single"/>
              </w:rPr>
              <w:t xml:space="preserve"> de change [gain ou (-) perte], nettes, liées au portefeuille de négociation</w:t>
            </w:r>
            <w:r w:rsidRPr="000B62DC">
              <w:t>: variations de change [gain ou (-) perte], nettes, uniquement lorsque ces variations, calculées conformément à la norme IAS 21.28, paragraphe 52, point a), ou conformément à la BAD, article 39, proviennent d’actifs et de passifs financiers détenus à des fins de transaction ou d’actifs et de passifs financiers de négociation.</w:t>
            </w:r>
          </w:p>
          <w:p w14:paraId="761552C0" w14:textId="5BF82331" w:rsidR="001E5563" w:rsidRPr="000B62DC" w:rsidRDefault="001E5563" w:rsidP="00C65626">
            <w:pPr>
              <w:pStyle w:val="paragraph"/>
              <w:textAlignment w:val="baseline"/>
              <w:rPr>
                <w:rStyle w:val="InstructionsTabelleberschrift"/>
                <w:rFonts w:ascii="Segoe UI" w:hAnsi="Segoe UI" w:cs="Segoe UI"/>
              </w:rPr>
            </w:pPr>
            <w:r w:rsidRPr="000B62DC">
              <w:t>Les valeurs à communiquer refléteront les valeurs comptables déterminées à l’aide de la limite comptable ou de la limite prudentielle afin d’identifier les éléments du portefeuille de négociation et du portefeuille bancaire pour chacun des trois derniers exercices financiers, conformément à l’article 314, paragraphe 6, du règlement (UE) nº 575/2013.</w:t>
            </w:r>
          </w:p>
        </w:tc>
      </w:tr>
      <w:tr w:rsidR="003826D3" w:rsidRPr="000B62DC"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0B62DC" w:rsidRDefault="003826D3" w:rsidP="003826D3">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0B62DC" w:rsidRDefault="003826D3" w:rsidP="003826D3">
            <w:pPr>
              <w:spacing w:before="60" w:after="120"/>
              <w:jc w:val="both"/>
              <w:rPr>
                <w:rStyle w:val="InstructionsTabelleberschrift"/>
                <w:rFonts w:ascii="Times New Roman" w:eastAsia="Times New Roman" w:hAnsi="Times New Roman"/>
                <w:bCs w:val="0"/>
                <w:sz w:val="24"/>
                <w:u w:val="none"/>
              </w:rPr>
            </w:pPr>
            <w:r w:rsidRPr="000B62DC">
              <w:rPr>
                <w:rStyle w:val="InstructionsTabelleberschrift"/>
                <w:rFonts w:ascii="Times New Roman" w:hAnsi="Times New Roman"/>
                <w:sz w:val="24"/>
                <w:u w:val="none"/>
              </w:rPr>
              <w:t>Pertes ou bénéfices nets applicables au portefeuille bancaire (BB)</w:t>
            </w:r>
          </w:p>
          <w:p w14:paraId="16F13570" w14:textId="0B537F1A" w:rsidR="003826D3" w:rsidRPr="000B62DC" w:rsidRDefault="003826D3" w:rsidP="003826D3">
            <w:pPr>
              <w:spacing w:before="60" w:after="120"/>
              <w:jc w:val="both"/>
              <w:rPr>
                <w:rStyle w:val="InstructionsTabelleberschrift"/>
                <w:rFonts w:ascii="Times New Roman" w:eastAsia="Times New Roman" w:hAnsi="Times New Roman"/>
                <w:b w:val="0"/>
                <w:bCs w:val="0"/>
                <w:sz w:val="24"/>
                <w:u w:val="none"/>
              </w:rPr>
            </w:pPr>
            <w:r w:rsidRPr="000B62DC">
              <w:rPr>
                <w:rStyle w:val="InstructionsTabelleberschrift"/>
                <w:rFonts w:ascii="Times New Roman" w:hAnsi="Times New Roman"/>
                <w:b w:val="0"/>
                <w:sz w:val="24"/>
                <w:u w:val="none"/>
              </w:rPr>
              <w:t xml:space="preserve">Les pertes ou bénéfices nets applicables au portefeuille bancaire sont calculés comme la somme des éléments </w:t>
            </w:r>
            <w:proofErr w:type="gramStart"/>
            <w:r w:rsidRPr="000B62DC">
              <w:rPr>
                <w:rStyle w:val="InstructionsTabelleberschrift"/>
                <w:rFonts w:ascii="Times New Roman" w:hAnsi="Times New Roman"/>
                <w:b w:val="0"/>
                <w:sz w:val="24"/>
                <w:u w:val="none"/>
              </w:rPr>
              <w:t>suivants:</w:t>
            </w:r>
            <w:proofErr w:type="gramEnd"/>
          </w:p>
          <w:p w14:paraId="4816B36A" w14:textId="59F72F36" w:rsidR="008F0781" w:rsidRPr="000B62DC" w:rsidRDefault="008F0781" w:rsidP="00232265">
            <w:pPr>
              <w:pStyle w:val="Style1"/>
            </w:pPr>
            <w:proofErr w:type="gramStart"/>
            <w:r w:rsidRPr="000B62DC">
              <w:rPr>
                <w:u w:val="single"/>
              </w:rPr>
              <w:t>gains</w:t>
            </w:r>
            <w:proofErr w:type="gramEnd"/>
            <w:r w:rsidRPr="000B62DC">
              <w:rPr>
                <w:u w:val="single"/>
              </w:rPr>
              <w:t xml:space="preserve"> ou (-) pertes sur </w:t>
            </w:r>
            <w:proofErr w:type="spellStart"/>
            <w:r w:rsidRPr="000B62DC">
              <w:rPr>
                <w:u w:val="single"/>
              </w:rPr>
              <w:t>décomptabilisation</w:t>
            </w:r>
            <w:proofErr w:type="spellEnd"/>
            <w:r w:rsidRPr="000B62DC">
              <w:rPr>
                <w:u w:val="single"/>
              </w:rPr>
              <w:t xml:space="preserve"> d’actifs et passifs financiers non mesurés à la juste valeur par le biais du compte de résultat, nets</w:t>
            </w:r>
            <w:r w:rsidRPr="000B62DC">
              <w:t xml:space="preserve">: gains ou (-) pertes sur </w:t>
            </w:r>
            <w:proofErr w:type="spellStart"/>
            <w:r w:rsidRPr="000B62DC">
              <w:t>décomptabilisation</w:t>
            </w:r>
            <w:proofErr w:type="spellEnd"/>
            <w:r w:rsidRPr="000B62DC">
              <w:t xml:space="preserve"> d’actifs et passifs financiers non mesurés à la juste valeur par le biais du compte de résultat, nets, conformément à l’annexe V, partie 2, paragraphe 45, des solutions </w:t>
            </w:r>
            <w:r w:rsidRPr="000B62DC">
              <w:lastRenderedPageBreak/>
              <w:t>informatiques de l’ABE ou à l’article 27, Présentation verticale, paragraphe 6, de la BAD;</w:t>
            </w:r>
          </w:p>
          <w:p w14:paraId="29EDCF43" w14:textId="7ADB0AAC" w:rsidR="008F0781" w:rsidRPr="000B62DC" w:rsidRDefault="008F0781" w:rsidP="00232265">
            <w:pPr>
              <w:pStyle w:val="Style1"/>
            </w:pPr>
            <w:proofErr w:type="gramStart"/>
            <w:r w:rsidRPr="000B62DC">
              <w:rPr>
                <w:u w:val="single"/>
              </w:rPr>
              <w:t>gains</w:t>
            </w:r>
            <w:proofErr w:type="gramEnd"/>
            <w:r w:rsidRPr="000B62DC">
              <w:rPr>
                <w:u w:val="single"/>
              </w:rPr>
              <w:t xml:space="preserve"> ou (-) pertes sur actifs financiers autres que de négociation obligatoirement mesurés à la juste valeur par le biais du compte de résultat, nets</w:t>
            </w:r>
            <w:r w:rsidRPr="000B62DC">
              <w:t>: gains ou (-) pertes sur les actifs financiers autres que de négociation obligatoirement mesurés à la juste valeur par le biais du compte de résultat, nets, conformément à l’annexe V, partie 2, paragraphe 46, des solutions informatiques de l’ABE;</w:t>
            </w:r>
          </w:p>
          <w:p w14:paraId="23350A71" w14:textId="40356371" w:rsidR="008F0781" w:rsidRPr="000B62DC" w:rsidRDefault="008F0781" w:rsidP="00232265">
            <w:pPr>
              <w:pStyle w:val="Style1"/>
            </w:pPr>
            <w:proofErr w:type="gramStart"/>
            <w:r w:rsidRPr="000B62DC">
              <w:rPr>
                <w:u w:val="single"/>
              </w:rPr>
              <w:t>gains</w:t>
            </w:r>
            <w:proofErr w:type="gramEnd"/>
            <w:r w:rsidRPr="000B62DC">
              <w:rPr>
                <w:u w:val="single"/>
              </w:rPr>
              <w:t xml:space="preserve"> ou (-) pertes sur actifs et passifs financiers désignés à la juste valeur par le biais du compte de résultat, nets</w:t>
            </w:r>
            <w:r w:rsidRPr="000B62DC">
              <w:t>: gains ou (-) pertes sur actifs et passifs financiers désignés à la juste valeur par le biais du compte de résultat, nets, conformément à l’annexe V, partie 2, paragraphe 44, des solutions informatiques de l’ABE;</w:t>
            </w:r>
          </w:p>
          <w:p w14:paraId="44DE675E" w14:textId="5B34C2BC" w:rsidR="008F0781" w:rsidRPr="000B62DC" w:rsidRDefault="008F0781" w:rsidP="00232265">
            <w:pPr>
              <w:pStyle w:val="Style1"/>
            </w:pPr>
            <w:proofErr w:type="gramStart"/>
            <w:r w:rsidRPr="000B62DC">
              <w:rPr>
                <w:u w:val="single"/>
              </w:rPr>
              <w:t>gains</w:t>
            </w:r>
            <w:proofErr w:type="gramEnd"/>
            <w:r w:rsidRPr="000B62DC">
              <w:rPr>
                <w:u w:val="single"/>
              </w:rPr>
              <w:t xml:space="preserve"> ou (-) pertes résultant de la comptabilité de couverture, nets, liés au portefeuille bancaire</w:t>
            </w:r>
            <w:r w:rsidRPr="000B62DC">
              <w:t>: gains ou (-) pertes résultant de la comptabilité de couverture, nets, conformément à l’annexe V, partie 2, paragraphe 47, des solutions informatiques de l’ABE ou conformément à l’article 8, paragraphe 1, point a), et paragraphes 6 et 8, de la directive comptable, lorsque ces gains ou pertes proviennent d’actifs et de passifs financiers détenus dans le portefeuille bancaire; et</w:t>
            </w:r>
          </w:p>
          <w:p w14:paraId="23306495" w14:textId="6A259674" w:rsidR="008F0781" w:rsidRPr="000B62DC" w:rsidRDefault="008F0781" w:rsidP="00232265">
            <w:pPr>
              <w:pStyle w:val="Style1"/>
            </w:pPr>
            <w:proofErr w:type="gramStart"/>
            <w:r w:rsidRPr="000B62DC">
              <w:rPr>
                <w:u w:val="single"/>
              </w:rPr>
              <w:t>variations</w:t>
            </w:r>
            <w:proofErr w:type="gramEnd"/>
            <w:r w:rsidRPr="000B62DC">
              <w:rPr>
                <w:u w:val="single"/>
              </w:rPr>
              <w:t xml:space="preserve"> de change [gain ou (-) perte], nettes, liées au portefeuille bancaire</w:t>
            </w:r>
            <w:r w:rsidRPr="000B62DC">
              <w:t>: variations de change [gain ou (-) perte], nettes, conformément à la norme IAS 21.28, paragraphe 52, point a), ou conformément à l’article 39 de la BAD, lorsque ces variations proviennent d’actifs et de passifs financiers détenus dans le portefeuille bancaire.</w:t>
            </w:r>
          </w:p>
          <w:p w14:paraId="3E9BB5BF" w14:textId="1D3FC8A9" w:rsidR="00F26A2D" w:rsidRPr="000B62DC" w:rsidRDefault="001E5563" w:rsidP="00F26A2D">
            <w:pPr>
              <w:spacing w:before="60" w:after="120"/>
              <w:jc w:val="both"/>
              <w:rPr>
                <w:rStyle w:val="InstructionsTabelleberschrift"/>
                <w:rFonts w:asciiTheme="majorBidi" w:hAnsiTheme="majorBidi" w:cstheme="majorBidi"/>
                <w:sz w:val="24"/>
                <w:u w:val="none"/>
              </w:rPr>
            </w:pPr>
            <w:r w:rsidRPr="000B62DC">
              <w:rPr>
                <w:rFonts w:asciiTheme="majorBidi" w:hAnsiTheme="majorBidi"/>
                <w:sz w:val="24"/>
              </w:rPr>
              <w:t>Les valeurs à communiquer refléteront les valeurs comptables déterminées à l’aide de la limite comptable ou de la limite prudentielle afin d’identifier les éléments du portefeuille de négociation et du portefeuille bancaire pour chacun des trois derniers exercices financiers, conformément à l’article 314, paragraphe 6, du règlement (UE) nº 575/2013.</w:t>
            </w:r>
          </w:p>
        </w:tc>
      </w:tr>
      <w:tr w:rsidR="003826D3" w:rsidRPr="000B62DC"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0B62DC" w:rsidRDefault="003826D3" w:rsidP="003826D3">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lastRenderedPageBreak/>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0B62DC" w:rsidRDefault="008C3E6A" w:rsidP="003826D3">
            <w:pPr>
              <w:spacing w:before="60" w:after="120"/>
              <w:jc w:val="both"/>
              <w:rPr>
                <w:rStyle w:val="InstructionsTabelleberschrift"/>
                <w:rFonts w:ascii="Times New Roman" w:eastAsia="Times New Roman" w:hAnsi="Times New Roman"/>
                <w:bCs w:val="0"/>
                <w:sz w:val="24"/>
                <w:u w:val="none"/>
              </w:rPr>
            </w:pPr>
            <w:r w:rsidRPr="000B62DC">
              <w:rPr>
                <w:rStyle w:val="InstructionsTabelleberschrift"/>
                <w:rFonts w:ascii="Times New Roman" w:hAnsi="Times New Roman"/>
                <w:sz w:val="24"/>
                <w:u w:val="none"/>
              </w:rPr>
              <w:t>Approche suivie pour déterminer la frontière entre le TB et le BB (approche PBA ou comptable)</w:t>
            </w:r>
          </w:p>
          <w:p w14:paraId="00A81A34" w14:textId="0A7D6D1A" w:rsidR="003826D3" w:rsidRPr="000B62DC" w:rsidRDefault="003826D3" w:rsidP="003826D3">
            <w:pPr>
              <w:spacing w:before="60" w:after="120"/>
              <w:jc w:val="both"/>
              <w:rPr>
                <w:rStyle w:val="InstructionsTabelleberschrift"/>
                <w:rFonts w:ascii="Times New Roman" w:eastAsia="Times New Roman" w:hAnsi="Times New Roman"/>
                <w:b w:val="0"/>
                <w:bCs w:val="0"/>
                <w:sz w:val="24"/>
                <w:u w:val="none"/>
              </w:rPr>
            </w:pPr>
            <w:r w:rsidRPr="000B62DC">
              <w:rPr>
                <w:rStyle w:val="InstructionsTabelleberschrift"/>
                <w:rFonts w:ascii="Times New Roman" w:hAnsi="Times New Roman"/>
                <w:b w:val="0"/>
                <w:sz w:val="24"/>
                <w:u w:val="none"/>
              </w:rPr>
              <w:t xml:space="preserve">L’approche suivie à la date de référence pour déterminer la </w:t>
            </w:r>
            <w:proofErr w:type="gramStart"/>
            <w:r w:rsidRPr="000B62DC">
              <w:rPr>
                <w:rStyle w:val="InstructionsTabelleberschrift"/>
                <w:rFonts w:ascii="Times New Roman" w:hAnsi="Times New Roman"/>
                <w:b w:val="0"/>
                <w:sz w:val="24"/>
                <w:u w:val="none"/>
              </w:rPr>
              <w:t>FC:</w:t>
            </w:r>
            <w:proofErr w:type="gramEnd"/>
            <w:r w:rsidRPr="000B62DC">
              <w:rPr>
                <w:rStyle w:val="InstructionsTabelleberschrift"/>
                <w:rFonts w:ascii="Times New Roman" w:hAnsi="Times New Roman"/>
                <w:b w:val="0"/>
                <w:sz w:val="24"/>
                <w:u w:val="none"/>
              </w:rPr>
              <w:t xml:space="preserve"> classification comptable ou prudentielle (PBA). L’approche est utilisée de manière cohérente pour les montants publiés pour chacun des trois derniers exercices financiers.</w:t>
            </w:r>
          </w:p>
        </w:tc>
      </w:tr>
      <w:tr w:rsidR="003826D3" w:rsidRPr="000B62DC"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0B62DC" w:rsidRDefault="003826D3" w:rsidP="003826D3">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0B62DC" w:rsidRDefault="003826D3" w:rsidP="003826D3">
            <w:pPr>
              <w:spacing w:before="60" w:after="120"/>
              <w:jc w:val="both"/>
              <w:rPr>
                <w:rStyle w:val="InstructionsTabelleberschrift"/>
                <w:rFonts w:ascii="Times New Roman" w:eastAsia="Times New Roman" w:hAnsi="Times New Roman"/>
                <w:bCs w:val="0"/>
                <w:sz w:val="24"/>
                <w:u w:val="none"/>
              </w:rPr>
            </w:pPr>
            <w:r w:rsidRPr="000B62DC">
              <w:rPr>
                <w:rStyle w:val="InstructionsTabelleberschrift"/>
                <w:rFonts w:ascii="Times New Roman" w:hAnsi="Times New Roman"/>
                <w:sz w:val="24"/>
                <w:u w:val="none"/>
              </w:rPr>
              <w:t>Indicateur d’activité (BI)</w:t>
            </w:r>
          </w:p>
          <w:p w14:paraId="35C99FE1" w14:textId="0AFECB29" w:rsidR="003826D3" w:rsidRPr="000B62DC"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B62DC">
              <w:rPr>
                <w:rFonts w:asciiTheme="majorBidi" w:hAnsiTheme="majorBidi"/>
                <w:sz w:val="24"/>
              </w:rPr>
              <w:t xml:space="preserve">Le BI, calculé conformément à l’article 314, paragraphe 1, du règlement (UE) nº 575/2013, qui est la somme des trois </w:t>
            </w:r>
            <w:proofErr w:type="gramStart"/>
            <w:r w:rsidRPr="000B62DC">
              <w:rPr>
                <w:rFonts w:asciiTheme="majorBidi" w:hAnsiTheme="majorBidi"/>
                <w:sz w:val="24"/>
              </w:rPr>
              <w:t>composantes:</w:t>
            </w:r>
            <w:proofErr w:type="gramEnd"/>
            <w:r w:rsidRPr="000B62DC">
              <w:rPr>
                <w:rFonts w:asciiTheme="majorBidi" w:hAnsiTheme="majorBidi"/>
                <w:sz w:val="24"/>
              </w:rPr>
              <w:t xml:space="preserve"> ILDC, SC et FC.</w:t>
            </w:r>
          </w:p>
        </w:tc>
      </w:tr>
      <w:tr w:rsidR="003826D3" w:rsidRPr="000B62DC"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0B62DC" w:rsidRDefault="003826D3" w:rsidP="003826D3">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0B62DC" w:rsidRDefault="003826D3" w:rsidP="003826D3">
            <w:pPr>
              <w:spacing w:before="60" w:after="120"/>
              <w:jc w:val="both"/>
              <w:rPr>
                <w:rStyle w:val="InstructionsTabelleberschrift"/>
                <w:rFonts w:ascii="Times New Roman" w:eastAsia="Times New Roman" w:hAnsi="Times New Roman"/>
                <w:sz w:val="24"/>
                <w:u w:val="none"/>
              </w:rPr>
            </w:pPr>
            <w:proofErr w:type="gramStart"/>
            <w:r w:rsidRPr="000B62DC">
              <w:rPr>
                <w:rStyle w:val="InstructionsTabelleberschrift"/>
                <w:rFonts w:ascii="Times New Roman" w:hAnsi="Times New Roman"/>
                <w:sz w:val="24"/>
                <w:u w:val="none"/>
              </w:rPr>
              <w:t>Composante indicateur</w:t>
            </w:r>
            <w:proofErr w:type="gramEnd"/>
            <w:r w:rsidRPr="000B62DC">
              <w:rPr>
                <w:rStyle w:val="InstructionsTabelleberschrift"/>
                <w:rFonts w:ascii="Times New Roman" w:hAnsi="Times New Roman"/>
                <w:sz w:val="24"/>
                <w:u w:val="none"/>
              </w:rPr>
              <w:t xml:space="preserve"> d’activité (BIC)</w:t>
            </w:r>
          </w:p>
          <w:p w14:paraId="4AC6BDA5" w14:textId="5507A684" w:rsidR="003826D3" w:rsidRPr="000B62DC" w:rsidRDefault="003826D3" w:rsidP="003826D3">
            <w:pPr>
              <w:spacing w:before="60" w:after="120"/>
              <w:jc w:val="both"/>
              <w:rPr>
                <w:rStyle w:val="InstructionsTabelleberschrift"/>
                <w:rFonts w:ascii="Times New Roman" w:eastAsia="Times New Roman" w:hAnsi="Times New Roman"/>
                <w:b w:val="0"/>
                <w:bCs w:val="0"/>
                <w:sz w:val="24"/>
                <w:u w:val="none"/>
              </w:rPr>
            </w:pPr>
            <w:r w:rsidRPr="000B62DC">
              <w:rPr>
                <w:rFonts w:ascii="Times New Roman" w:hAnsi="Times New Roman"/>
                <w:sz w:val="24"/>
              </w:rPr>
              <w:t xml:space="preserve">La BIC calculée conformément à l’article 313 du règlement (UE) nº 575/2013. </w:t>
            </w:r>
          </w:p>
        </w:tc>
      </w:tr>
      <w:tr w:rsidR="003826D3" w:rsidRPr="000B62DC"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0B62DC" w:rsidRDefault="003826D3" w:rsidP="003826D3">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6a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0B62DC" w:rsidRDefault="003826D3" w:rsidP="003826D3">
            <w:pPr>
              <w:spacing w:before="60" w:after="120"/>
              <w:jc w:val="both"/>
              <w:rPr>
                <w:rStyle w:val="InstructionsTabelleberschrift"/>
                <w:rFonts w:ascii="Times New Roman" w:eastAsia="Times New Roman" w:hAnsi="Times New Roman"/>
                <w:bCs w:val="0"/>
                <w:sz w:val="24"/>
                <w:u w:val="none"/>
              </w:rPr>
            </w:pPr>
            <w:r w:rsidRPr="000B62DC">
              <w:rPr>
                <w:rStyle w:val="InstructionsTabelleberschrift"/>
                <w:rFonts w:ascii="Times New Roman" w:hAnsi="Times New Roman"/>
                <w:sz w:val="24"/>
                <w:u w:val="none"/>
              </w:rPr>
              <w:t>BI brut des activités cédées exclues</w:t>
            </w:r>
          </w:p>
          <w:p w14:paraId="4B01F051" w14:textId="678BE249" w:rsidR="003826D3" w:rsidRPr="000B62DC"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B62DC">
              <w:rPr>
                <w:rFonts w:asciiTheme="majorBidi" w:hAnsiTheme="majorBidi"/>
                <w:sz w:val="24"/>
              </w:rPr>
              <w:lastRenderedPageBreak/>
              <w:t>Le montant du BI, y compris les activités cédées exclues conformément à l’article 315, paragraphe 2, du règlement (UE) nº 575/2013.</w:t>
            </w:r>
          </w:p>
        </w:tc>
      </w:tr>
      <w:tr w:rsidR="003826D3" w:rsidRPr="000B62DC"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0B62DC" w:rsidRDefault="003826D3" w:rsidP="003826D3">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lastRenderedPageBreak/>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0B62DC" w:rsidRDefault="003826D3" w:rsidP="003826D3">
            <w:pPr>
              <w:spacing w:before="60" w:after="120"/>
              <w:jc w:val="both"/>
              <w:rPr>
                <w:rStyle w:val="InstructionsTabelleberschrift"/>
                <w:rFonts w:ascii="Times New Roman" w:eastAsia="Times New Roman" w:hAnsi="Times New Roman"/>
                <w:bCs w:val="0"/>
                <w:sz w:val="24"/>
                <w:u w:val="none"/>
              </w:rPr>
            </w:pPr>
            <w:r w:rsidRPr="000B62DC">
              <w:rPr>
                <w:rStyle w:val="InstructionsTabelleberschrift"/>
                <w:rFonts w:ascii="Times New Roman" w:hAnsi="Times New Roman"/>
                <w:sz w:val="24"/>
                <w:u w:val="none"/>
              </w:rPr>
              <w:t>Réduction du BI due à l’exclusion des activités cédées</w:t>
            </w:r>
          </w:p>
          <w:p w14:paraId="100A0132" w14:textId="636B5EF6" w:rsidR="003826D3" w:rsidRPr="000B62DC"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B62DC">
              <w:rPr>
                <w:rFonts w:asciiTheme="majorBidi" w:hAnsiTheme="majorBidi"/>
                <w:sz w:val="24"/>
              </w:rPr>
              <w:t xml:space="preserve">La différence entre le BI brut des activités cédées (ligne 6a) et le BI total (ligne 4). </w:t>
            </w:r>
          </w:p>
        </w:tc>
      </w:tr>
      <w:tr w:rsidR="003826D3" w:rsidRPr="000B62DC"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0B62DC" w:rsidRDefault="003826D3" w:rsidP="003826D3">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EU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0B62DC" w:rsidRDefault="003826D3" w:rsidP="003826D3">
            <w:pPr>
              <w:spacing w:before="60" w:after="120"/>
              <w:jc w:val="both"/>
              <w:rPr>
                <w:rStyle w:val="InstructionsTabelleberschrift"/>
                <w:rFonts w:ascii="Times New Roman" w:eastAsia="Times New Roman" w:hAnsi="Times New Roman"/>
                <w:bCs w:val="0"/>
                <w:sz w:val="24"/>
                <w:u w:val="none"/>
              </w:rPr>
            </w:pPr>
            <w:r w:rsidRPr="000B62DC">
              <w:rPr>
                <w:rStyle w:val="InstructionsTabelleberschrift"/>
                <w:rFonts w:ascii="Times New Roman" w:hAnsi="Times New Roman"/>
                <w:sz w:val="24"/>
                <w:u w:val="none"/>
              </w:rPr>
              <w:t>Incidence sur le BI des fusions/acquisitions</w:t>
            </w:r>
          </w:p>
          <w:p w14:paraId="68B0EB8C" w14:textId="39D74825" w:rsidR="003826D3" w:rsidRPr="000B62DC"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B62DC">
              <w:rPr>
                <w:rFonts w:asciiTheme="majorBidi" w:hAnsiTheme="majorBidi"/>
                <w:sz w:val="24"/>
              </w:rPr>
              <w:t>Le montant inclus dans le BI correspondant aux composantes du BI qui sont dues à des entités ou activités fusionnées ou acquises, calculé conformément à l’article 315, paragraphe 1, du règlement (UE) nº 575/2013.</w:t>
            </w:r>
          </w:p>
        </w:tc>
      </w:tr>
    </w:tbl>
    <w:p w14:paraId="2517003F" w14:textId="77777777" w:rsidR="00D740B8" w:rsidRPr="000B62DC"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0B62DC" w:rsidRDefault="00D740B8" w:rsidP="00D740B8">
      <w:pPr>
        <w:jc w:val="both"/>
        <w:rPr>
          <w:rFonts w:ascii="Times New Roman" w:hAnsi="Times New Roman" w:cs="Times New Roman"/>
          <w:bCs/>
          <w:sz w:val="24"/>
        </w:rPr>
      </w:pPr>
      <w:r w:rsidRPr="000B62DC">
        <w:rPr>
          <w:rFonts w:ascii="Times New Roman" w:hAnsi="Times New Roman"/>
          <w:b/>
          <w:sz w:val="24"/>
        </w:rPr>
        <w:t xml:space="preserve">Modèle EU OR3 – Exigences de fonds propres pour risque opérationnel et montants d’exposition au risque. </w:t>
      </w:r>
      <w:r w:rsidRPr="000B62DC">
        <w:rPr>
          <w:rFonts w:ascii="Times New Roman" w:hAnsi="Times New Roman"/>
          <w:sz w:val="24"/>
        </w:rPr>
        <w:t>Modèle fixe</w:t>
      </w:r>
    </w:p>
    <w:p w14:paraId="5AB15A39" w14:textId="77777777" w:rsidR="00D740B8" w:rsidRPr="000B62DC" w:rsidRDefault="00D740B8" w:rsidP="00D740B8">
      <w:pPr>
        <w:ind w:left="360"/>
        <w:jc w:val="both"/>
        <w:rPr>
          <w:rFonts w:ascii="Times New Roman" w:hAnsi="Times New Roman" w:cs="Times New Roman"/>
          <w:bCs/>
          <w:sz w:val="24"/>
        </w:rPr>
      </w:pPr>
    </w:p>
    <w:p w14:paraId="60DF34D1" w14:textId="121F9A97" w:rsidR="00D740B8" w:rsidRPr="000B62DC" w:rsidRDefault="00D740B8" w:rsidP="00D740B8">
      <w:pPr>
        <w:numPr>
          <w:ilvl w:val="0"/>
          <w:numId w:val="1"/>
        </w:numPr>
        <w:jc w:val="both"/>
        <w:rPr>
          <w:rFonts w:ascii="Times New Roman" w:hAnsi="Times New Roman" w:cs="Times New Roman"/>
          <w:sz w:val="24"/>
        </w:rPr>
      </w:pPr>
      <w:r w:rsidRPr="000B62DC">
        <w:rPr>
          <w:rFonts w:ascii="Times New Roman" w:hAnsi="Times New Roman"/>
          <w:sz w:val="24"/>
        </w:rPr>
        <w:t>Les établissements publient les informations figurant dans le modèle EU OR3 en application de l’article 466, paragraphe 1, point b), du règlement (UE) nº 575/2013. Ce modèle fournit des informations sur le calcul des exigences de fonds propres pour risque opérationnel conformément aux articles 312 à 315 du règlement (UE) nº 575/2013.</w:t>
      </w:r>
    </w:p>
    <w:p w14:paraId="6DFA1648" w14:textId="77777777" w:rsidR="00D740B8" w:rsidRPr="000B62DC" w:rsidRDefault="00D740B8" w:rsidP="00D740B8">
      <w:pPr>
        <w:ind w:left="360"/>
        <w:jc w:val="both"/>
        <w:rPr>
          <w:rFonts w:ascii="Times New Roman" w:hAnsi="Times New Roman" w:cs="Times New Roman"/>
          <w:bCs/>
          <w:sz w:val="24"/>
        </w:rPr>
      </w:pPr>
    </w:p>
    <w:p w14:paraId="2E35B8A0" w14:textId="77777777" w:rsidR="00D740B8" w:rsidRPr="000B62DC"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0B62DC"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0B62DC" w:rsidRDefault="00D740B8">
            <w:pPr>
              <w:autoSpaceDE w:val="0"/>
              <w:autoSpaceDN w:val="0"/>
              <w:adjustRightInd w:val="0"/>
              <w:rPr>
                <w:rFonts w:ascii="Times New Roman" w:hAnsi="Times New Roman" w:cs="Times New Roman"/>
                <w:b/>
                <w:sz w:val="24"/>
              </w:rPr>
            </w:pPr>
            <w:r w:rsidRPr="000B62DC">
              <w:rPr>
                <w:rFonts w:ascii="Times New Roman" w:hAnsi="Times New Roman"/>
                <w:b/>
                <w:sz w:val="24"/>
              </w:rPr>
              <w:t xml:space="preserve">Ligne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0B62DC" w:rsidRDefault="00D740B8">
            <w:pPr>
              <w:rPr>
                <w:rFonts w:ascii="Times New Roman" w:hAnsi="Times New Roman" w:cs="Times New Roman"/>
                <w:b/>
                <w:sz w:val="24"/>
              </w:rPr>
            </w:pPr>
            <w:r w:rsidRPr="000B62DC">
              <w:rPr>
                <w:rFonts w:ascii="Times New Roman" w:hAnsi="Times New Roman"/>
                <w:b/>
                <w:sz w:val="24"/>
              </w:rPr>
              <w:t>Explication</w:t>
            </w:r>
          </w:p>
        </w:tc>
      </w:tr>
      <w:tr w:rsidR="00D740B8" w:rsidRPr="000B62DC"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0B62DC" w:rsidRDefault="00D740B8">
            <w:pPr>
              <w:spacing w:before="60" w:after="120"/>
              <w:jc w:val="both"/>
              <w:rPr>
                <w:rFonts w:ascii="Times New Roman" w:eastAsia="Times New Roman" w:hAnsi="Times New Roman" w:cs="Times New Roman"/>
                <w:b/>
                <w:sz w:val="24"/>
              </w:rPr>
            </w:pPr>
            <w:proofErr w:type="gramStart"/>
            <w:r w:rsidRPr="000B62DC">
              <w:rPr>
                <w:rFonts w:ascii="Times New Roman" w:hAnsi="Times New Roman"/>
                <w:b/>
                <w:sz w:val="24"/>
              </w:rPr>
              <w:t>Composante indicateur</w:t>
            </w:r>
            <w:proofErr w:type="gramEnd"/>
            <w:r w:rsidRPr="000B62DC">
              <w:rPr>
                <w:rFonts w:ascii="Times New Roman" w:hAnsi="Times New Roman"/>
                <w:b/>
                <w:sz w:val="24"/>
              </w:rPr>
              <w:t xml:space="preserve"> d’activité (BIC)</w:t>
            </w:r>
          </w:p>
          <w:p w14:paraId="1B10BB72" w14:textId="77777777" w:rsidR="00D740B8" w:rsidRPr="000B62DC" w:rsidRDefault="00D740B8">
            <w:pPr>
              <w:spacing w:before="60" w:after="120"/>
              <w:jc w:val="both"/>
              <w:rPr>
                <w:rFonts w:ascii="Times New Roman" w:eastAsia="Times New Roman" w:hAnsi="Times New Roman" w:cs="Times New Roman"/>
                <w:sz w:val="24"/>
              </w:rPr>
            </w:pPr>
            <w:r w:rsidRPr="000B62DC">
              <w:rPr>
                <w:rFonts w:ascii="Times New Roman" w:hAnsi="Times New Roman"/>
                <w:sz w:val="24"/>
              </w:rPr>
              <w:t xml:space="preserve">Cette ligne présente </w:t>
            </w:r>
            <w:proofErr w:type="gramStart"/>
            <w:r w:rsidRPr="000B62DC">
              <w:rPr>
                <w:rFonts w:ascii="Times New Roman" w:hAnsi="Times New Roman"/>
                <w:sz w:val="24"/>
              </w:rPr>
              <w:t>la composante indicateur</w:t>
            </w:r>
            <w:proofErr w:type="gramEnd"/>
            <w:r w:rsidRPr="000B62DC">
              <w:rPr>
                <w:rFonts w:ascii="Times New Roman" w:hAnsi="Times New Roman"/>
                <w:sz w:val="24"/>
              </w:rPr>
              <w:t xml:space="preserve"> d’activité, qui est calculée conformément à l’article 313 du règlement (UE) nº 575/2013.</w:t>
            </w:r>
          </w:p>
        </w:tc>
      </w:tr>
      <w:tr w:rsidR="00CA794A" w:rsidRPr="000B62DC"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0B62DC" w:rsidRDefault="004A58B5">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0B62DC" w:rsidRDefault="004A58B5">
            <w:pPr>
              <w:spacing w:before="60" w:after="120"/>
              <w:jc w:val="both"/>
              <w:rPr>
                <w:rFonts w:ascii="Times New Roman" w:eastAsia="Times New Roman" w:hAnsi="Times New Roman" w:cs="Times New Roman"/>
                <w:b/>
                <w:sz w:val="24"/>
              </w:rPr>
            </w:pPr>
            <w:r w:rsidRPr="000B62DC">
              <w:rPr>
                <w:rFonts w:ascii="Times New Roman" w:hAnsi="Times New Roman"/>
                <w:b/>
                <w:sz w:val="24"/>
              </w:rPr>
              <w:t>Exigences de fonds propres (OROF) selon l’approche standard alternative (ASA) au titre de l’article 314, paragraphe 4</w:t>
            </w:r>
          </w:p>
          <w:p w14:paraId="7762DF0B" w14:textId="6E2ACCB9" w:rsidR="004A58B5" w:rsidRPr="000B62DC" w:rsidRDefault="005B4907">
            <w:pPr>
              <w:spacing w:before="60" w:after="120"/>
              <w:jc w:val="both"/>
              <w:rPr>
                <w:rFonts w:ascii="Times New Roman" w:eastAsia="Times New Roman" w:hAnsi="Times New Roman" w:cs="Times New Roman"/>
                <w:b/>
                <w:sz w:val="24"/>
              </w:rPr>
            </w:pPr>
            <w:r w:rsidRPr="000B62DC">
              <w:rPr>
                <w:rFonts w:ascii="Times New Roman" w:hAnsi="Times New Roman"/>
                <w:sz w:val="24"/>
              </w:rPr>
              <w:t>Cette ligne inclut les exigences de fonds propres pour les lignes d’activité considérées au titre de l’article 314, paragraphe 4, le cas échéant, jusqu’au 31 décembre 2027 ou jusqu’à ce que l’autorité de surveillance sur base consolidée accorde une autorisation conformément à l’article 314, paragraphe 3, la date la plus proche étant retenue.</w:t>
            </w:r>
          </w:p>
        </w:tc>
      </w:tr>
      <w:tr w:rsidR="00D740B8" w:rsidRPr="000B62DC"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0B62DC" w:rsidRDefault="001918A2">
            <w:pPr>
              <w:spacing w:before="60" w:after="120"/>
              <w:jc w:val="both"/>
              <w:rPr>
                <w:rFonts w:ascii="Times New Roman" w:eastAsia="Times New Roman" w:hAnsi="Times New Roman" w:cs="Times New Roman"/>
                <w:sz w:val="24"/>
              </w:rPr>
            </w:pPr>
            <w:r w:rsidRPr="000B62DC">
              <w:rPr>
                <w:rFonts w:ascii="Times New Roman" w:hAnsi="Times New Roman"/>
                <w:sz w:val="24"/>
              </w:rPr>
              <w:t>Sans objet.</w:t>
            </w:r>
          </w:p>
        </w:tc>
      </w:tr>
      <w:tr w:rsidR="00D740B8" w:rsidRPr="000B62DC"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0B62DC" w:rsidRDefault="00D740B8">
            <w:pPr>
              <w:spacing w:before="60" w:after="120"/>
              <w:jc w:val="both"/>
              <w:rPr>
                <w:rStyle w:val="InstructionsTabelleberschrift"/>
                <w:rFonts w:ascii="Times New Roman" w:eastAsia="Times New Roman" w:hAnsi="Times New Roman"/>
                <w:bCs w:val="0"/>
                <w:sz w:val="24"/>
                <w:u w:val="none"/>
              </w:rPr>
            </w:pPr>
            <w:r w:rsidRPr="000B62DC">
              <w:rPr>
                <w:rStyle w:val="InstructionsTabelleberschrift"/>
                <w:rFonts w:ascii="Times New Roman" w:hAnsi="Times New Roman"/>
                <w:sz w:val="24"/>
                <w:u w:val="none"/>
              </w:rPr>
              <w:t>Exigences minimales de fonds propres pour risque opérationnel (OROF) requis</w:t>
            </w:r>
          </w:p>
          <w:p w14:paraId="2A7C24D0" w14:textId="54D9C5FF" w:rsidR="00D740B8" w:rsidRPr="000B62DC" w:rsidRDefault="00977842">
            <w:pPr>
              <w:spacing w:before="60" w:after="120"/>
              <w:jc w:val="both"/>
              <w:rPr>
                <w:rFonts w:ascii="Times New Roman" w:eastAsia="Times New Roman" w:hAnsi="Times New Roman" w:cs="Times New Roman"/>
                <w:sz w:val="24"/>
              </w:rPr>
            </w:pPr>
            <w:r w:rsidRPr="000B62DC">
              <w:rPr>
                <w:rFonts w:ascii="Times New Roman" w:hAnsi="Times New Roman"/>
                <w:sz w:val="24"/>
              </w:rPr>
              <w:t xml:space="preserve">Les exigences de fonds propres sont calculées conformément à l’article 312 du règlement (UE) nº 575/2013. Cette ligne présente les exigences de fonds propres pour risque opérationnel qui coïncident avec la somme de la BIC et les exigences de fonds propres pour les lignes d’activité visées à l’article 314, paragraphe 4, le cas échéant. </w:t>
            </w:r>
          </w:p>
        </w:tc>
      </w:tr>
      <w:tr w:rsidR="00D740B8" w:rsidRPr="000B62DC"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0B62DC" w:rsidRDefault="00D740B8">
            <w:pPr>
              <w:autoSpaceDE w:val="0"/>
              <w:autoSpaceDN w:val="0"/>
              <w:adjustRightInd w:val="0"/>
              <w:spacing w:before="60" w:after="120"/>
              <w:jc w:val="center"/>
              <w:rPr>
                <w:rFonts w:ascii="Times New Roman" w:hAnsi="Times New Roman" w:cs="Times New Roman"/>
                <w:b/>
                <w:sz w:val="24"/>
              </w:rPr>
            </w:pPr>
            <w:r w:rsidRPr="000B62DC">
              <w:rPr>
                <w:rFonts w:ascii="Times New Roman" w:hAnsi="Times New Roman"/>
                <w:b/>
                <w:sz w:val="24"/>
              </w:rPr>
              <w:lastRenderedPageBreak/>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0B62DC" w:rsidRDefault="00D740B8" w:rsidP="008E4054">
            <w:pPr>
              <w:keepNext/>
              <w:spacing w:before="60" w:after="120"/>
              <w:jc w:val="both"/>
              <w:rPr>
                <w:rStyle w:val="InstructionsTabelleberschrift"/>
                <w:rFonts w:ascii="Times New Roman" w:eastAsia="Times New Roman" w:hAnsi="Times New Roman"/>
                <w:bCs w:val="0"/>
                <w:sz w:val="24"/>
                <w:u w:val="none"/>
              </w:rPr>
            </w:pPr>
            <w:r w:rsidRPr="000B62DC">
              <w:rPr>
                <w:rStyle w:val="InstructionsTabelleberschrift"/>
                <w:rFonts w:ascii="Times New Roman" w:hAnsi="Times New Roman"/>
                <w:sz w:val="24"/>
                <w:u w:val="none"/>
              </w:rPr>
              <w:t>Montants d’exposition au risque opérationnel (REA)</w:t>
            </w:r>
          </w:p>
          <w:p w14:paraId="317F9BDE" w14:textId="6672A695" w:rsidR="00D740B8" w:rsidRPr="000B62DC" w:rsidRDefault="00D740B8">
            <w:pPr>
              <w:spacing w:before="60" w:after="120"/>
              <w:jc w:val="both"/>
              <w:rPr>
                <w:rFonts w:ascii="Times New Roman" w:eastAsia="Times New Roman" w:hAnsi="Times New Roman" w:cs="Times New Roman"/>
                <w:sz w:val="24"/>
              </w:rPr>
            </w:pPr>
            <w:r w:rsidRPr="000B62DC">
              <w:rPr>
                <w:rFonts w:ascii="Times New Roman" w:hAnsi="Times New Roman"/>
                <w:sz w:val="24"/>
              </w:rPr>
              <w:t xml:space="preserve">Sur la base de l’article 92, paragraphe 3, point e), et de l’article 92, paragraphe 4, du règlement (UE) nº 575/2013, cette ligne publie les exigences de fonds propres de la ligne 3 multipliées par 12,5. </w:t>
            </w:r>
          </w:p>
        </w:tc>
      </w:tr>
    </w:tbl>
    <w:p w14:paraId="079B8CA0" w14:textId="77777777" w:rsidR="00D740B8" w:rsidRPr="000B62DC" w:rsidRDefault="00D740B8" w:rsidP="00D740B8">
      <w:pPr>
        <w:rPr>
          <w:rFonts w:ascii="Times New Roman" w:hAnsi="Times New Roman" w:cs="Times New Roman"/>
          <w:sz w:val="24"/>
        </w:rPr>
      </w:pPr>
    </w:p>
    <w:p w14:paraId="41C8F396" w14:textId="77777777" w:rsidR="002C1404" w:rsidRPr="000B62DC" w:rsidRDefault="002C1404"/>
    <w:sectPr w:rsidR="002C1404" w:rsidRPr="000B62D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0B62DC" w:rsidRDefault="00924970" w:rsidP="00E114F3">
      <w:r w:rsidRPr="000B62DC">
        <w:separator/>
      </w:r>
    </w:p>
  </w:endnote>
  <w:endnote w:type="continuationSeparator" w:id="0">
    <w:p w14:paraId="6750FE16" w14:textId="77777777" w:rsidR="00924970" w:rsidRPr="000B62DC" w:rsidRDefault="00924970" w:rsidP="00E114F3">
      <w:r w:rsidRPr="000B62DC">
        <w:continuationSeparator/>
      </w:r>
    </w:p>
  </w:endnote>
  <w:endnote w:type="continuationNotice" w:id="1">
    <w:p w14:paraId="44EFD629" w14:textId="77777777" w:rsidR="00924970" w:rsidRPr="000B62DC"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78CC2" w14:textId="77777777" w:rsidR="000B62DC" w:rsidRPr="000B62DC" w:rsidRDefault="000B6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0B62DC" w:rsidRDefault="00E114F3">
        <w:pPr>
          <w:pStyle w:val="Footer"/>
          <w:jc w:val="right"/>
        </w:pPr>
        <w:r w:rsidRPr="000B62DC">
          <w:fldChar w:fldCharType="begin"/>
        </w:r>
        <w:r w:rsidRPr="000B62DC">
          <w:instrText xml:space="preserve"> PAGE   \* MERGEFORMAT </w:instrText>
        </w:r>
        <w:r w:rsidRPr="000B62DC">
          <w:fldChar w:fldCharType="separate"/>
        </w:r>
        <w:r w:rsidR="00370155" w:rsidRPr="000B62DC">
          <w:t>1</w:t>
        </w:r>
        <w:r w:rsidRPr="000B62DC">
          <w:fldChar w:fldCharType="end"/>
        </w:r>
      </w:p>
    </w:sdtContent>
  </w:sdt>
  <w:p w14:paraId="049F31CB" w14:textId="77777777" w:rsidR="00E114F3" w:rsidRPr="000B62DC" w:rsidRDefault="00E1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8020" w14:textId="77777777" w:rsidR="000B62DC" w:rsidRPr="000B62DC" w:rsidRDefault="000B6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0B62DC" w:rsidRDefault="00924970" w:rsidP="00E114F3">
      <w:r w:rsidRPr="000B62DC">
        <w:separator/>
      </w:r>
    </w:p>
  </w:footnote>
  <w:footnote w:type="continuationSeparator" w:id="0">
    <w:p w14:paraId="3D7D4E32" w14:textId="77777777" w:rsidR="00924970" w:rsidRPr="000B62DC" w:rsidRDefault="00924970" w:rsidP="00E114F3">
      <w:r w:rsidRPr="000B62DC">
        <w:continuationSeparator/>
      </w:r>
    </w:p>
  </w:footnote>
  <w:footnote w:type="continuationNotice" w:id="1">
    <w:p w14:paraId="6FCD0CD0" w14:textId="77777777" w:rsidR="00924970" w:rsidRPr="000B62DC" w:rsidRDefault="00924970"/>
  </w:footnote>
  <w:footnote w:id="2">
    <w:p w14:paraId="3798489D" w14:textId="469FF1F7" w:rsidR="00E114F3" w:rsidRPr="000B62DC" w:rsidRDefault="00E114F3" w:rsidP="003D3122">
      <w:pPr>
        <w:pStyle w:val="FootnoteText"/>
      </w:pPr>
      <w:r w:rsidRPr="000B62DC">
        <w:rPr>
          <w:rStyle w:val="FootnoteReference"/>
          <w:rFonts w:cstheme="minorHAnsi"/>
        </w:rPr>
        <w:footnoteRef/>
      </w:r>
      <w:r w:rsidRPr="000B62DC">
        <w:tab/>
        <w:t>Règlement (UE) nº 575/2013 du Parlement européen et du Conseil du 26 juin 2013 concernant les exigences prudentielles applicables aux établissements de crédit et aux entreprises d’investissement et modifiant le règlement (UE) nº 648/2012 et règlement (UE) 2024/1623 [</w:t>
      </w:r>
      <w:hyperlink r:id="rId1" w:history="1">
        <w:r w:rsidRPr="000B62DC">
          <w:rPr>
            <w:rStyle w:val="Hyperlink"/>
            <w:color w:val="800080"/>
          </w:rPr>
          <w:t xml:space="preserve">JO L 176 du 27.6.2013, p. 1; </w:t>
        </w:r>
      </w:hyperlink>
      <w:hyperlink r:id="rId2" w:history="1">
        <w:r w:rsidRPr="000B62DC">
          <w:rPr>
            <w:rStyle w:val="Hyperlink"/>
          </w:rPr>
          <w:t>Règlement – UE – 2024/1623 – FR – EUR-Lex (europa.eu)</w:t>
        </w:r>
      </w:hyperlink>
      <w:r w:rsidRPr="000B62DC">
        <w:t>].</w:t>
      </w:r>
    </w:p>
    <w:p w14:paraId="45FB0818" w14:textId="77777777" w:rsidR="00E114F3" w:rsidRPr="000B62DC"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0B62DC" w:rsidRDefault="00864ECA">
    <w:pPr>
      <w:pStyle w:val="Header"/>
    </w:pPr>
    <w:r w:rsidRPr="000B62DC">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0B62DC" w:rsidRDefault="00864ECA" w:rsidP="00864ECA">
                          <w:pPr>
                            <w:rPr>
                              <w:rFonts w:ascii="Calibri" w:eastAsia="Calibri" w:hAnsi="Calibri" w:cs="Calibri"/>
                              <w:noProof/>
                              <w:color w:val="000000"/>
                              <w:sz w:val="24"/>
                            </w:rPr>
                          </w:pPr>
                          <w:r w:rsidRPr="000B62DC">
                            <w:rPr>
                              <w:rFonts w:ascii="Calibri" w:hAnsi="Calibri"/>
                              <w:color w:val="000000"/>
                              <w:sz w:val="24"/>
                            </w:rPr>
                            <w:t>À l’usage ordinaire de l’ABE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0B62DC" w:rsidRDefault="00864ECA" w:rsidP="00864ECA">
                    <w:pPr>
                      <w:rPr>
                        <w:rFonts w:ascii="Calibri" w:eastAsia="Calibri" w:hAnsi="Calibri" w:cs="Calibri"/>
                        <w:noProof/>
                        <w:color w:val="000000"/>
                        <w:sz w:val="24"/>
                      </w:rPr>
                    </w:pPr>
                    <w:r w:rsidRPr="000B62DC">
                      <w:rPr>
                        <w:rFonts w:ascii="Calibri" w:hAnsi="Calibri"/>
                        <w:color w:val="000000"/>
                        <w:sz w:val="24"/>
                      </w:rPr>
                      <w:t>À l’usage ordinaire de l’ABE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0B62DC" w:rsidRDefault="00864ECA">
    <w:pPr>
      <w:pStyle w:val="Header"/>
    </w:pPr>
    <w:r w:rsidRPr="000B62DC">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0B62DC" w:rsidRDefault="00864ECA" w:rsidP="00864ECA">
                          <w:pPr>
                            <w:rPr>
                              <w:rFonts w:ascii="Calibri" w:eastAsia="Calibri" w:hAnsi="Calibri" w:cs="Calibri"/>
                              <w:noProof/>
                              <w:color w:val="000000"/>
                              <w:sz w:val="24"/>
                            </w:rPr>
                          </w:pPr>
                          <w:r w:rsidRPr="000B62DC">
                            <w:rPr>
                              <w:rFonts w:ascii="Calibri" w:hAnsi="Calibri"/>
                              <w:color w:val="000000"/>
                              <w:sz w:val="24"/>
                            </w:rPr>
                            <w:t>À l’usage ordinaire de l’ABE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0B62DC" w:rsidRDefault="00864ECA" w:rsidP="00864ECA">
                    <w:pPr>
                      <w:rPr>
                        <w:rFonts w:ascii="Calibri" w:eastAsia="Calibri" w:hAnsi="Calibri" w:cs="Calibri"/>
                        <w:noProof/>
                        <w:color w:val="000000"/>
                        <w:sz w:val="24"/>
                      </w:rPr>
                    </w:pPr>
                    <w:r w:rsidRPr="000B62DC">
                      <w:rPr>
                        <w:rFonts w:ascii="Calibri" w:hAnsi="Calibri"/>
                        <w:color w:val="000000"/>
                        <w:sz w:val="24"/>
                      </w:rPr>
                      <w:t>À l’usage ordinaire de l’ABE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0B62DC" w:rsidRDefault="00864ECA">
    <w:pPr>
      <w:pStyle w:val="Header"/>
    </w:pPr>
    <w:r w:rsidRPr="000B62DC">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0B62DC" w:rsidRDefault="00864ECA" w:rsidP="00864ECA">
                          <w:pPr>
                            <w:rPr>
                              <w:rFonts w:ascii="Calibri" w:eastAsia="Calibri" w:hAnsi="Calibri" w:cs="Calibri"/>
                              <w:noProof/>
                              <w:color w:val="000000"/>
                              <w:sz w:val="24"/>
                            </w:rPr>
                          </w:pPr>
                          <w:r w:rsidRPr="000B62DC">
                            <w:rPr>
                              <w:rFonts w:ascii="Calibri" w:hAnsi="Calibri"/>
                              <w:color w:val="000000"/>
                              <w:sz w:val="24"/>
                            </w:rPr>
                            <w:t>À l’usage ordinaire de l’ABE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0B62DC" w:rsidRDefault="00864ECA" w:rsidP="00864ECA">
                    <w:pPr>
                      <w:rPr>
                        <w:rFonts w:ascii="Calibri" w:eastAsia="Calibri" w:hAnsi="Calibri" w:cs="Calibri"/>
                        <w:noProof/>
                        <w:color w:val="000000"/>
                        <w:sz w:val="24"/>
                      </w:rPr>
                    </w:pPr>
                    <w:r w:rsidRPr="000B62DC">
                      <w:rPr>
                        <w:rFonts w:ascii="Calibri" w:hAnsi="Calibri"/>
                        <w:color w:val="000000"/>
                        <w:sz w:val="24"/>
                      </w:rPr>
                      <w:t>À l’usage ordinaire de l’ABE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3594"/>
    <w:rsid w:val="00087F79"/>
    <w:rsid w:val="00090561"/>
    <w:rsid w:val="00095D07"/>
    <w:rsid w:val="00096102"/>
    <w:rsid w:val="000A0D62"/>
    <w:rsid w:val="000A12B5"/>
    <w:rsid w:val="000A7B76"/>
    <w:rsid w:val="000B16B1"/>
    <w:rsid w:val="000B2704"/>
    <w:rsid w:val="000B2D8F"/>
    <w:rsid w:val="000B3E22"/>
    <w:rsid w:val="000B4462"/>
    <w:rsid w:val="000B62DC"/>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577"/>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95FCF"/>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054"/>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fr-FR"/>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fr-FR"/>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fr-FR"/>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858D16-5A62-4E4D-96C3-F6E767B7E14B}">
  <ds:schemaRefs>
    <ds:schemaRef ds:uri="http://schemas.microsoft.com/sharepoint/v3/contenttype/forms"/>
  </ds:schemaRefs>
</ds:datastoreItem>
</file>

<file path=customXml/itemProps3.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customXml/itemProps4.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5667</Words>
  <Characters>32138</Characters>
  <Application>Microsoft Office Word</Application>
  <DocSecurity>0</DocSecurity>
  <Lines>267</Lines>
  <Paragraphs>75</Paragraphs>
  <ScaleCrop>false</ScaleCrop>
  <Manager/>
  <Company/>
  <LinksUpToDate>false</LinksUpToDate>
  <CharactersWithSpaces>37730</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