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DC44DB" w:rsidRDefault="00E114F3" w:rsidP="00DC44DB">
      <w:pPr>
        <w:pStyle w:val="Annexetitre"/>
        <w:spacing w:before="0"/>
      </w:pPr>
      <w:r w:rsidRPr="00DC44DB">
        <w:t>ANEXO XXXII – Instrucciones para las plantillas de divulgación de riesgos operativos</w:t>
      </w:r>
    </w:p>
    <w:p w14:paraId="672A6659" w14:textId="77777777" w:rsidR="00E114F3" w:rsidRPr="00DC44DB" w:rsidRDefault="00E114F3" w:rsidP="00E114F3">
      <w:pPr>
        <w:spacing w:after="120"/>
        <w:jc w:val="both"/>
        <w:rPr>
          <w:rFonts w:ascii="Times New Roman" w:hAnsi="Times New Roman"/>
          <w:b/>
          <w:bCs/>
          <w:sz w:val="24"/>
        </w:rPr>
      </w:pPr>
    </w:p>
    <w:p w14:paraId="384DD143" w14:textId="77777777" w:rsidR="00E114F3" w:rsidRPr="00DC44DB" w:rsidRDefault="00E114F3" w:rsidP="00E114F3">
      <w:pPr>
        <w:spacing w:after="120"/>
        <w:rPr>
          <w:rFonts w:ascii="Times New Roman" w:hAnsi="Times New Roman"/>
          <w:bCs/>
          <w:sz w:val="24"/>
        </w:rPr>
      </w:pPr>
      <w:r w:rsidRPr="00DC44DB">
        <w:rPr>
          <w:rFonts w:ascii="Times New Roman" w:hAnsi="Times New Roman"/>
          <w:b/>
          <w:sz w:val="24"/>
        </w:rPr>
        <w:t xml:space="preserve">Cuadro EU ORA - Información cualitativa sobre el riesgo operativo. </w:t>
      </w:r>
      <w:r w:rsidRPr="00DC44DB">
        <w:rPr>
          <w:rFonts w:ascii="Times New Roman" w:hAnsi="Times New Roman"/>
          <w:sz w:val="24"/>
        </w:rPr>
        <w:t>Cuadro flexible</w:t>
      </w:r>
    </w:p>
    <w:p w14:paraId="2E1E5572" w14:textId="6D56D6EF" w:rsidR="00E114F3" w:rsidRPr="00DC44DB" w:rsidRDefault="2A1FD4BE" w:rsidP="44B77564">
      <w:pPr>
        <w:numPr>
          <w:ilvl w:val="0"/>
          <w:numId w:val="1"/>
        </w:numPr>
        <w:spacing w:after="120"/>
        <w:jc w:val="both"/>
        <w:rPr>
          <w:rFonts w:ascii="Calibri" w:eastAsia="Times New Roman" w:hAnsi="Calibri" w:cs="Times New Roman"/>
          <w:color w:val="000000"/>
        </w:rPr>
      </w:pPr>
      <w:r w:rsidRPr="00DC44DB">
        <w:rPr>
          <w:rFonts w:ascii="Times New Roman" w:hAnsi="Times New Roman"/>
          <w:sz w:val="24"/>
        </w:rPr>
        <w:t>Las entidades divulgarán la información incluida en este cuadro en aplicación del artículo 435, apartado 1, y el artículo 446, apartado 1, letra a), del Reglamento (UE) n.º 575/2013</w:t>
      </w:r>
      <w:r w:rsidR="00E114F3" w:rsidRPr="00DC44DB">
        <w:rPr>
          <w:rStyle w:val="FootnoteReference"/>
          <w:rFonts w:ascii="Times New Roman" w:hAnsi="Times New Roman"/>
          <w:sz w:val="24"/>
          <w:szCs w:val="24"/>
        </w:rPr>
        <w:footnoteReference w:id="2"/>
      </w:r>
      <w:r w:rsidRPr="00DC44DB">
        <w:rPr>
          <w:rFonts w:ascii="Times New Roman" w:hAnsi="Times New Roman"/>
          <w:sz w:val="24"/>
        </w:rPr>
        <w:t>.</w:t>
      </w:r>
    </w:p>
    <w:p w14:paraId="728254AD" w14:textId="52B3E768" w:rsidR="00E114F3" w:rsidRPr="00DC44DB" w:rsidRDefault="00E114F3" w:rsidP="00E114F3">
      <w:pPr>
        <w:numPr>
          <w:ilvl w:val="0"/>
          <w:numId w:val="1"/>
        </w:numPr>
        <w:spacing w:after="120"/>
        <w:jc w:val="both"/>
        <w:rPr>
          <w:rFonts w:ascii="Times New Roman" w:hAnsi="Times New Roman"/>
          <w:bCs/>
          <w:sz w:val="24"/>
        </w:rPr>
      </w:pPr>
      <w:r w:rsidRPr="00DC44DB">
        <w:rPr>
          <w:rFonts w:ascii="Times New Roman" w:hAnsi="Times New Roman"/>
          <w:sz w:val="24"/>
        </w:rPr>
        <w:t>Las entidades aplicarán las instrucciones que figuran a continuación en el presente anexo para cumplimentar el cuadro de divulgación de información sobre el riesgo operativo EU ORA, que se recoge en el anexo XXXI de las soluciones informáticas de la ABE.</w:t>
      </w:r>
    </w:p>
    <w:tbl>
      <w:tblPr>
        <w:tblW w:w="8926" w:type="dxa"/>
        <w:tblLook w:val="04A0" w:firstRow="1" w:lastRow="0" w:firstColumn="1" w:lastColumn="0" w:noHBand="0" w:noVBand="1"/>
      </w:tblPr>
      <w:tblGrid>
        <w:gridCol w:w="1555"/>
        <w:gridCol w:w="7371"/>
      </w:tblGrid>
      <w:tr w:rsidR="00E114F3" w:rsidRPr="00DC44DB"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DC44DB" w:rsidRDefault="00E114F3">
            <w:pPr>
              <w:spacing w:after="120"/>
              <w:rPr>
                <w:rFonts w:ascii="Times New Roman" w:eastAsia="Times New Roman" w:hAnsi="Times New Roman" w:cs="Times New Roman"/>
                <w:b/>
                <w:bCs/>
                <w:color w:val="000000"/>
                <w:sz w:val="24"/>
              </w:rPr>
            </w:pPr>
            <w:r w:rsidRPr="00DC44DB">
              <w:rPr>
                <w:rFonts w:ascii="Times New Roman" w:hAnsi="Times New Roman"/>
                <w:b/>
                <w:color w:val="000000"/>
                <w:sz w:val="24"/>
              </w:rPr>
              <w:t>Referencias jurídicas e instrucciones</w:t>
            </w:r>
          </w:p>
        </w:tc>
      </w:tr>
      <w:tr w:rsidR="00E114F3" w:rsidRPr="00DC44DB"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DC44DB" w:rsidRDefault="00E114F3">
            <w:pPr>
              <w:spacing w:after="120"/>
              <w:rPr>
                <w:rFonts w:ascii="Times New Roman" w:eastAsia="Times New Roman" w:hAnsi="Times New Roman" w:cs="Times New Roman"/>
                <w:b/>
                <w:bCs/>
                <w:color w:val="000000"/>
                <w:sz w:val="24"/>
              </w:rPr>
            </w:pPr>
            <w:r w:rsidRPr="00DC44DB">
              <w:rPr>
                <w:rFonts w:ascii="Times New Roman" w:hAnsi="Times New Roman"/>
                <w:b/>
                <w:color w:val="000000"/>
                <w:sz w:val="24"/>
              </w:rPr>
              <w:t>Número de fila</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DC44DB" w:rsidRDefault="00E114F3">
            <w:pPr>
              <w:spacing w:after="120"/>
              <w:rPr>
                <w:rFonts w:ascii="Times New Roman" w:eastAsia="Times New Roman" w:hAnsi="Times New Roman" w:cs="Times New Roman"/>
                <w:b/>
                <w:bCs/>
                <w:color w:val="000000"/>
                <w:sz w:val="24"/>
              </w:rPr>
            </w:pPr>
            <w:r w:rsidRPr="00DC44DB">
              <w:rPr>
                <w:rFonts w:ascii="Times New Roman" w:hAnsi="Times New Roman"/>
                <w:b/>
                <w:color w:val="000000"/>
                <w:sz w:val="24"/>
              </w:rPr>
              <w:t>Explicación</w:t>
            </w:r>
          </w:p>
        </w:tc>
      </w:tr>
      <w:tr w:rsidR="00E114F3" w:rsidRPr="00DC44DB"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DC44DB" w:rsidRDefault="00E114F3">
            <w:pPr>
              <w:spacing w:after="120"/>
              <w:jc w:val="center"/>
              <w:rPr>
                <w:rFonts w:ascii="Times New Roman" w:eastAsia="Times New Roman" w:hAnsi="Times New Roman" w:cs="Times New Roman"/>
                <w:color w:val="000000"/>
                <w:sz w:val="24"/>
              </w:rPr>
            </w:pPr>
            <w:r w:rsidRPr="00DC44DB">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DC44DB" w:rsidRDefault="00E114F3">
            <w:pPr>
              <w:spacing w:after="120"/>
              <w:jc w:val="both"/>
              <w:rPr>
                <w:rFonts w:ascii="Times New Roman" w:eastAsia="Times New Roman" w:hAnsi="Times New Roman" w:cs="Times New Roman"/>
                <w:b/>
                <w:color w:val="000000"/>
                <w:sz w:val="24"/>
              </w:rPr>
            </w:pPr>
            <w:r w:rsidRPr="00DC44DB">
              <w:rPr>
                <w:rFonts w:ascii="Times New Roman" w:hAnsi="Times New Roman"/>
                <w:b/>
                <w:color w:val="000000"/>
                <w:sz w:val="24"/>
              </w:rPr>
              <w:t>Divulgación de los objetivos y políticas de gestión del riesgo</w:t>
            </w:r>
          </w:p>
          <w:p w14:paraId="65684A44" w14:textId="36ED8962" w:rsidR="00E114F3" w:rsidRPr="00DC44DB" w:rsidRDefault="2A1FD4BE">
            <w:pPr>
              <w:spacing w:after="120"/>
              <w:rPr>
                <w:rFonts w:ascii="Times New Roman" w:eastAsia="Times New Roman" w:hAnsi="Times New Roman" w:cs="Times New Roman"/>
                <w:color w:val="000000"/>
                <w:sz w:val="24"/>
              </w:rPr>
            </w:pPr>
            <w:r w:rsidRPr="00DC44DB">
              <w:rPr>
                <w:rFonts w:ascii="Times New Roman" w:hAnsi="Times New Roman"/>
                <w:color w:val="000000" w:themeColor="text1"/>
                <w:sz w:val="24"/>
              </w:rPr>
              <w:t>De conformidad con el artículo 435, apartado 1, letra a), del Reglamento (UE) n.º 575/2013, las entidades harán públicos sus objetivos, políticas, marcos y directrices de gestión de riesgos para la gestión del riesgo operativo, incluidas las estrategias y los procesos para gestionar dichos riesgos.</w:t>
            </w:r>
          </w:p>
        </w:tc>
      </w:tr>
      <w:tr w:rsidR="00E114F3" w:rsidRPr="00DC44DB"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DC44DB" w:rsidRDefault="00E114F3">
            <w:pPr>
              <w:spacing w:after="120"/>
              <w:jc w:val="center"/>
              <w:rPr>
                <w:rFonts w:ascii="Times New Roman" w:eastAsia="Times New Roman" w:hAnsi="Times New Roman" w:cs="Times New Roman"/>
                <w:color w:val="000000"/>
                <w:sz w:val="24"/>
              </w:rPr>
            </w:pPr>
            <w:r w:rsidRPr="00DC44DB">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DC44DB" w:rsidRDefault="00885AC5" w:rsidP="00885AC5">
            <w:pPr>
              <w:spacing w:before="120" w:after="120"/>
              <w:jc w:val="both"/>
              <w:rPr>
                <w:rFonts w:ascii="Times New Roman" w:eastAsia="Times New Roman" w:hAnsi="Times New Roman" w:cs="Times New Roman"/>
                <w:b/>
                <w:color w:val="000000"/>
                <w:sz w:val="24"/>
              </w:rPr>
            </w:pPr>
            <w:r w:rsidRPr="00DC44DB">
              <w:rPr>
                <w:rFonts w:ascii="Times New Roman" w:hAnsi="Times New Roman"/>
                <w:b/>
                <w:color w:val="000000"/>
                <w:sz w:val="24"/>
              </w:rPr>
              <w:t>Divulgación de la estructura y la organización de la función de gestión del riesgo operativo</w:t>
            </w:r>
          </w:p>
          <w:p w14:paraId="739779F0" w14:textId="092C61F0" w:rsidR="00E114F3" w:rsidRPr="00DC44DB" w:rsidRDefault="00885AC5">
            <w:pPr>
              <w:spacing w:after="120"/>
              <w:jc w:val="both"/>
              <w:rPr>
                <w:rFonts w:ascii="Times New Roman" w:eastAsia="Times New Roman" w:hAnsi="Times New Roman" w:cs="Times New Roman"/>
                <w:color w:val="000000"/>
                <w:sz w:val="24"/>
              </w:rPr>
            </w:pPr>
            <w:r w:rsidRPr="00DC44DB">
              <w:rPr>
                <w:rFonts w:ascii="Times New Roman" w:hAnsi="Times New Roman"/>
                <w:color w:val="000000" w:themeColor="text1"/>
                <w:sz w:val="24"/>
              </w:rPr>
              <w:t>De conformidad con el artículo 435, apartado 1, letra b), del Reglamento (UE) n.º 575/2013, las entidades divulgarán la estructura y organización de la función de gestión del riesgo operativo, incluida información sobre el fundamento de su autoridad, sus competencias y sus obligaciones de rendición de cuentas, de conformidad con los documentos de constitución y los estatutos de la entidad, así como sobre la función de control.</w:t>
            </w:r>
          </w:p>
        </w:tc>
      </w:tr>
      <w:tr w:rsidR="00E114F3" w:rsidRPr="00DC44DB"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DC44DB" w:rsidRDefault="00E114F3">
            <w:pPr>
              <w:spacing w:after="120"/>
              <w:jc w:val="center"/>
              <w:rPr>
                <w:rFonts w:ascii="Times New Roman" w:eastAsia="Times New Roman" w:hAnsi="Times New Roman" w:cs="Times New Roman"/>
                <w:color w:val="000000"/>
                <w:sz w:val="24"/>
              </w:rPr>
            </w:pPr>
            <w:r w:rsidRPr="00DC44DB">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DC44DB" w:rsidRDefault="005129A3" w:rsidP="005129A3">
            <w:pPr>
              <w:spacing w:before="120" w:after="120"/>
              <w:jc w:val="both"/>
              <w:rPr>
                <w:rFonts w:ascii="Times New Roman" w:eastAsia="Times New Roman" w:hAnsi="Times New Roman" w:cs="Times New Roman"/>
                <w:b/>
                <w:color w:val="000000"/>
                <w:sz w:val="24"/>
              </w:rPr>
            </w:pPr>
            <w:r w:rsidRPr="00DC44DB">
              <w:rPr>
                <w:rFonts w:ascii="Times New Roman" w:hAnsi="Times New Roman"/>
                <w:b/>
                <w:color w:val="000000"/>
                <w:sz w:val="24"/>
              </w:rPr>
              <w:t>Descripción del alcance y la naturaleza del sistema de medición</w:t>
            </w:r>
          </w:p>
          <w:p w14:paraId="2426746E" w14:textId="624D178E" w:rsidR="00E114F3" w:rsidRPr="00DC44DB" w:rsidRDefault="005129A3">
            <w:pPr>
              <w:spacing w:after="120"/>
              <w:jc w:val="both"/>
              <w:rPr>
                <w:rFonts w:ascii="Times New Roman" w:eastAsia="Times New Roman" w:hAnsi="Times New Roman" w:cs="Times New Roman"/>
                <w:color w:val="000000"/>
                <w:sz w:val="24"/>
              </w:rPr>
            </w:pPr>
            <w:r w:rsidRPr="00DC44DB">
              <w:rPr>
                <w:rFonts w:ascii="Times New Roman" w:hAnsi="Times New Roman"/>
                <w:color w:val="000000" w:themeColor="text1"/>
                <w:sz w:val="24"/>
              </w:rPr>
              <w:t>De conformidad con el artículo 435, apartado 1, letra c), del Reglamento (UE) n.º 575/2013, las entidades divulgarán el alcance y la naturaleza de los sistemas de medición del riesgo operativo (es decir, los sistemas y datos utilizados para medir el riesgo operativo a fin de estimar la exigencia de capital por riesgo operativo).</w:t>
            </w:r>
          </w:p>
        </w:tc>
      </w:tr>
      <w:tr w:rsidR="00E114F3" w:rsidRPr="00DC44DB"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DC44DB" w:rsidRDefault="00E114F3">
            <w:pPr>
              <w:spacing w:after="120"/>
              <w:jc w:val="center"/>
              <w:rPr>
                <w:rFonts w:ascii="Times New Roman" w:eastAsia="Times New Roman" w:hAnsi="Times New Roman" w:cs="Times New Roman"/>
                <w:color w:val="000000"/>
                <w:sz w:val="24"/>
              </w:rPr>
            </w:pPr>
            <w:r w:rsidRPr="00DC44DB">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DC44DB" w:rsidRDefault="005D02AE" w:rsidP="005D02AE">
            <w:pPr>
              <w:spacing w:before="120" w:after="120"/>
              <w:jc w:val="both"/>
              <w:rPr>
                <w:rFonts w:ascii="Times New Roman" w:eastAsia="Times New Roman" w:hAnsi="Times New Roman" w:cs="Times New Roman"/>
                <w:b/>
                <w:color w:val="000000"/>
                <w:sz w:val="24"/>
              </w:rPr>
            </w:pPr>
            <w:r w:rsidRPr="00DC44DB">
              <w:rPr>
                <w:rFonts w:ascii="Times New Roman" w:hAnsi="Times New Roman"/>
                <w:b/>
                <w:color w:val="000000" w:themeColor="text1"/>
                <w:sz w:val="24"/>
              </w:rPr>
              <w:t>Descripción el alcance y la naturaleza del marco de presentación de información sobre riesgos operativos.</w:t>
            </w:r>
          </w:p>
          <w:p w14:paraId="1EE9A69D" w14:textId="428D8604" w:rsidR="00E114F3" w:rsidRPr="00DC44DB" w:rsidRDefault="005D02AE">
            <w:pPr>
              <w:spacing w:after="120"/>
              <w:jc w:val="both"/>
              <w:rPr>
                <w:rFonts w:ascii="Times New Roman" w:eastAsia="Times New Roman" w:hAnsi="Times New Roman" w:cs="Times New Roman"/>
                <w:color w:val="000000"/>
                <w:sz w:val="24"/>
              </w:rPr>
            </w:pPr>
            <w:r w:rsidRPr="00DC44DB">
              <w:rPr>
                <w:rFonts w:ascii="Times New Roman" w:hAnsi="Times New Roman"/>
                <w:color w:val="000000" w:themeColor="text1"/>
                <w:sz w:val="24"/>
              </w:rPr>
              <w:t xml:space="preserve">De conformidad con el artículo 435, apartado 1, letra c), del Reglamento (UE) n.º 575/2013, las entidades revelarán el alcance y la naturaleza del </w:t>
            </w:r>
            <w:r w:rsidRPr="00DC44DB">
              <w:rPr>
                <w:rFonts w:ascii="Times New Roman" w:hAnsi="Times New Roman"/>
                <w:color w:val="000000" w:themeColor="text1"/>
                <w:sz w:val="24"/>
              </w:rPr>
              <w:lastRenderedPageBreak/>
              <w:t>marco de presentación de información sobre el riesgo operativo a la dirección ejecutiva y al Consejo de Administración.</w:t>
            </w:r>
          </w:p>
        </w:tc>
      </w:tr>
      <w:tr w:rsidR="00E5460F" w:rsidRPr="00DC44DB"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DC44DB" w:rsidRDefault="00E5460F">
            <w:pPr>
              <w:spacing w:after="120"/>
              <w:jc w:val="center"/>
              <w:rPr>
                <w:rFonts w:ascii="Times New Roman" w:eastAsia="Times New Roman" w:hAnsi="Times New Roman" w:cs="Times New Roman"/>
                <w:color w:val="000000"/>
                <w:sz w:val="24"/>
              </w:rPr>
            </w:pPr>
            <w:r w:rsidRPr="00DC44DB">
              <w:rPr>
                <w:rFonts w:ascii="Times New Roman" w:hAnsi="Times New Roman"/>
                <w:color w:val="000000"/>
                <w:sz w:val="24"/>
              </w:rPr>
              <w:lastRenderedPageBreak/>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DC44DB" w:rsidRDefault="00E25C0C" w:rsidP="00E25C0C">
            <w:pPr>
              <w:spacing w:before="120" w:after="120"/>
              <w:jc w:val="both"/>
              <w:rPr>
                <w:rFonts w:ascii="Times New Roman" w:eastAsia="Times New Roman" w:hAnsi="Times New Roman" w:cs="Times New Roman"/>
                <w:color w:val="000000"/>
                <w:sz w:val="24"/>
              </w:rPr>
            </w:pPr>
            <w:r w:rsidRPr="00DC44DB">
              <w:rPr>
                <w:rFonts w:ascii="Times New Roman" w:hAnsi="Times New Roman"/>
                <w:b/>
                <w:color w:val="000000" w:themeColor="text1"/>
                <w:sz w:val="24"/>
              </w:rPr>
              <w:t>Descripción de las políticas y estrategias de reducción y cobertura del riesgo</w:t>
            </w:r>
          </w:p>
          <w:p w14:paraId="443DC7A5" w14:textId="7D68A10D" w:rsidR="00E5460F" w:rsidRPr="00DC44DB" w:rsidDel="009A4E43" w:rsidRDefault="00E25C0C" w:rsidP="00E25C0C">
            <w:pPr>
              <w:spacing w:after="120"/>
              <w:jc w:val="both"/>
              <w:rPr>
                <w:rFonts w:ascii="Times New Roman" w:eastAsia="Times New Roman" w:hAnsi="Times New Roman" w:cs="Times New Roman"/>
                <w:b/>
                <w:color w:val="000000"/>
                <w:sz w:val="24"/>
              </w:rPr>
            </w:pPr>
            <w:r w:rsidRPr="00DC44DB">
              <w:rPr>
                <w:rFonts w:ascii="Times New Roman" w:hAnsi="Times New Roman"/>
                <w:color w:val="000000" w:themeColor="text1"/>
                <w:sz w:val="24"/>
              </w:rPr>
              <w:t>De conformidad con el artículo 435, apartado 1, letra d), del Reglamento (UE) n.º 575/2013, las entidades divulgarán sus políticas y estrategias de reducción y cobertura del riesgo utilizadas en la gestión del riesgo operativo, incluso cuando la reducción del riesgo operativo se logre a través de políticas (en cuyo caso divulgarán las políticas sobre cultura del riesgo, apetito de riesgo y externalización), o cuando se logre mediante la desinversión en empresas de alto riesgo o mediante el establecimiento de controles. Las entidades también divulgarán las exposiciones restantes que sean absorbidas por las propias entidades o, en su caso, las exposiciones restantes que se transfieran de diversas maneras, incluso a través de seguros.</w:t>
            </w:r>
          </w:p>
        </w:tc>
      </w:tr>
    </w:tbl>
    <w:p w14:paraId="0A37501D" w14:textId="77777777" w:rsidR="00E114F3" w:rsidRPr="00DC44DB" w:rsidRDefault="00E114F3" w:rsidP="00E114F3">
      <w:pPr>
        <w:spacing w:after="120"/>
        <w:jc w:val="both"/>
        <w:rPr>
          <w:rFonts w:ascii="Times New Roman" w:hAnsi="Times New Roman" w:cs="Times New Roman"/>
          <w:b/>
          <w:bCs/>
          <w:sz w:val="24"/>
        </w:rPr>
      </w:pPr>
    </w:p>
    <w:p w14:paraId="73228265" w14:textId="2825D40F" w:rsidR="00E114F3" w:rsidRPr="00DC44DB" w:rsidRDefault="00E114F3" w:rsidP="00E114F3">
      <w:pPr>
        <w:spacing w:after="120"/>
        <w:jc w:val="both"/>
        <w:rPr>
          <w:rFonts w:ascii="Times New Roman" w:hAnsi="Times New Roman" w:cs="Times New Roman"/>
          <w:bCs/>
          <w:sz w:val="24"/>
        </w:rPr>
      </w:pPr>
      <w:r w:rsidRPr="00DC44DB">
        <w:rPr>
          <w:rFonts w:ascii="Times New Roman" w:hAnsi="Times New Roman"/>
          <w:b/>
          <w:sz w:val="24"/>
        </w:rPr>
        <w:t xml:space="preserve">Plantilla EU OR1 – Pérdidas por riesgo operativo. </w:t>
      </w:r>
      <w:r w:rsidRPr="00DC44DB">
        <w:rPr>
          <w:rFonts w:ascii="Times New Roman" w:hAnsi="Times New Roman"/>
          <w:sz w:val="24"/>
        </w:rPr>
        <w:t>Plantilla fija</w:t>
      </w:r>
    </w:p>
    <w:p w14:paraId="70B287DB" w14:textId="7164F419" w:rsidR="00D740B8" w:rsidRPr="00DC44DB" w:rsidRDefault="00D740B8" w:rsidP="00D740B8">
      <w:pPr>
        <w:numPr>
          <w:ilvl w:val="0"/>
          <w:numId w:val="1"/>
        </w:numPr>
        <w:jc w:val="both"/>
        <w:rPr>
          <w:rFonts w:ascii="Times New Roman" w:hAnsi="Times New Roman" w:cs="Times New Roman"/>
          <w:bCs/>
          <w:sz w:val="24"/>
        </w:rPr>
      </w:pPr>
      <w:r w:rsidRPr="00DC44DB">
        <w:rPr>
          <w:rFonts w:ascii="Times New Roman" w:hAnsi="Times New Roman"/>
          <w:sz w:val="24"/>
        </w:rPr>
        <w:t>Las entidades divulgarán la información incluida en la plantilla EU OR1 en aplicación del artículo 446, apartado 2, letras a) y b), del Reglamento (UE) n.º 575/2013. Esta plantilla proporciona información sobre las pérdidas anuales por riesgo operativo incurridas en los últimos diez años, sobre la base de la fecha contable de las pérdidas incurridas. Estas pérdidas anuales por riesgo operativo se calcularán de conformidad con el artículo 316, apartado 1, del Reglamento (UE) n.º 575/2013 e incluirán, de conformidad con el artículo 317, apartado 2, del citado Reglamento, todas las pérdidas derivadas de todos los entes incluidos en el ámbito de consolidación, incluidas las pérdidas de las empresas fusionadas o adquiridas [con arreglo al artículo 321, apartado 1, del Reglamento (UE) n.º 575/2013]. Esta información se facilitará en la medida en que esté disponible y en la medida de lo posible, hasta que sean aplicables el artículo 316, apartado 3, el artículo 317, apartado 9, el artículo 320, apartado 3, y el artículo 321, apartado 2, del Reglamento (UE) n.º 575/2013.</w:t>
      </w:r>
    </w:p>
    <w:p w14:paraId="0C12CA7B" w14:textId="77777777" w:rsidR="00D740B8" w:rsidRPr="00DC44DB" w:rsidRDefault="00D740B8" w:rsidP="00D740B8">
      <w:pPr>
        <w:ind w:left="360"/>
        <w:jc w:val="both"/>
        <w:rPr>
          <w:rFonts w:ascii="Times New Roman" w:hAnsi="Times New Roman" w:cs="Times New Roman"/>
          <w:bCs/>
          <w:sz w:val="24"/>
        </w:rPr>
      </w:pPr>
    </w:p>
    <w:p w14:paraId="47EE9624" w14:textId="4A5B22B7" w:rsidR="00D740B8" w:rsidRPr="00DC44DB" w:rsidRDefault="00D740B8" w:rsidP="00D740B8">
      <w:pPr>
        <w:numPr>
          <w:ilvl w:val="0"/>
          <w:numId w:val="1"/>
        </w:numPr>
        <w:jc w:val="both"/>
        <w:rPr>
          <w:rFonts w:ascii="Times New Roman" w:hAnsi="Times New Roman" w:cs="Times New Roman"/>
          <w:sz w:val="24"/>
        </w:rPr>
      </w:pPr>
      <w:r w:rsidRPr="00DC44DB">
        <w:rPr>
          <w:rFonts w:ascii="Times New Roman" w:hAnsi="Times New Roman"/>
          <w:sz w:val="24"/>
        </w:rPr>
        <w:t>Las entidades divulgarán, para cada uno de los últimos diez años, datos sobre el número de pérdidas por riesgo operativo y el número de pérdidas por riesgo operativo excluidas, el importe total de las pérdidas por riesgo operativo deducidas las recuperaciones y el importe total de las pérdidas por riesgo operativo deducidas las recuperaciones y las pérdidas excluidas. El importe anual total de las pérdidas por riesgo operativo se calculará como la suma de todas las pérdidas netas de un ejercicio determinado, calculadas de conformidad con el artículo 318, apartado 1, del Reglamento (UE) n.º 575/2013, que sean iguales o superiores a los umbrales de los datos de pérdidas establecidos en el artículo 319, apartados 1 o 2, respectivamente, de dicho Reglamento (es decir, a 20 000 EUR y 100 000 EUR). No obstante, las pérdidas causadas por un evento común de riesgo operativo o por eventos múltiples ligados al mismo evento de riesgo operativo («evento raíz»), que se reconozcan en diferentes ejercicios contables, se sumarán para los últimos diez años a fin de determinar si se ha superado o no el umbral de divulgación. Las pérdidas y los ajustes deben publicarse con arreglo a lo dispuesto en el artículo 317, apartado 3, letra c), y en el artículo 318, del Reglamento (UE) n.º 575/2013. Estos importes se divulgarán en el ejercicio en el que se registraron en los estados financieros.</w:t>
      </w:r>
    </w:p>
    <w:p w14:paraId="2702CB88" w14:textId="77777777" w:rsidR="00D740B8" w:rsidRPr="00DC44DB" w:rsidRDefault="00D740B8" w:rsidP="00D740B8">
      <w:pPr>
        <w:pStyle w:val="ListParagraph"/>
        <w:rPr>
          <w:rFonts w:ascii="Times New Roman" w:hAnsi="Times New Roman"/>
          <w:bCs/>
          <w:sz w:val="24"/>
        </w:rPr>
      </w:pPr>
    </w:p>
    <w:p w14:paraId="3146DBD3" w14:textId="48F555B9" w:rsidR="00D740B8" w:rsidRPr="00DC44DB" w:rsidRDefault="00D740B8" w:rsidP="00D740B8">
      <w:pPr>
        <w:numPr>
          <w:ilvl w:val="0"/>
          <w:numId w:val="1"/>
        </w:numPr>
        <w:jc w:val="both"/>
        <w:rPr>
          <w:rFonts w:ascii="Times New Roman" w:hAnsi="Times New Roman" w:cs="Times New Roman"/>
          <w:bCs/>
          <w:sz w:val="24"/>
        </w:rPr>
      </w:pPr>
      <w:r w:rsidRPr="00DC44DB">
        <w:rPr>
          <w:rFonts w:ascii="Times New Roman" w:hAnsi="Times New Roman"/>
          <w:sz w:val="24"/>
        </w:rPr>
        <w:lastRenderedPageBreak/>
        <w:t xml:space="preserve"> En la información descriptiva adjunta, las entidades divulgarán las justificaciones agregadas de los eventos de riesgo operativo excepcional que se excluyeron del cálculo de las pérdidas anuales por riesgo operativo, de conformidad con el artículo 446, apartado 2, letra b), del Reglamento (UE) n.º 575/2013.</w:t>
      </w:r>
    </w:p>
    <w:p w14:paraId="066C0912" w14:textId="77777777" w:rsidR="00D740B8" w:rsidRPr="00DC44DB" w:rsidRDefault="00D740B8" w:rsidP="00D740B8">
      <w:pPr>
        <w:pStyle w:val="ListParagraph"/>
        <w:rPr>
          <w:rFonts w:ascii="Times New Roman" w:hAnsi="Times New Roman"/>
          <w:bCs/>
          <w:sz w:val="24"/>
        </w:rPr>
      </w:pPr>
    </w:p>
    <w:p w14:paraId="79A49BBA" w14:textId="5D2F1C9E" w:rsidR="00D740B8" w:rsidRPr="00DC44DB" w:rsidRDefault="00D740B8" w:rsidP="00D740B8">
      <w:pPr>
        <w:numPr>
          <w:ilvl w:val="0"/>
          <w:numId w:val="1"/>
        </w:numPr>
        <w:jc w:val="both"/>
        <w:rPr>
          <w:rFonts w:ascii="Times New Roman" w:hAnsi="Times New Roman" w:cs="Times New Roman"/>
          <w:bCs/>
          <w:sz w:val="24"/>
        </w:rPr>
      </w:pPr>
      <w:r w:rsidRPr="00DC44DB">
        <w:rPr>
          <w:rFonts w:ascii="Times New Roman" w:hAnsi="Times New Roman"/>
          <w:sz w:val="24"/>
        </w:rPr>
        <w:t xml:space="preserve"> Las entidades también divulgarán, de manera agregada, cualquier información significativa que pueda ayudar a los usuarios a comprender las pérdidas históricas, las recuperaciones y las reservas legales de las entidades, con la excepción de la información confidencial y de dominio privado.</w:t>
      </w:r>
    </w:p>
    <w:p w14:paraId="3AF72482" w14:textId="77777777" w:rsidR="00D740B8" w:rsidRPr="00DC44DB" w:rsidRDefault="00D740B8" w:rsidP="00D740B8">
      <w:pPr>
        <w:pStyle w:val="ListParagraph"/>
        <w:rPr>
          <w:rFonts w:ascii="Times New Roman" w:hAnsi="Times New Roman"/>
          <w:bCs/>
          <w:sz w:val="24"/>
        </w:rPr>
      </w:pPr>
    </w:p>
    <w:p w14:paraId="36406578" w14:textId="77777777" w:rsidR="00D740B8" w:rsidRPr="00DC44DB"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DC44DB" w14:paraId="7E388732" w14:textId="77777777">
        <w:tc>
          <w:tcPr>
            <w:tcW w:w="1271" w:type="dxa"/>
            <w:shd w:val="clear" w:color="auto" w:fill="BFBFBF" w:themeFill="background1" w:themeFillShade="BF"/>
          </w:tcPr>
          <w:p w14:paraId="5F81890E" w14:textId="77777777" w:rsidR="00D740B8" w:rsidRPr="00DC44DB" w:rsidRDefault="00D740B8">
            <w:pPr>
              <w:autoSpaceDE w:val="0"/>
              <w:autoSpaceDN w:val="0"/>
              <w:adjustRightInd w:val="0"/>
              <w:rPr>
                <w:rFonts w:ascii="Times New Roman" w:hAnsi="Times New Roman"/>
                <w:bCs/>
                <w:sz w:val="24"/>
              </w:rPr>
            </w:pPr>
            <w:r w:rsidRPr="00DC44DB">
              <w:rPr>
                <w:rFonts w:ascii="Times New Roman" w:hAnsi="Times New Roman"/>
                <w:b/>
                <w:sz w:val="24"/>
              </w:rPr>
              <w:t>Columna</w:t>
            </w:r>
          </w:p>
        </w:tc>
        <w:tc>
          <w:tcPr>
            <w:tcW w:w="7745" w:type="dxa"/>
            <w:shd w:val="clear" w:color="auto" w:fill="BFBFBF" w:themeFill="background1" w:themeFillShade="BF"/>
          </w:tcPr>
          <w:p w14:paraId="0773BD79" w14:textId="77777777" w:rsidR="00D740B8" w:rsidRPr="00DC44DB" w:rsidRDefault="00D740B8">
            <w:pPr>
              <w:spacing w:before="60" w:after="120"/>
              <w:jc w:val="both"/>
              <w:rPr>
                <w:rFonts w:ascii="Times New Roman" w:eastAsia="Times New Roman" w:hAnsi="Times New Roman" w:cs="Times New Roman"/>
                <w:b/>
                <w:sz w:val="24"/>
              </w:rPr>
            </w:pPr>
            <w:r w:rsidRPr="00DC44DB">
              <w:rPr>
                <w:rFonts w:ascii="Times New Roman" w:hAnsi="Times New Roman"/>
                <w:b/>
                <w:sz w:val="24"/>
              </w:rPr>
              <w:t>Referencias jurídicas e instrucciones</w:t>
            </w:r>
          </w:p>
        </w:tc>
      </w:tr>
      <w:tr w:rsidR="00D740B8" w:rsidRPr="00DC44DB" w14:paraId="4A7B0862" w14:textId="77777777">
        <w:tc>
          <w:tcPr>
            <w:tcW w:w="1271" w:type="dxa"/>
          </w:tcPr>
          <w:p w14:paraId="59A78ADD" w14:textId="77777777" w:rsidR="00D740B8" w:rsidRPr="00DC44DB" w:rsidRDefault="00D740B8">
            <w:pPr>
              <w:autoSpaceDE w:val="0"/>
              <w:autoSpaceDN w:val="0"/>
              <w:adjustRightInd w:val="0"/>
              <w:jc w:val="center"/>
              <w:rPr>
                <w:rFonts w:ascii="Times New Roman" w:hAnsi="Times New Roman"/>
                <w:bCs/>
                <w:sz w:val="24"/>
              </w:rPr>
            </w:pPr>
            <w:r w:rsidRPr="00DC44DB">
              <w:rPr>
                <w:rFonts w:ascii="Times New Roman" w:hAnsi="Times New Roman"/>
                <w:sz w:val="24"/>
              </w:rPr>
              <w:t xml:space="preserve">de la a </w:t>
            </w:r>
            <w:proofErr w:type="spellStart"/>
            <w:r w:rsidRPr="00DC44DB">
              <w:rPr>
                <w:rFonts w:ascii="Times New Roman" w:hAnsi="Times New Roman"/>
                <w:sz w:val="24"/>
              </w:rPr>
              <w:t>a</w:t>
            </w:r>
            <w:proofErr w:type="spellEnd"/>
            <w:r w:rsidRPr="00DC44DB">
              <w:rPr>
                <w:rFonts w:ascii="Times New Roman" w:hAnsi="Times New Roman"/>
                <w:sz w:val="24"/>
              </w:rPr>
              <w:t xml:space="preserve"> la j</w:t>
            </w:r>
          </w:p>
        </w:tc>
        <w:tc>
          <w:tcPr>
            <w:tcW w:w="7745" w:type="dxa"/>
          </w:tcPr>
          <w:p w14:paraId="0B872A50" w14:textId="77777777" w:rsidR="00D740B8" w:rsidRPr="00DC44DB" w:rsidRDefault="00D740B8">
            <w:pPr>
              <w:spacing w:before="120" w:after="120"/>
              <w:jc w:val="both"/>
              <w:rPr>
                <w:rFonts w:ascii="Times New Roman" w:eastAsia="Times New Roman" w:hAnsi="Times New Roman" w:cs="Times New Roman"/>
                <w:sz w:val="24"/>
              </w:rPr>
            </w:pPr>
            <w:r w:rsidRPr="00DC44DB">
              <w:rPr>
                <w:rFonts w:ascii="Times New Roman" w:hAnsi="Times New Roman"/>
                <w:b/>
                <w:sz w:val="24"/>
              </w:rPr>
              <w:t>Año (T, T-1, T-2, T-3, T-4, T-5, T-6, T-7, T-8 y T-9)</w:t>
            </w:r>
          </w:p>
          <w:p w14:paraId="5B6EF35C" w14:textId="3033D1CC" w:rsidR="00D740B8" w:rsidRPr="00DC44DB" w:rsidRDefault="00D740B8">
            <w:pPr>
              <w:spacing w:before="120" w:after="120"/>
              <w:rPr>
                <w:rFonts w:ascii="Times New Roman" w:hAnsi="Times New Roman"/>
                <w:sz w:val="24"/>
              </w:rPr>
            </w:pPr>
            <w:r w:rsidRPr="00DC44DB">
              <w:rPr>
                <w:rFonts w:ascii="Times New Roman" w:hAnsi="Times New Roman"/>
                <w:sz w:val="24"/>
              </w:rPr>
              <w:t xml:space="preserve">El valor indicado en la fila correspondiente, para los últimos diez ejercicios. </w:t>
            </w:r>
          </w:p>
        </w:tc>
      </w:tr>
      <w:tr w:rsidR="00D740B8" w:rsidRPr="00DC44DB" w14:paraId="7D63969A" w14:textId="77777777">
        <w:tc>
          <w:tcPr>
            <w:tcW w:w="1271" w:type="dxa"/>
          </w:tcPr>
          <w:p w14:paraId="6CFD6A05" w14:textId="77777777" w:rsidR="00D740B8" w:rsidRPr="00DC44DB" w:rsidRDefault="00D740B8">
            <w:pPr>
              <w:autoSpaceDE w:val="0"/>
              <w:autoSpaceDN w:val="0"/>
              <w:adjustRightInd w:val="0"/>
              <w:jc w:val="center"/>
              <w:rPr>
                <w:rFonts w:ascii="Times New Roman" w:hAnsi="Times New Roman"/>
                <w:bCs/>
                <w:sz w:val="24"/>
              </w:rPr>
            </w:pPr>
            <w:r w:rsidRPr="00DC44DB">
              <w:rPr>
                <w:rFonts w:ascii="Times New Roman" w:hAnsi="Times New Roman"/>
                <w:sz w:val="24"/>
              </w:rPr>
              <w:t>k</w:t>
            </w:r>
          </w:p>
        </w:tc>
        <w:tc>
          <w:tcPr>
            <w:tcW w:w="7745" w:type="dxa"/>
          </w:tcPr>
          <w:p w14:paraId="50D93A86" w14:textId="77777777" w:rsidR="00D740B8" w:rsidRPr="00DC44DB" w:rsidRDefault="00D740B8">
            <w:pPr>
              <w:spacing w:before="120" w:after="120"/>
              <w:jc w:val="both"/>
              <w:rPr>
                <w:rFonts w:ascii="Times New Roman" w:eastAsia="Times New Roman" w:hAnsi="Times New Roman" w:cs="Times New Roman"/>
                <w:b/>
                <w:sz w:val="24"/>
              </w:rPr>
            </w:pPr>
            <w:r w:rsidRPr="00DC44DB">
              <w:rPr>
                <w:rFonts w:ascii="Times New Roman" w:hAnsi="Times New Roman"/>
                <w:b/>
                <w:sz w:val="24"/>
              </w:rPr>
              <w:t>Promedio a diez años</w:t>
            </w:r>
          </w:p>
          <w:p w14:paraId="38A7187F" w14:textId="0CB464F2" w:rsidR="00D740B8" w:rsidRPr="00DC44DB" w:rsidRDefault="00D740B8">
            <w:pPr>
              <w:spacing w:before="120" w:after="120"/>
              <w:rPr>
                <w:rFonts w:ascii="Times New Roman" w:hAnsi="Times New Roman"/>
                <w:bCs/>
                <w:sz w:val="24"/>
              </w:rPr>
            </w:pPr>
            <w:r w:rsidRPr="00DC44DB">
              <w:rPr>
                <w:rFonts w:ascii="Times New Roman" w:hAnsi="Times New Roman"/>
                <w:sz w:val="24"/>
              </w:rPr>
              <w:t>La media de los valores indicados por la fila correspondiente en los últimos diez años.</w:t>
            </w:r>
          </w:p>
        </w:tc>
      </w:tr>
    </w:tbl>
    <w:p w14:paraId="7095834F" w14:textId="77777777" w:rsidR="00D740B8" w:rsidRPr="00DC44DB" w:rsidRDefault="00D740B8" w:rsidP="00D740B8">
      <w:pPr>
        <w:pStyle w:val="ListParagraph"/>
        <w:rPr>
          <w:rFonts w:ascii="Times New Roman" w:hAnsi="Times New Roman"/>
          <w:bCs/>
          <w:sz w:val="24"/>
        </w:rPr>
      </w:pPr>
    </w:p>
    <w:p w14:paraId="32DB6729" w14:textId="77777777" w:rsidR="00D740B8" w:rsidRPr="00DC44DB" w:rsidRDefault="00D740B8" w:rsidP="00D740B8">
      <w:pPr>
        <w:pStyle w:val="ListParagraph"/>
        <w:rPr>
          <w:rFonts w:ascii="Times New Roman" w:hAnsi="Times New Roman"/>
          <w:bCs/>
          <w:sz w:val="24"/>
        </w:rPr>
      </w:pPr>
    </w:p>
    <w:p w14:paraId="2611544E" w14:textId="77777777" w:rsidR="00D740B8" w:rsidRPr="00DC44DB"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DC44DB"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DC44DB" w:rsidRDefault="00D740B8">
            <w:pPr>
              <w:autoSpaceDE w:val="0"/>
              <w:autoSpaceDN w:val="0"/>
              <w:adjustRightInd w:val="0"/>
              <w:rPr>
                <w:rFonts w:ascii="Times New Roman" w:hAnsi="Times New Roman" w:cs="Times New Roman"/>
                <w:b/>
                <w:sz w:val="24"/>
              </w:rPr>
            </w:pPr>
            <w:r w:rsidRPr="00DC44DB">
              <w:rPr>
                <w:rFonts w:ascii="Times New Roman" w:hAnsi="Times New Roman"/>
                <w:b/>
                <w:sz w:val="24"/>
              </w:rPr>
              <w:t>Fila</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DC44DB" w:rsidRDefault="00D740B8">
            <w:pPr>
              <w:rPr>
                <w:rFonts w:ascii="Times New Roman" w:hAnsi="Times New Roman" w:cs="Times New Roman"/>
                <w:b/>
                <w:sz w:val="24"/>
              </w:rPr>
            </w:pPr>
            <w:r w:rsidRPr="00DC44DB">
              <w:rPr>
                <w:rFonts w:ascii="Times New Roman" w:hAnsi="Times New Roman"/>
                <w:b/>
                <w:sz w:val="24"/>
              </w:rPr>
              <w:t>Referencias jurídicas e instrucciones</w:t>
            </w:r>
          </w:p>
        </w:tc>
      </w:tr>
      <w:tr w:rsidR="00D740B8" w:rsidRPr="00DC44DB"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DC44DB" w:rsidRDefault="00D740B8">
            <w:pPr>
              <w:spacing w:before="120" w:after="120"/>
              <w:jc w:val="both"/>
              <w:rPr>
                <w:rFonts w:ascii="Times New Roman" w:eastAsia="Times New Roman" w:hAnsi="Times New Roman" w:cs="Times New Roman"/>
                <w:b/>
                <w:sz w:val="24"/>
              </w:rPr>
            </w:pPr>
            <w:r w:rsidRPr="00DC44DB">
              <w:rPr>
                <w:rFonts w:ascii="Times New Roman" w:hAnsi="Times New Roman"/>
                <w:b/>
                <w:sz w:val="24"/>
              </w:rPr>
              <w:t>Importe total de las pérdidas por riesgo operativo deducidas las recuperaciones (sin exclusiones)</w:t>
            </w:r>
          </w:p>
          <w:p w14:paraId="73A6B59F" w14:textId="42A729DD" w:rsidR="00D740B8" w:rsidRPr="00DC44DB" w:rsidRDefault="00D740B8">
            <w:pPr>
              <w:spacing w:before="120" w:after="120"/>
              <w:jc w:val="both"/>
              <w:rPr>
                <w:rFonts w:ascii="Times New Roman" w:eastAsia="Times New Roman" w:hAnsi="Times New Roman" w:cs="Times New Roman"/>
                <w:sz w:val="24"/>
              </w:rPr>
            </w:pPr>
            <w:r w:rsidRPr="00DC44DB">
              <w:rPr>
                <w:rFonts w:ascii="Times New Roman" w:hAnsi="Times New Roman"/>
                <w:sz w:val="24"/>
              </w:rPr>
              <w:t>Artículo 446, apartado 2, letra a), y artículo 316, apartado 1, del Reglamento (UE) n.º 575/2013.</w:t>
            </w:r>
          </w:p>
          <w:p w14:paraId="5D929629" w14:textId="254FA976" w:rsidR="00D740B8" w:rsidRPr="00DC44DB" w:rsidRDefault="002B0785">
            <w:pPr>
              <w:spacing w:before="120" w:after="120"/>
              <w:jc w:val="both"/>
              <w:rPr>
                <w:rFonts w:ascii="Times New Roman" w:eastAsia="Times New Roman" w:hAnsi="Times New Roman" w:cs="Times New Roman"/>
                <w:b/>
                <w:sz w:val="24"/>
              </w:rPr>
            </w:pPr>
            <w:r w:rsidRPr="00DC44DB">
              <w:rPr>
                <w:rFonts w:ascii="Times New Roman" w:hAnsi="Times New Roman"/>
                <w:sz w:val="24"/>
              </w:rPr>
              <w:t>En la fila se indicará el importe total de las pérdidas deducidas las recuperaciones resultantes de eventos de pérdida que superen el umbral de eventos de pérdida de 20 000 EUR para cada uno de los últimos diez períodos de referencia, incluidas las pérdidas derivadas de fusiones y adquisiciones. Las pérdidas causadas por un evento común de riesgo operativo, o por eventos múltiples ligados al mismo evento de riesgo operativo, que se reconozcan en diferentes ejercicios contables, se sumarán para los últimos diez años con el fin de determinar si se supera o no el umbral de divulgación. Los eventos excepcionales de riesgo operativo del año que ya no sean relevantes para el perfil de riesgo de la entidad y para los que la entidad haya recibido autorización de la autoridad competente para excluirlos de las pérdidas anuales por riesgo operativo de la entidad, de conformidad con el artículo 320, apartado 1, del Reglamento (UE) n.º 575/2013, se seguirán teniendo en cuenta en el cálculo del elemento para esta fila.</w:t>
            </w:r>
          </w:p>
        </w:tc>
      </w:tr>
      <w:tr w:rsidR="00D740B8" w:rsidRPr="00DC44DB"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DC44DB" w:rsidRDefault="00D740B8">
            <w:pPr>
              <w:spacing w:before="120" w:after="120"/>
              <w:jc w:val="both"/>
              <w:rPr>
                <w:rFonts w:ascii="Times New Roman" w:eastAsia="Times New Roman" w:hAnsi="Times New Roman" w:cs="Times New Roman"/>
                <w:b/>
                <w:sz w:val="24"/>
              </w:rPr>
            </w:pPr>
            <w:r w:rsidRPr="00DC44DB">
              <w:rPr>
                <w:rFonts w:ascii="Times New Roman" w:hAnsi="Times New Roman"/>
                <w:b/>
                <w:sz w:val="24"/>
              </w:rPr>
              <w:t>Número total de pérdidas por riesgo operativo</w:t>
            </w:r>
          </w:p>
          <w:p w14:paraId="2EA91375" w14:textId="28AF0058" w:rsidR="00D740B8" w:rsidRPr="00DC44DB" w:rsidRDefault="00D740B8">
            <w:pPr>
              <w:spacing w:before="120" w:after="120"/>
              <w:jc w:val="both"/>
              <w:rPr>
                <w:rFonts w:ascii="Times New Roman" w:eastAsia="Times New Roman" w:hAnsi="Times New Roman" w:cs="Times New Roman"/>
                <w:sz w:val="24"/>
              </w:rPr>
            </w:pPr>
            <w:r w:rsidRPr="00DC44DB">
              <w:rPr>
                <w:rFonts w:ascii="Times New Roman" w:hAnsi="Times New Roman"/>
                <w:sz w:val="24"/>
              </w:rPr>
              <w:t>Artículo 446, apartado 2, letra a), y artículo 316, apartado 1, del Reglamento (UE) n.º 575/2013.</w:t>
            </w:r>
          </w:p>
          <w:p w14:paraId="275C478C" w14:textId="69738AFF" w:rsidR="00D740B8" w:rsidRPr="00DC44DB" w:rsidRDefault="00471410">
            <w:pPr>
              <w:spacing w:before="120" w:after="120"/>
              <w:rPr>
                <w:rFonts w:ascii="Times New Roman" w:eastAsia="Times New Roman" w:hAnsi="Times New Roman" w:cs="Times New Roman"/>
                <w:sz w:val="24"/>
              </w:rPr>
            </w:pPr>
            <w:r w:rsidRPr="00DC44DB">
              <w:rPr>
                <w:rFonts w:ascii="Times New Roman" w:hAnsi="Times New Roman"/>
                <w:sz w:val="24"/>
              </w:rPr>
              <w:lastRenderedPageBreak/>
              <w:t>El número total de pérdidas por riesgo operativo que superen el umbral de eventos de pérdida de 20 000 EUR.</w:t>
            </w:r>
          </w:p>
        </w:tc>
      </w:tr>
      <w:tr w:rsidR="00D740B8" w:rsidRPr="00DC44DB"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DC44DB" w:rsidRDefault="00D740B8">
            <w:pPr>
              <w:spacing w:before="120" w:after="120"/>
              <w:jc w:val="both"/>
              <w:rPr>
                <w:rFonts w:ascii="Times New Roman" w:eastAsia="Times New Roman" w:hAnsi="Times New Roman" w:cs="Times New Roman"/>
                <w:b/>
                <w:sz w:val="24"/>
              </w:rPr>
            </w:pPr>
            <w:r w:rsidRPr="00DC44DB">
              <w:rPr>
                <w:rFonts w:ascii="Times New Roman" w:hAnsi="Times New Roman"/>
                <w:b/>
                <w:sz w:val="24"/>
              </w:rPr>
              <w:t>Importe total de las pérdidas por riesgo operativo excluidas</w:t>
            </w:r>
          </w:p>
          <w:p w14:paraId="5C1A66AF" w14:textId="5CAD041D" w:rsidR="00D740B8" w:rsidRPr="00DC44DB" w:rsidRDefault="00D740B8">
            <w:pPr>
              <w:spacing w:before="120" w:after="120"/>
              <w:rPr>
                <w:rFonts w:ascii="Times New Roman" w:eastAsia="Times New Roman" w:hAnsi="Times New Roman" w:cs="Times New Roman"/>
                <w:sz w:val="24"/>
              </w:rPr>
            </w:pPr>
            <w:r w:rsidRPr="00DC44DB">
              <w:rPr>
                <w:rFonts w:ascii="Times New Roman" w:hAnsi="Times New Roman"/>
                <w:sz w:val="24"/>
              </w:rPr>
              <w:t>Artículo 446, apartado 2, letra b), y artículo 320, apartado 1, del Reglamento (UE) n.º 575/2013.</w:t>
            </w:r>
          </w:p>
          <w:p w14:paraId="7BE235CA" w14:textId="7483A5B2" w:rsidR="00D740B8" w:rsidRPr="00DC44DB" w:rsidRDefault="002B0785">
            <w:pPr>
              <w:spacing w:before="120" w:after="120"/>
              <w:rPr>
                <w:rFonts w:ascii="Times New Roman" w:eastAsia="Times New Roman" w:hAnsi="Times New Roman" w:cs="Times New Roman"/>
                <w:sz w:val="24"/>
              </w:rPr>
            </w:pPr>
            <w:r w:rsidRPr="00DC44DB">
              <w:rPr>
                <w:rFonts w:ascii="Times New Roman" w:hAnsi="Times New Roman"/>
                <w:sz w:val="24"/>
              </w:rPr>
              <w:t>Los importes totales de pérdidas netas que superen el umbral de pérdidas de 20 000 EUR que se excluyeron de conformidad con el artículo 320, apartado 1, del Reglamento (UE) n.º 575/2013, para cada uno de los diez últimos períodos de referencia.</w:t>
            </w:r>
          </w:p>
        </w:tc>
      </w:tr>
      <w:tr w:rsidR="00D740B8" w:rsidRPr="00DC44DB"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DC44DB" w:rsidRDefault="00D740B8">
            <w:pPr>
              <w:spacing w:before="12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Número total de eventos de riesgo operativo excluidos</w:t>
            </w:r>
          </w:p>
          <w:p w14:paraId="7914E462" w14:textId="7978A3B5" w:rsidR="00D740B8" w:rsidRPr="00DC44DB" w:rsidRDefault="00D740B8">
            <w:pPr>
              <w:spacing w:before="120" w:after="120"/>
              <w:rPr>
                <w:rFonts w:ascii="Times New Roman" w:eastAsia="Times New Roman" w:hAnsi="Times New Roman" w:cs="Times New Roman"/>
                <w:sz w:val="24"/>
              </w:rPr>
            </w:pPr>
            <w:r w:rsidRPr="00DC44DB">
              <w:rPr>
                <w:rFonts w:ascii="Times New Roman" w:hAnsi="Times New Roman"/>
                <w:sz w:val="24"/>
              </w:rPr>
              <w:t>Artículo 446, apartado 2, letra b), y artículo 320, apartado 1, del Reglamento (UE) n.º 575/2013.</w:t>
            </w:r>
          </w:p>
          <w:p w14:paraId="318A732C" w14:textId="242D554F" w:rsidR="00D740B8" w:rsidRPr="00DC44DB" w:rsidRDefault="009D4A12">
            <w:pPr>
              <w:spacing w:before="120" w:after="120"/>
              <w:jc w:val="both"/>
              <w:rPr>
                <w:rFonts w:ascii="Times New Roman" w:eastAsia="Times New Roman" w:hAnsi="Times New Roman" w:cs="Times New Roman"/>
                <w:sz w:val="24"/>
              </w:rPr>
            </w:pPr>
            <w:r w:rsidRPr="00DC44DB">
              <w:rPr>
                <w:rFonts w:ascii="Times New Roman" w:hAnsi="Times New Roman"/>
                <w:sz w:val="24"/>
              </w:rPr>
              <w:t xml:space="preserve">El número total de eventos excepcionales de riesgo operativo que superen un umbral de eventos de pérdida de 20 000 EUR que se excluyeron de conformidad con el artículo 320, apartado 1, del Reglamento (UE) n.º 575/2013 para cada uno de los diez últimos períodos de referencia. </w:t>
            </w:r>
          </w:p>
        </w:tc>
      </w:tr>
      <w:tr w:rsidR="00D740B8" w:rsidRPr="00DC44DB"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DC44DB" w:rsidRDefault="00D740B8">
            <w:pPr>
              <w:spacing w:before="12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Importe total de las pérdidas por riesgo operativo deducidas las recuperaciones y pérdidas excluidas</w:t>
            </w:r>
          </w:p>
          <w:p w14:paraId="4203582A" w14:textId="7C24EBAE" w:rsidR="00D740B8" w:rsidRPr="00DC44DB" w:rsidRDefault="002B0785">
            <w:pPr>
              <w:spacing w:before="120" w:after="120"/>
              <w:jc w:val="both"/>
              <w:rPr>
                <w:rFonts w:ascii="Times New Roman" w:eastAsia="Times New Roman" w:hAnsi="Times New Roman" w:cs="Times New Roman"/>
                <w:sz w:val="24"/>
              </w:rPr>
            </w:pPr>
            <w:r w:rsidRPr="00DC44DB">
              <w:rPr>
                <w:rFonts w:ascii="Times New Roman" w:hAnsi="Times New Roman"/>
                <w:sz w:val="24"/>
              </w:rPr>
              <w:t>El importe total de las pérdidas por riesgo operativo, menos el importe de las recuperaciones divulgadas en la fila 1, y menos las pérdidas excluidas divulgadas en la fila 3.</w:t>
            </w:r>
          </w:p>
        </w:tc>
      </w:tr>
      <w:tr w:rsidR="00D740B8" w:rsidRPr="00DC44DB"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DC44DB" w:rsidRDefault="00D740B8">
            <w:pPr>
              <w:spacing w:before="120" w:after="120"/>
              <w:jc w:val="both"/>
              <w:rPr>
                <w:rFonts w:ascii="Times New Roman" w:eastAsia="Times New Roman" w:hAnsi="Times New Roman" w:cs="Times New Roman"/>
                <w:b/>
                <w:sz w:val="24"/>
              </w:rPr>
            </w:pPr>
            <w:r w:rsidRPr="00DC44DB">
              <w:rPr>
                <w:rFonts w:ascii="Times New Roman" w:hAnsi="Times New Roman"/>
                <w:b/>
                <w:sz w:val="24"/>
              </w:rPr>
              <w:t>Importe total de las pérdidas por riesgo operativo deducidas las recuperaciones (sin exclusiones)</w:t>
            </w:r>
          </w:p>
          <w:p w14:paraId="647BDEC8" w14:textId="66617A83" w:rsidR="00D740B8" w:rsidRPr="00DC44DB" w:rsidRDefault="00D740B8">
            <w:pPr>
              <w:spacing w:before="120" w:after="120"/>
              <w:jc w:val="both"/>
              <w:rPr>
                <w:rFonts w:ascii="Times New Roman" w:eastAsia="Times New Roman" w:hAnsi="Times New Roman" w:cs="Times New Roman"/>
                <w:sz w:val="24"/>
              </w:rPr>
            </w:pPr>
            <w:r w:rsidRPr="00DC44DB">
              <w:rPr>
                <w:rFonts w:ascii="Times New Roman" w:hAnsi="Times New Roman"/>
                <w:sz w:val="24"/>
              </w:rPr>
              <w:t>Artículo 446, apartado 2, letra a), y artículo 316, apartado 1, del Reglamento (UE) n.º 575/2013.</w:t>
            </w:r>
          </w:p>
          <w:p w14:paraId="7F1E94AA" w14:textId="3C3700EE" w:rsidR="00D740B8" w:rsidRPr="00DC44DB" w:rsidRDefault="003D54AC">
            <w:pPr>
              <w:spacing w:before="120" w:after="120"/>
              <w:jc w:val="both"/>
              <w:rPr>
                <w:rStyle w:val="InstructionsTabelleberschrift"/>
                <w:rFonts w:ascii="Times New Roman" w:eastAsia="Times New Roman" w:hAnsi="Times New Roman"/>
                <w:bCs w:val="0"/>
                <w:sz w:val="24"/>
              </w:rPr>
            </w:pPr>
            <w:r w:rsidRPr="00DC44DB">
              <w:rPr>
                <w:rFonts w:ascii="Times New Roman" w:hAnsi="Times New Roman"/>
                <w:sz w:val="24"/>
              </w:rPr>
              <w:t>El importe total de las pérdidas por riesgo operativo, menos el importe de las recuperaciones, resultantes de eventos de pérdida que superen un umbral de eventos de pérdida de 100 000 EUR para cada uno de los últimos diez períodos de referencia, incluidas las pérdidas derivadas de fusiones y adquisiciones. Las pérdidas causadas por un evento común de riesgo operativo, o por eventos múltiples ligados al mismo evento de riesgo operativo, que se reconozcan en diferentes ejercicios contables, se sumarán para los últimos diez años con el fin de determinar si se supera o no el umbral de divulgación. Los eventos excepcionales de riesgo operativo del año que ya no sean relevantes para el perfil de riesgo de la entidad y para los que la entidad haya recibido autorización de la autoridad competente para excluirlos de las pérdidas anuales por riesgo operativo de la entidad, de conformidad con el artículo 320, apartado 1, del Reglamento (UE) n.º 575/2013, se seguirán teniendo en cuenta en el cálculo del elemento para esta fila.</w:t>
            </w:r>
          </w:p>
        </w:tc>
      </w:tr>
      <w:tr w:rsidR="00D740B8" w:rsidRPr="00DC44DB"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DC44DB" w:rsidRDefault="00D740B8">
            <w:pPr>
              <w:spacing w:before="120" w:after="120"/>
              <w:jc w:val="both"/>
              <w:rPr>
                <w:rFonts w:ascii="Times New Roman" w:eastAsia="Times New Roman" w:hAnsi="Times New Roman" w:cs="Times New Roman"/>
                <w:b/>
                <w:sz w:val="24"/>
              </w:rPr>
            </w:pPr>
            <w:r w:rsidRPr="00DC44DB">
              <w:rPr>
                <w:rFonts w:ascii="Times New Roman" w:hAnsi="Times New Roman"/>
                <w:b/>
                <w:sz w:val="24"/>
              </w:rPr>
              <w:t>Número total de pérdidas por riesgo operativo</w:t>
            </w:r>
          </w:p>
          <w:p w14:paraId="7AD8EE0D" w14:textId="092E19E2" w:rsidR="00D740B8" w:rsidRPr="00DC44DB" w:rsidRDefault="00D740B8">
            <w:pPr>
              <w:spacing w:before="120" w:after="120"/>
              <w:jc w:val="both"/>
              <w:rPr>
                <w:rFonts w:ascii="Times New Roman" w:eastAsia="Times New Roman" w:hAnsi="Times New Roman" w:cs="Times New Roman"/>
                <w:sz w:val="24"/>
              </w:rPr>
            </w:pPr>
            <w:r w:rsidRPr="00DC44DB">
              <w:rPr>
                <w:rFonts w:ascii="Times New Roman" w:hAnsi="Times New Roman"/>
                <w:sz w:val="24"/>
              </w:rPr>
              <w:t>Artículo 446, apartado 2, letra a), y artículo 316, apartado 1, del Reglamento (UE) n.º 575/2013.</w:t>
            </w:r>
          </w:p>
          <w:p w14:paraId="6F316B8B" w14:textId="6ABB567B" w:rsidR="00D740B8" w:rsidRPr="00DC44DB" w:rsidRDefault="00471410">
            <w:pPr>
              <w:spacing w:before="120" w:after="120"/>
              <w:jc w:val="both"/>
              <w:rPr>
                <w:rStyle w:val="InstructionsTabelleberschrift"/>
                <w:rFonts w:ascii="Times New Roman" w:eastAsia="Times New Roman" w:hAnsi="Times New Roman"/>
                <w:bCs w:val="0"/>
                <w:sz w:val="24"/>
              </w:rPr>
            </w:pPr>
            <w:r w:rsidRPr="00DC44DB">
              <w:rPr>
                <w:rFonts w:ascii="Times New Roman" w:hAnsi="Times New Roman"/>
                <w:sz w:val="24"/>
              </w:rPr>
              <w:lastRenderedPageBreak/>
              <w:t>El número total de pérdidas por riesgo operativo que superen el umbral de eventos de pérdida de 100 000 EUR.</w:t>
            </w:r>
          </w:p>
        </w:tc>
      </w:tr>
      <w:tr w:rsidR="00D740B8" w:rsidRPr="00DC44DB"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lastRenderedPageBreak/>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DC44DB" w:rsidRDefault="00D740B8">
            <w:pPr>
              <w:spacing w:before="120" w:after="120"/>
              <w:jc w:val="both"/>
              <w:rPr>
                <w:rFonts w:ascii="Times New Roman" w:eastAsia="Times New Roman" w:hAnsi="Times New Roman" w:cs="Times New Roman"/>
                <w:b/>
                <w:sz w:val="24"/>
              </w:rPr>
            </w:pPr>
            <w:r w:rsidRPr="00DC44DB">
              <w:rPr>
                <w:rFonts w:ascii="Times New Roman" w:hAnsi="Times New Roman"/>
                <w:b/>
                <w:sz w:val="24"/>
              </w:rPr>
              <w:t>Importe total de las pérdidas por riesgo operativo excluidas</w:t>
            </w:r>
          </w:p>
          <w:p w14:paraId="71DECF65" w14:textId="48A395A5" w:rsidR="00D740B8" w:rsidRPr="00DC44DB" w:rsidRDefault="00D740B8">
            <w:pPr>
              <w:spacing w:before="120" w:after="120"/>
              <w:rPr>
                <w:rFonts w:ascii="Times New Roman" w:eastAsia="Times New Roman" w:hAnsi="Times New Roman" w:cs="Times New Roman"/>
                <w:sz w:val="24"/>
              </w:rPr>
            </w:pPr>
            <w:r w:rsidRPr="00DC44DB">
              <w:rPr>
                <w:rFonts w:ascii="Times New Roman" w:hAnsi="Times New Roman"/>
                <w:sz w:val="24"/>
              </w:rPr>
              <w:t>Artículo 466, apartado 2, letra b), y artículo 320, apartado 1, del Reglamento (UE) n.º 575/2013.</w:t>
            </w:r>
          </w:p>
          <w:p w14:paraId="0BC74916" w14:textId="396B699A" w:rsidR="00D740B8" w:rsidRPr="00DC44DB" w:rsidRDefault="003D54AC">
            <w:pPr>
              <w:spacing w:before="120" w:after="120"/>
              <w:jc w:val="both"/>
              <w:rPr>
                <w:rStyle w:val="InstructionsTabelleberschrift"/>
                <w:rFonts w:ascii="Times New Roman" w:eastAsia="Times New Roman" w:hAnsi="Times New Roman"/>
                <w:bCs w:val="0"/>
                <w:sz w:val="24"/>
              </w:rPr>
            </w:pPr>
            <w:r w:rsidRPr="00DC44DB">
              <w:rPr>
                <w:rFonts w:ascii="Times New Roman" w:hAnsi="Times New Roman"/>
                <w:sz w:val="24"/>
              </w:rPr>
              <w:t>Los importes netos totales de pérdidas que superen el umbral de evento de pérdida de 100 000 EUR, excluidos de conformidad con el artículo 320, apartado 1, del Reglamento (UE) n.º 575/2013, para cada uno de los últimos diez períodos de referencia.</w:t>
            </w:r>
          </w:p>
        </w:tc>
      </w:tr>
      <w:tr w:rsidR="00D740B8" w:rsidRPr="00DC44DB"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DC44DB" w:rsidRDefault="00D740B8">
            <w:pPr>
              <w:spacing w:before="12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Número total de eventos de riesgo operativo excluidos</w:t>
            </w:r>
          </w:p>
          <w:p w14:paraId="2B56754D" w14:textId="46B0AAAA" w:rsidR="00D740B8" w:rsidRPr="00DC44DB" w:rsidRDefault="00D740B8">
            <w:pPr>
              <w:spacing w:before="120" w:after="120"/>
              <w:rPr>
                <w:rFonts w:ascii="Times New Roman" w:eastAsia="Times New Roman" w:hAnsi="Times New Roman" w:cs="Times New Roman"/>
                <w:sz w:val="24"/>
              </w:rPr>
            </w:pPr>
            <w:r w:rsidRPr="00DC44DB">
              <w:rPr>
                <w:rFonts w:ascii="Times New Roman" w:hAnsi="Times New Roman"/>
                <w:sz w:val="24"/>
              </w:rPr>
              <w:t>Artículo 466, apartado 2, letra b), y artículo 320, apartado 1, del Reglamento (UE) n.º 575/2013.</w:t>
            </w:r>
          </w:p>
          <w:p w14:paraId="2EDEC8CA" w14:textId="252B783D" w:rsidR="00D740B8" w:rsidRPr="00DC44DB" w:rsidRDefault="00471410">
            <w:pPr>
              <w:spacing w:before="120" w:after="120"/>
              <w:jc w:val="both"/>
              <w:rPr>
                <w:rStyle w:val="InstructionsTabelleberschrift"/>
                <w:rFonts w:ascii="Times New Roman" w:eastAsia="Times New Roman" w:hAnsi="Times New Roman"/>
                <w:bCs w:val="0"/>
                <w:sz w:val="24"/>
              </w:rPr>
            </w:pPr>
            <w:r w:rsidRPr="00DC44DB">
              <w:rPr>
                <w:rFonts w:ascii="Times New Roman" w:hAnsi="Times New Roman"/>
                <w:sz w:val="24"/>
              </w:rPr>
              <w:t>El número total de eventos de riesgo operativo excepcionales que superen un umbral de eventos de pérdida de 100 000 EUR que se excluyeron de conformidad con el artículo 320, apartado 1, del Reglamento (UE) n.º 575/2013, para cada uno de los últimos diez períodos de referencia.</w:t>
            </w:r>
          </w:p>
        </w:tc>
      </w:tr>
      <w:tr w:rsidR="00D740B8" w:rsidRPr="00DC44DB"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DC44DB" w:rsidRDefault="00D740B8">
            <w:pPr>
              <w:spacing w:before="12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Importe total de las pérdidas por riesgo operativo, deducidas recuperaciones y pérdidas excluidas</w:t>
            </w:r>
          </w:p>
          <w:p w14:paraId="65622881" w14:textId="32C07686" w:rsidR="00D740B8" w:rsidRPr="00DC44DB" w:rsidRDefault="006943D3">
            <w:pPr>
              <w:spacing w:before="120" w:after="120"/>
              <w:jc w:val="both"/>
              <w:rPr>
                <w:rStyle w:val="InstructionsTabelleberschrift"/>
                <w:rFonts w:ascii="Times New Roman" w:eastAsia="Times New Roman" w:hAnsi="Times New Roman"/>
                <w:bCs w:val="0"/>
                <w:sz w:val="24"/>
              </w:rPr>
            </w:pPr>
            <w:r w:rsidRPr="00DC44DB">
              <w:rPr>
                <w:rFonts w:ascii="Times New Roman" w:hAnsi="Times New Roman"/>
                <w:sz w:val="24"/>
              </w:rPr>
              <w:t>La fila revelará el importe total de las pérdidas por riesgo operativo menos el importe de las recuperaciones reveladas en la fila 6, menos el importe de las pérdidas excluidas reveladas en la fila 8.</w:t>
            </w:r>
          </w:p>
        </w:tc>
      </w:tr>
      <w:tr w:rsidR="00D740B8" w:rsidRPr="00DC44DB"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DC44DB"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DC44DB">
              <w:rPr>
                <w:rFonts w:ascii="Times New Roman" w:hAnsi="Times New Roman"/>
                <w:sz w:val="24"/>
              </w:rPr>
              <w:t>No procede.</w:t>
            </w:r>
          </w:p>
        </w:tc>
      </w:tr>
      <w:tr w:rsidR="00D740B8" w:rsidRPr="00DC44DB"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DC44DB" w:rsidRDefault="00D740B8">
            <w:pPr>
              <w:spacing w:before="120" w:after="120"/>
              <w:jc w:val="both"/>
              <w:rPr>
                <w:rStyle w:val="InstructionsTabelleberschrift"/>
                <w:rFonts w:ascii="Times New Roman" w:eastAsia="Times New Roman" w:hAnsi="Times New Roman"/>
                <w:b w:val="0"/>
                <w:bCs w:val="0"/>
                <w:sz w:val="24"/>
                <w:u w:val="none"/>
              </w:rPr>
            </w:pPr>
            <w:r w:rsidRPr="00DC44DB">
              <w:rPr>
                <w:rStyle w:val="InstructionsTabelleberschrift"/>
                <w:rFonts w:ascii="Times New Roman" w:hAnsi="Times New Roman"/>
                <w:b w:val="0"/>
                <w:sz w:val="24"/>
                <w:u w:val="none"/>
              </w:rPr>
              <w:t>No procede.</w:t>
            </w:r>
          </w:p>
        </w:tc>
      </w:tr>
      <w:tr w:rsidR="00D740B8" w:rsidRPr="00DC44DB"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DC44DB" w:rsidRDefault="00D740B8">
            <w:pPr>
              <w:spacing w:before="120" w:after="120"/>
              <w:jc w:val="both"/>
              <w:rPr>
                <w:rStyle w:val="InstructionsTabelleberschrift"/>
                <w:rFonts w:ascii="Times New Roman" w:eastAsia="Times New Roman" w:hAnsi="Times New Roman"/>
                <w:b w:val="0"/>
                <w:bCs w:val="0"/>
                <w:sz w:val="24"/>
                <w:u w:val="none"/>
              </w:rPr>
            </w:pPr>
            <w:r w:rsidRPr="00DC44DB">
              <w:rPr>
                <w:rStyle w:val="InstructionsTabelleberschrift"/>
                <w:rFonts w:ascii="Times New Roman" w:hAnsi="Times New Roman"/>
                <w:b w:val="0"/>
                <w:sz w:val="24"/>
                <w:u w:val="none"/>
              </w:rPr>
              <w:t>No procede.</w:t>
            </w:r>
          </w:p>
        </w:tc>
      </w:tr>
    </w:tbl>
    <w:p w14:paraId="25A698B0" w14:textId="77777777" w:rsidR="00D740B8" w:rsidRPr="00DC44DB" w:rsidRDefault="00D740B8" w:rsidP="00D740B8">
      <w:pPr>
        <w:pStyle w:val="InstructionsText2"/>
        <w:numPr>
          <w:ilvl w:val="0"/>
          <w:numId w:val="0"/>
        </w:numPr>
        <w:ind w:left="360"/>
        <w:rPr>
          <w:lang w:val="en-US"/>
        </w:rPr>
      </w:pPr>
    </w:p>
    <w:p w14:paraId="033C5861" w14:textId="77777777" w:rsidR="00D740B8" w:rsidRPr="00DC44DB" w:rsidRDefault="00D740B8" w:rsidP="00D740B8">
      <w:pPr>
        <w:jc w:val="both"/>
        <w:rPr>
          <w:rFonts w:ascii="Times New Roman" w:hAnsi="Times New Roman" w:cs="Times New Roman"/>
          <w:bCs/>
          <w:sz w:val="24"/>
        </w:rPr>
      </w:pPr>
      <w:r w:rsidRPr="00DC44DB">
        <w:rPr>
          <w:rFonts w:ascii="Times New Roman" w:hAnsi="Times New Roman"/>
          <w:b/>
          <w:sz w:val="24"/>
        </w:rPr>
        <w:t xml:space="preserve">Plantilla EU OR2 – Indicador de actividad, componentes y subcomponentes </w:t>
      </w:r>
      <w:r w:rsidRPr="00DC44DB">
        <w:rPr>
          <w:rFonts w:ascii="Times New Roman" w:hAnsi="Times New Roman"/>
          <w:sz w:val="24"/>
        </w:rPr>
        <w:t>Plantilla fija</w:t>
      </w:r>
    </w:p>
    <w:p w14:paraId="3D173CCF" w14:textId="77777777" w:rsidR="00D740B8" w:rsidRPr="00DC44DB" w:rsidRDefault="00D740B8" w:rsidP="00D740B8">
      <w:pPr>
        <w:ind w:left="360"/>
        <w:jc w:val="both"/>
        <w:rPr>
          <w:rFonts w:ascii="Times New Roman" w:hAnsi="Times New Roman" w:cs="Times New Roman"/>
          <w:bCs/>
          <w:sz w:val="24"/>
        </w:rPr>
      </w:pPr>
    </w:p>
    <w:p w14:paraId="3F849430" w14:textId="414C531B" w:rsidR="00D740B8" w:rsidRPr="00DC44DB" w:rsidRDefault="00D740B8" w:rsidP="00D740B8">
      <w:pPr>
        <w:numPr>
          <w:ilvl w:val="0"/>
          <w:numId w:val="1"/>
        </w:numPr>
        <w:jc w:val="both"/>
        <w:rPr>
          <w:rFonts w:ascii="Times New Roman" w:hAnsi="Times New Roman" w:cs="Times New Roman"/>
          <w:bCs/>
          <w:sz w:val="24"/>
        </w:rPr>
      </w:pPr>
      <w:r w:rsidRPr="00DC44DB">
        <w:rPr>
          <w:rFonts w:ascii="Times New Roman" w:hAnsi="Times New Roman"/>
          <w:sz w:val="24"/>
        </w:rPr>
        <w:t>Las entidades deberán divulgar la información incluida en la plantilla EU OR2 en aplicación de los artículos 446, apartado 1, letras c) y d), del Reglamento (UE) n.º 575/2013. Esta plantilla proporciona información sobre el cálculo del componente del indicador de actividad (BIC), de conformidad con el artículo 313 del Reglamento (UE) n.º 575/2013, y sobre el cálculo del indicador de actividad (BI), componentes y subcomponentes, de conformidad con el artículo 314 del Reglamento (UE) n.º 575/2013. Además, esta plantilla también proporciona información sobre los importes excluidos del indicador de actividad relacionados con entes o actividades enajenados, de conformidad con el artículo 315, apartado 2.</w:t>
      </w:r>
    </w:p>
    <w:p w14:paraId="5C35CEC0" w14:textId="77777777" w:rsidR="00D740B8" w:rsidRPr="00DC44DB" w:rsidRDefault="00D740B8" w:rsidP="00D740B8">
      <w:pPr>
        <w:ind w:left="360"/>
        <w:jc w:val="both"/>
        <w:rPr>
          <w:rFonts w:ascii="Times New Roman" w:hAnsi="Times New Roman" w:cs="Times New Roman"/>
          <w:bCs/>
          <w:sz w:val="24"/>
        </w:rPr>
      </w:pPr>
    </w:p>
    <w:p w14:paraId="1749895F" w14:textId="07869965" w:rsidR="00D740B8" w:rsidRPr="00DC44DB" w:rsidRDefault="00D740B8" w:rsidP="00D740B8">
      <w:pPr>
        <w:numPr>
          <w:ilvl w:val="0"/>
          <w:numId w:val="1"/>
        </w:numPr>
        <w:jc w:val="both"/>
        <w:rPr>
          <w:rFonts w:ascii="Times New Roman" w:hAnsi="Times New Roman" w:cs="Times New Roman"/>
          <w:bCs/>
          <w:sz w:val="24"/>
        </w:rPr>
      </w:pPr>
      <w:r w:rsidRPr="00DC44DB">
        <w:rPr>
          <w:rFonts w:ascii="Times New Roman" w:hAnsi="Times New Roman"/>
          <w:sz w:val="24"/>
        </w:rPr>
        <w:t>Las entidades comunicarán información para los tres últimos ejercicios sobre el importe de la lista pertinente de elementos que deben formar parte del cálculo de los subcomponentes del BI que contribuyen al cálculo de los requisitos de fondos propios por riesgo operativo.</w:t>
      </w:r>
    </w:p>
    <w:p w14:paraId="7B27D162" w14:textId="77777777" w:rsidR="00D740B8" w:rsidRPr="00DC44DB" w:rsidRDefault="00D740B8" w:rsidP="00D740B8">
      <w:pPr>
        <w:pStyle w:val="ListParagraph"/>
        <w:rPr>
          <w:rFonts w:ascii="Times New Roman" w:hAnsi="Times New Roman"/>
          <w:bCs/>
          <w:sz w:val="24"/>
        </w:rPr>
      </w:pPr>
    </w:p>
    <w:p w14:paraId="41988E91" w14:textId="281D16EA" w:rsidR="00D740B8" w:rsidRPr="00DC44DB" w:rsidRDefault="00D740B8" w:rsidP="00D740B8">
      <w:pPr>
        <w:numPr>
          <w:ilvl w:val="0"/>
          <w:numId w:val="1"/>
        </w:numPr>
        <w:jc w:val="both"/>
        <w:rPr>
          <w:rFonts w:ascii="Times New Roman" w:hAnsi="Times New Roman" w:cs="Times New Roman"/>
          <w:bCs/>
          <w:sz w:val="24"/>
        </w:rPr>
      </w:pPr>
      <w:r w:rsidRPr="00DC44DB">
        <w:rPr>
          <w:rFonts w:ascii="Times New Roman" w:hAnsi="Times New Roman"/>
          <w:sz w:val="24"/>
        </w:rPr>
        <w:lastRenderedPageBreak/>
        <w:t>De conformidad con el artículo 314, apartado 8, del Reglamento (UE) n.º 575/2013, cuando no se disponga de datos históricos, las entidades comunicarán las estimaciones prospectivas de negocio.</w:t>
      </w:r>
    </w:p>
    <w:p w14:paraId="14A23528" w14:textId="485ED75C" w:rsidR="00D740B8" w:rsidRPr="00DC44DB" w:rsidRDefault="00D740B8" w:rsidP="00D740B8">
      <w:pPr>
        <w:pStyle w:val="numberedparagraph"/>
        <w:numPr>
          <w:ilvl w:val="0"/>
          <w:numId w:val="1"/>
        </w:numPr>
        <w:rPr>
          <w:rFonts w:ascii="Times New Roman" w:hAnsi="Times New Roman" w:cs="Times New Roman"/>
          <w:sz w:val="24"/>
        </w:rPr>
      </w:pPr>
      <w:r w:rsidRPr="00DC44DB">
        <w:rPr>
          <w:rFonts w:ascii="Times New Roman" w:hAnsi="Times New Roman"/>
          <w:sz w:val="24"/>
        </w:rPr>
        <w:t>Cuando las entidades dispongan de menos de tres años de datos relacionados con los elementos detallados que entran en los componentes del BI, los datos históricos disponibles se asignarán de forma prioritaria a las columnas correspondientes de la plantilla. Cuando las entidades solo dispongan de datos históricos relativos a los componentes del BI para la información de un año, estos datos se comunicarán en la columna correspondiente al año más reciente (a saber, al «último año»). Cuando se considere razonable, las estimaciones prospectivas se incluirán en el año -1 y el año -2, respectivamente, hasta que se disponga de estos datos.</w:t>
      </w:r>
    </w:p>
    <w:p w14:paraId="2DDE0943" w14:textId="7F04DC41" w:rsidR="00D740B8" w:rsidRPr="00DC44DB" w:rsidRDefault="00D740B8" w:rsidP="00D740B8">
      <w:pPr>
        <w:pStyle w:val="numberedparagraph"/>
        <w:numPr>
          <w:ilvl w:val="0"/>
          <w:numId w:val="1"/>
        </w:numPr>
        <w:rPr>
          <w:rFonts w:ascii="Times New Roman" w:hAnsi="Times New Roman" w:cs="Times New Roman"/>
          <w:sz w:val="24"/>
        </w:rPr>
      </w:pPr>
      <w:r w:rsidRPr="00DC44DB">
        <w:rPr>
          <w:rFonts w:ascii="Times New Roman" w:hAnsi="Times New Roman"/>
          <w:sz w:val="24"/>
        </w:rPr>
        <w:t xml:space="preserve">Las entidades no incluirán en </w:t>
      </w:r>
      <w:proofErr w:type="gramStart"/>
      <w:r w:rsidRPr="00DC44DB">
        <w:rPr>
          <w:rFonts w:ascii="Times New Roman" w:hAnsi="Times New Roman"/>
          <w:sz w:val="24"/>
        </w:rPr>
        <w:t>los subelementos</w:t>
      </w:r>
      <w:proofErr w:type="gramEnd"/>
      <w:r w:rsidRPr="00DC44DB">
        <w:rPr>
          <w:rFonts w:ascii="Times New Roman" w:hAnsi="Times New Roman"/>
          <w:sz w:val="24"/>
        </w:rPr>
        <w:t xml:space="preserve"> que formen parte del cálculo del componente de intereses, arrendamientos y dividendos (ILDC) ninguna cifra relacionada con aquellas entidades filiales específicas cuyo ILDC se calculará por separado de conformidad con el artículo 314, apartado 3, del Reglamento (UE) n.º 575/2013.</w:t>
      </w:r>
    </w:p>
    <w:p w14:paraId="3512454B" w14:textId="27224DC8" w:rsidR="00841A0D" w:rsidRPr="00DC44DB" w:rsidRDefault="00D740B8" w:rsidP="00D740B8">
      <w:pPr>
        <w:numPr>
          <w:ilvl w:val="0"/>
          <w:numId w:val="1"/>
        </w:numPr>
        <w:jc w:val="both"/>
        <w:rPr>
          <w:rFonts w:ascii="Times New Roman" w:hAnsi="Times New Roman" w:cs="Times New Roman"/>
          <w:bCs/>
          <w:sz w:val="24"/>
        </w:rPr>
      </w:pPr>
      <w:r w:rsidRPr="00DC44DB">
        <w:rPr>
          <w:rFonts w:ascii="Times New Roman" w:hAnsi="Times New Roman"/>
          <w:sz w:val="24"/>
        </w:rPr>
        <w:t xml:space="preserve">Las entidades no incluirán en </w:t>
      </w:r>
      <w:proofErr w:type="gramStart"/>
      <w:r w:rsidRPr="00DC44DB">
        <w:rPr>
          <w:rFonts w:ascii="Times New Roman" w:hAnsi="Times New Roman"/>
          <w:sz w:val="24"/>
        </w:rPr>
        <w:t>los subelementos</w:t>
      </w:r>
      <w:proofErr w:type="gramEnd"/>
      <w:r w:rsidRPr="00DC44DB">
        <w:rPr>
          <w:rFonts w:ascii="Times New Roman" w:hAnsi="Times New Roman"/>
          <w:sz w:val="24"/>
        </w:rPr>
        <w:t xml:space="preserve"> que forman parte del cálculo del componente de intereses, arrendamientos y dividendos (ILDC) ninguna cifra procedente de las líneas de negocio de banca minorista y/o banca comercial en aquellos casos en que la entidad haya recibido la autorización para aplicar el artículo 314, apartado 4, del Reglamento (UE) n.º 575/2013.</w:t>
      </w:r>
    </w:p>
    <w:p w14:paraId="22AE3E22" w14:textId="77777777" w:rsidR="00841A0D" w:rsidRPr="00DC44DB" w:rsidRDefault="00841A0D" w:rsidP="00841A0D">
      <w:pPr>
        <w:ind w:left="360"/>
        <w:jc w:val="both"/>
        <w:rPr>
          <w:rFonts w:ascii="Times New Roman" w:hAnsi="Times New Roman" w:cs="Times New Roman"/>
          <w:bCs/>
          <w:sz w:val="24"/>
        </w:rPr>
      </w:pPr>
    </w:p>
    <w:p w14:paraId="3A161EFD" w14:textId="7882B43A" w:rsidR="00D740B8" w:rsidRPr="00DC44DB" w:rsidRDefault="003826D3" w:rsidP="00D740B8">
      <w:pPr>
        <w:numPr>
          <w:ilvl w:val="0"/>
          <w:numId w:val="1"/>
        </w:numPr>
        <w:jc w:val="both"/>
        <w:rPr>
          <w:rFonts w:ascii="Times New Roman" w:hAnsi="Times New Roman" w:cs="Times New Roman"/>
          <w:bCs/>
          <w:sz w:val="24"/>
        </w:rPr>
      </w:pPr>
      <w:r w:rsidRPr="00DC44DB">
        <w:rPr>
          <w:rFonts w:ascii="Times New Roman" w:hAnsi="Times New Roman"/>
          <w:sz w:val="24"/>
        </w:rPr>
        <w:t>No obstante, las entidades comunicarán en la fila 1 el importe total de ILDC, incluidos los importes calculados de conformidad con el artículo 314, apartado 3, del Reglamento (UE) n.º 575/2013. En la fila EU 1 también se comunica el ILDC, excluidas las entidades consideradas en el artículo 314, apartado 3.</w:t>
      </w:r>
    </w:p>
    <w:p w14:paraId="7DAFACF8" w14:textId="77777777" w:rsidR="00D740B8" w:rsidRPr="00DC44DB" w:rsidRDefault="00D740B8" w:rsidP="00D740B8">
      <w:pPr>
        <w:ind w:left="360"/>
        <w:jc w:val="both"/>
        <w:rPr>
          <w:rFonts w:ascii="Times New Roman" w:hAnsi="Times New Roman" w:cs="Times New Roman"/>
          <w:bCs/>
          <w:sz w:val="24"/>
        </w:rPr>
      </w:pPr>
    </w:p>
    <w:p w14:paraId="578B96DC" w14:textId="494916C5" w:rsidR="00D740B8" w:rsidRPr="00DC44DB" w:rsidRDefault="00D740B8" w:rsidP="00D740B8">
      <w:pPr>
        <w:numPr>
          <w:ilvl w:val="0"/>
          <w:numId w:val="1"/>
        </w:numPr>
        <w:jc w:val="both"/>
        <w:rPr>
          <w:rFonts w:ascii="Times New Roman" w:hAnsi="Times New Roman" w:cs="Times New Roman"/>
          <w:bCs/>
          <w:sz w:val="24"/>
        </w:rPr>
      </w:pPr>
      <w:r w:rsidRPr="00DC44DB">
        <w:rPr>
          <w:rFonts w:ascii="Times New Roman" w:hAnsi="Times New Roman"/>
          <w:sz w:val="24"/>
        </w:rPr>
        <w:t>En la información descriptiva adjunta, de conformidad con el artículo 446, apartado 1, del Reglamento (UE) n.º 575/2013, las entidades revelarán las justificaciones de cada exclusión del indicador de actividad, con excepción de la exclusión de las líneas de negocio minorista y comercial consideradas en el artículo 314, apartado 4.</w:t>
      </w:r>
    </w:p>
    <w:p w14:paraId="22C673C4" w14:textId="77777777" w:rsidR="00393FEF" w:rsidRPr="00DC44DB" w:rsidRDefault="00393FEF" w:rsidP="00532CFA">
      <w:pPr>
        <w:pStyle w:val="ListParagraph"/>
        <w:rPr>
          <w:rFonts w:ascii="Times New Roman" w:hAnsi="Times New Roman"/>
          <w:bCs/>
          <w:sz w:val="24"/>
        </w:rPr>
      </w:pPr>
    </w:p>
    <w:p w14:paraId="7DD11602" w14:textId="2BC0B288" w:rsidR="00393FEF" w:rsidRPr="00DC44DB" w:rsidRDefault="006020C0" w:rsidP="00D740B8">
      <w:pPr>
        <w:numPr>
          <w:ilvl w:val="0"/>
          <w:numId w:val="1"/>
        </w:numPr>
        <w:jc w:val="both"/>
        <w:rPr>
          <w:rFonts w:ascii="Times New Roman" w:hAnsi="Times New Roman" w:cs="Times New Roman"/>
          <w:bCs/>
          <w:sz w:val="24"/>
        </w:rPr>
      </w:pPr>
      <w:r w:rsidRPr="00DC44DB">
        <w:rPr>
          <w:rFonts w:ascii="Times New Roman" w:hAnsi="Times New Roman"/>
          <w:sz w:val="24"/>
        </w:rPr>
        <w:t>Dada la estrecha relación entre los requisitos de divulgación del riesgo operativo y los estados financieros de las entidades, las referencias a los requisitos de información reflejados en el anexo V de las soluciones informáticas de la ABE (FINREP) se han reflejado en todas las instrucciones.</w:t>
      </w:r>
    </w:p>
    <w:p w14:paraId="1D4913E2" w14:textId="77777777" w:rsidR="00DD1D82" w:rsidRPr="00DC44DB" w:rsidRDefault="00DD1D82" w:rsidP="00DD1D82">
      <w:pPr>
        <w:pStyle w:val="ListParagraph"/>
        <w:rPr>
          <w:rFonts w:ascii="Times New Roman" w:hAnsi="Times New Roman"/>
          <w:bCs/>
          <w:sz w:val="24"/>
        </w:rPr>
      </w:pPr>
    </w:p>
    <w:p w14:paraId="11E51AFD" w14:textId="3D720718" w:rsidR="00DD1D82" w:rsidRPr="00DC44DB" w:rsidRDefault="00050ABA" w:rsidP="001257B6">
      <w:pPr>
        <w:numPr>
          <w:ilvl w:val="0"/>
          <w:numId w:val="1"/>
        </w:numPr>
        <w:jc w:val="both"/>
        <w:rPr>
          <w:rFonts w:ascii="Times New Roman" w:hAnsi="Times New Roman" w:cs="Times New Roman"/>
          <w:bCs/>
          <w:sz w:val="24"/>
        </w:rPr>
      </w:pPr>
      <w:r w:rsidRPr="00DC44DB">
        <w:rPr>
          <w:rFonts w:ascii="Times New Roman" w:hAnsi="Times New Roman"/>
          <w:sz w:val="24"/>
        </w:rPr>
        <w:t>Las convenciones sobre los signos que han de cumplimentarse en esta plantilla se ajustarán a las convenciones reflejadas en el anexo V de las soluciones informáticas de la ABE.</w:t>
      </w:r>
    </w:p>
    <w:p w14:paraId="21275E00" w14:textId="77777777" w:rsidR="00D740B8" w:rsidRPr="00DC44DB"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DC44DB" w14:paraId="069EA903" w14:textId="77777777">
        <w:trPr>
          <w:trHeight w:val="300"/>
        </w:trPr>
        <w:tc>
          <w:tcPr>
            <w:tcW w:w="1260" w:type="dxa"/>
            <w:shd w:val="clear" w:color="auto" w:fill="BFBFBF" w:themeFill="background1" w:themeFillShade="BF"/>
          </w:tcPr>
          <w:p w14:paraId="7E4DE4F0" w14:textId="77777777" w:rsidR="00D740B8" w:rsidRPr="00DC44DB" w:rsidRDefault="00D740B8">
            <w:pPr>
              <w:autoSpaceDE w:val="0"/>
              <w:autoSpaceDN w:val="0"/>
              <w:adjustRightInd w:val="0"/>
              <w:rPr>
                <w:rFonts w:ascii="Times New Roman" w:hAnsi="Times New Roman" w:cs="Times New Roman"/>
                <w:b/>
                <w:sz w:val="24"/>
              </w:rPr>
            </w:pPr>
            <w:r w:rsidRPr="00DC44DB">
              <w:rPr>
                <w:rFonts w:ascii="Times New Roman" w:hAnsi="Times New Roman"/>
                <w:b/>
                <w:sz w:val="24"/>
              </w:rPr>
              <w:t>Columna</w:t>
            </w:r>
          </w:p>
        </w:tc>
        <w:tc>
          <w:tcPr>
            <w:tcW w:w="7756" w:type="dxa"/>
            <w:shd w:val="clear" w:color="auto" w:fill="BFBFBF" w:themeFill="background1" w:themeFillShade="BF"/>
          </w:tcPr>
          <w:p w14:paraId="0D54BB35" w14:textId="77777777" w:rsidR="00D740B8" w:rsidRPr="00DC44DB" w:rsidDel="00B46ADB" w:rsidRDefault="00D740B8">
            <w:pPr>
              <w:autoSpaceDE w:val="0"/>
              <w:autoSpaceDN w:val="0"/>
              <w:adjustRightInd w:val="0"/>
              <w:rPr>
                <w:bCs/>
              </w:rPr>
            </w:pPr>
            <w:r w:rsidRPr="00DC44DB">
              <w:rPr>
                <w:rFonts w:ascii="Times New Roman" w:hAnsi="Times New Roman"/>
                <w:b/>
                <w:sz w:val="24"/>
              </w:rPr>
              <w:t>Referencias jurídicas e instrucciones</w:t>
            </w:r>
          </w:p>
        </w:tc>
      </w:tr>
      <w:tr w:rsidR="00D740B8" w:rsidRPr="00DC44DB" w14:paraId="7AE7216D" w14:textId="77777777">
        <w:trPr>
          <w:trHeight w:val="300"/>
        </w:trPr>
        <w:tc>
          <w:tcPr>
            <w:tcW w:w="1260" w:type="dxa"/>
          </w:tcPr>
          <w:p w14:paraId="0FC699E1" w14:textId="0D76C831" w:rsidR="00D740B8" w:rsidRPr="00DC44DB" w:rsidRDefault="00D740B8" w:rsidP="00165BEF">
            <w:pPr>
              <w:autoSpaceDE w:val="0"/>
              <w:autoSpaceDN w:val="0"/>
              <w:adjustRightInd w:val="0"/>
              <w:jc w:val="center"/>
              <w:rPr>
                <w:rFonts w:ascii="Times New Roman" w:hAnsi="Times New Roman"/>
                <w:bCs/>
                <w:sz w:val="24"/>
              </w:rPr>
            </w:pPr>
            <w:r w:rsidRPr="00DC44DB">
              <w:rPr>
                <w:rFonts w:ascii="Times New Roman" w:hAnsi="Times New Roman"/>
                <w:sz w:val="24"/>
              </w:rPr>
              <w:t>a, b, c</w:t>
            </w:r>
          </w:p>
        </w:tc>
        <w:tc>
          <w:tcPr>
            <w:tcW w:w="7756" w:type="dxa"/>
          </w:tcPr>
          <w:p w14:paraId="510A12A5" w14:textId="13FB6D98" w:rsidR="00D740B8" w:rsidRPr="00DC44DB" w:rsidRDefault="00D740B8">
            <w:pPr>
              <w:autoSpaceDE w:val="0"/>
              <w:autoSpaceDN w:val="0"/>
              <w:adjustRightInd w:val="0"/>
              <w:rPr>
                <w:rStyle w:val="InstructionsTabelleberschrift"/>
                <w:rFonts w:ascii="Times New Roman" w:hAnsi="Times New Roman"/>
                <w:sz w:val="24"/>
                <w:u w:val="none"/>
              </w:rPr>
            </w:pPr>
            <w:r w:rsidRPr="00DC44DB">
              <w:rPr>
                <w:rStyle w:val="InstructionsTabelleberschrift"/>
                <w:rFonts w:ascii="Times New Roman" w:hAnsi="Times New Roman"/>
                <w:sz w:val="24"/>
                <w:u w:val="none"/>
              </w:rPr>
              <w:t>Valor</w:t>
            </w:r>
          </w:p>
          <w:p w14:paraId="0A7A2FD7" w14:textId="77777777" w:rsidR="00D740B8" w:rsidRPr="00DC44DB" w:rsidRDefault="00D740B8">
            <w:pPr>
              <w:rPr>
                <w:rFonts w:ascii="Times New Roman" w:hAnsi="Times New Roman"/>
                <w:sz w:val="24"/>
                <w:lang w:eastAsia="de-DE"/>
              </w:rPr>
            </w:pPr>
          </w:p>
          <w:p w14:paraId="0C8A142A" w14:textId="4CAB13C5" w:rsidR="00D740B8" w:rsidRPr="00DC44DB" w:rsidRDefault="00D740B8">
            <w:pPr>
              <w:autoSpaceDE w:val="0"/>
              <w:autoSpaceDN w:val="0"/>
              <w:adjustRightInd w:val="0"/>
              <w:rPr>
                <w:rFonts w:ascii="Times New Roman" w:hAnsi="Times New Roman" w:cs="Times New Roman"/>
                <w:bCs/>
                <w:sz w:val="24"/>
              </w:rPr>
            </w:pPr>
            <w:r w:rsidRPr="00DC44DB">
              <w:rPr>
                <w:rFonts w:ascii="Times New Roman" w:hAnsi="Times New Roman"/>
                <w:sz w:val="24"/>
              </w:rPr>
              <w:t>Artículo 446, apartado 1, letra d), y artículo 314, apartado 1, del Reglamento (UE) n.º 575/2013.</w:t>
            </w:r>
          </w:p>
          <w:p w14:paraId="7883915F" w14:textId="77777777" w:rsidR="00D740B8" w:rsidRPr="00DC44DB" w:rsidRDefault="00D740B8">
            <w:pPr>
              <w:autoSpaceDE w:val="0"/>
              <w:autoSpaceDN w:val="0"/>
              <w:adjustRightInd w:val="0"/>
              <w:rPr>
                <w:rFonts w:ascii="Times New Roman" w:hAnsi="Times New Roman"/>
                <w:bCs/>
                <w:sz w:val="24"/>
                <w:lang w:eastAsia="nl-BE"/>
              </w:rPr>
            </w:pPr>
          </w:p>
          <w:p w14:paraId="558CD9DA" w14:textId="2FA81485" w:rsidR="00EA10B1" w:rsidRPr="00DC44DB" w:rsidRDefault="002F3CFA">
            <w:pPr>
              <w:pStyle w:val="paragraph"/>
              <w:spacing w:before="0" w:beforeAutospacing="0" w:after="0" w:afterAutospacing="0"/>
              <w:textAlignment w:val="baseline"/>
            </w:pPr>
            <w:r w:rsidRPr="00DC44DB">
              <w:t>El valor de la lista de elementos que forman parte del cálculo del BI y sus componentes [cálculo del ILDC, del componente de servicios (SC) y del componente financiero (FC)] de conformidad con las normas contables aplicables a cada uno de los tres últimos ejercicios.</w:t>
            </w:r>
          </w:p>
          <w:p w14:paraId="3414DDFE" w14:textId="77777777" w:rsidR="007B3E62" w:rsidRPr="00DC44DB" w:rsidRDefault="007B3E62">
            <w:pPr>
              <w:pStyle w:val="paragraph"/>
              <w:spacing w:before="0" w:beforeAutospacing="0" w:after="0" w:afterAutospacing="0"/>
              <w:textAlignment w:val="baseline"/>
              <w:rPr>
                <w:lang w:eastAsia="de-DE"/>
              </w:rPr>
            </w:pPr>
          </w:p>
          <w:p w14:paraId="374E1BCA" w14:textId="5E2803E9" w:rsidR="007B3E62" w:rsidRPr="00DC44DB" w:rsidRDefault="00B76B25">
            <w:pPr>
              <w:pStyle w:val="paragraph"/>
              <w:spacing w:before="0" w:beforeAutospacing="0" w:after="0" w:afterAutospacing="0"/>
              <w:textAlignment w:val="baseline"/>
            </w:pPr>
            <w:r w:rsidRPr="00DC44DB">
              <w:t>Los importes se comunicarán tras la aplicación de los ajustes relacionados con las fusiones/adquisiciones y las actividades cedidas.</w:t>
            </w:r>
          </w:p>
          <w:p w14:paraId="00BACA37" w14:textId="77777777" w:rsidR="00EA10B1" w:rsidRPr="00DC44DB" w:rsidRDefault="00EA10B1">
            <w:pPr>
              <w:pStyle w:val="paragraph"/>
              <w:spacing w:before="0" w:beforeAutospacing="0" w:after="0" w:afterAutospacing="0"/>
              <w:textAlignment w:val="baseline"/>
              <w:rPr>
                <w:lang w:eastAsia="de-DE"/>
              </w:rPr>
            </w:pPr>
          </w:p>
          <w:p w14:paraId="21635601" w14:textId="1A8DE566" w:rsidR="00D740B8" w:rsidRPr="00DC44DB" w:rsidRDefault="00D740B8" w:rsidP="000F6C61">
            <w:pPr>
              <w:pStyle w:val="paragraph"/>
              <w:spacing w:before="0" w:beforeAutospacing="0" w:after="0" w:afterAutospacing="0"/>
              <w:textAlignment w:val="baseline"/>
            </w:pPr>
            <w:r w:rsidRPr="00DC44DB">
              <w:t>En el caso del FC, los valores que deben divulgarse reflejarán los valores contables determinados utilizando el límite contable o el límite prudencial (PBA) para identificar los elementos de la cartera de negociación y la cartera bancaria para cada uno de los tres últimos ejercicios, de conformidad con el artículo 314, apartado 6, del Reglamento (UE) n.º 575/2013.</w:t>
            </w:r>
          </w:p>
        </w:tc>
      </w:tr>
      <w:tr w:rsidR="00D740B8" w:rsidRPr="00DC44DB" w14:paraId="3103AD05" w14:textId="77777777">
        <w:trPr>
          <w:trHeight w:val="300"/>
        </w:trPr>
        <w:tc>
          <w:tcPr>
            <w:tcW w:w="1260" w:type="dxa"/>
          </w:tcPr>
          <w:p w14:paraId="0FFA543A" w14:textId="77777777" w:rsidR="00D740B8" w:rsidRPr="00DC44DB" w:rsidRDefault="00D740B8" w:rsidP="00165BEF">
            <w:pPr>
              <w:autoSpaceDE w:val="0"/>
              <w:autoSpaceDN w:val="0"/>
              <w:adjustRightInd w:val="0"/>
              <w:jc w:val="center"/>
              <w:rPr>
                <w:rFonts w:ascii="Times New Roman" w:hAnsi="Times New Roman"/>
                <w:bCs/>
                <w:sz w:val="24"/>
              </w:rPr>
            </w:pPr>
            <w:r w:rsidRPr="00DC44DB">
              <w:rPr>
                <w:rFonts w:ascii="Times New Roman" w:hAnsi="Times New Roman"/>
                <w:sz w:val="24"/>
              </w:rPr>
              <w:t>d</w:t>
            </w:r>
          </w:p>
        </w:tc>
        <w:tc>
          <w:tcPr>
            <w:tcW w:w="7756" w:type="dxa"/>
          </w:tcPr>
          <w:p w14:paraId="117DF1D7" w14:textId="77777777" w:rsidR="00D740B8" w:rsidRPr="00DC44DB" w:rsidRDefault="00D740B8">
            <w:pPr>
              <w:autoSpaceDE w:val="0"/>
              <w:autoSpaceDN w:val="0"/>
              <w:adjustRightInd w:val="0"/>
              <w:rPr>
                <w:rStyle w:val="InstructionsTabelleberschrift"/>
                <w:rFonts w:ascii="Times New Roman" w:hAnsi="Times New Roman"/>
                <w:sz w:val="24"/>
                <w:u w:val="none"/>
              </w:rPr>
            </w:pPr>
            <w:r w:rsidRPr="00DC44DB">
              <w:rPr>
                <w:rStyle w:val="InstructionsTabelleberschrift"/>
                <w:rFonts w:ascii="Times New Roman" w:hAnsi="Times New Roman"/>
                <w:sz w:val="24"/>
                <w:u w:val="none"/>
              </w:rPr>
              <w:t>Valores medios</w:t>
            </w:r>
          </w:p>
          <w:p w14:paraId="27B3847F" w14:textId="77777777" w:rsidR="00D740B8" w:rsidRPr="00DC44DB" w:rsidRDefault="00D740B8">
            <w:pPr>
              <w:autoSpaceDE w:val="0"/>
              <w:autoSpaceDN w:val="0"/>
              <w:adjustRightInd w:val="0"/>
              <w:rPr>
                <w:rFonts w:ascii="Times New Roman" w:hAnsi="Times New Roman"/>
                <w:sz w:val="24"/>
                <w:lang w:eastAsia="de-DE"/>
              </w:rPr>
            </w:pPr>
          </w:p>
          <w:p w14:paraId="2CEEC93D" w14:textId="277817D6" w:rsidR="00D740B8" w:rsidRPr="00DC44DB" w:rsidRDefault="00D740B8">
            <w:pPr>
              <w:autoSpaceDE w:val="0"/>
              <w:autoSpaceDN w:val="0"/>
              <w:adjustRightInd w:val="0"/>
              <w:rPr>
                <w:rFonts w:ascii="Times New Roman" w:hAnsi="Times New Roman" w:cs="Times New Roman"/>
                <w:bCs/>
                <w:sz w:val="24"/>
              </w:rPr>
            </w:pPr>
            <w:r w:rsidRPr="00DC44DB">
              <w:rPr>
                <w:rFonts w:ascii="Times New Roman" w:hAnsi="Times New Roman"/>
                <w:sz w:val="24"/>
              </w:rPr>
              <w:t>Artículo 314, apartados 2, 5 y 6, del Reglamento (UE) n.º 575/2013.</w:t>
            </w:r>
          </w:p>
          <w:p w14:paraId="5FAAFF7A" w14:textId="77777777" w:rsidR="00D740B8" w:rsidRPr="00DC44DB" w:rsidRDefault="00D740B8">
            <w:pPr>
              <w:autoSpaceDE w:val="0"/>
              <w:autoSpaceDN w:val="0"/>
              <w:adjustRightInd w:val="0"/>
              <w:rPr>
                <w:rStyle w:val="InstructionsTabelleberschrift"/>
                <w:rFonts w:ascii="Times New Roman" w:hAnsi="Times New Roman"/>
                <w:sz w:val="24"/>
              </w:rPr>
            </w:pPr>
          </w:p>
          <w:p w14:paraId="3E17CEC0" w14:textId="402AFA6E" w:rsidR="00D740B8" w:rsidRPr="00DC44DB" w:rsidRDefault="00D740B8">
            <w:pPr>
              <w:pStyle w:val="paragraph"/>
              <w:spacing w:before="0" w:beforeAutospacing="0" w:after="0" w:afterAutospacing="0"/>
              <w:textAlignment w:val="baseline"/>
              <w:rPr>
                <w:rStyle w:val="normaltextrun"/>
              </w:rPr>
            </w:pPr>
            <w:r w:rsidRPr="00DC44DB">
              <w:rPr>
                <w:rStyle w:val="normaltextrun"/>
              </w:rPr>
              <w:t>Los valores calculados de los componentes ILDC, SC y FC y el valor medio de sus subcomponentes conexos, calculados a lo largo de los tres últimos ejercicios y referidos al año T.</w:t>
            </w:r>
          </w:p>
          <w:p w14:paraId="32637704" w14:textId="35682543" w:rsidR="00D740B8" w:rsidRPr="00DC44DB" w:rsidRDefault="00D740B8">
            <w:pPr>
              <w:pStyle w:val="paragraph"/>
              <w:spacing w:before="0" w:beforeAutospacing="0" w:after="0" w:afterAutospacing="0"/>
              <w:textAlignment w:val="baseline"/>
              <w:rPr>
                <w:rStyle w:val="normaltextrun"/>
              </w:rPr>
            </w:pPr>
          </w:p>
          <w:p w14:paraId="6C270BFC" w14:textId="453723AA" w:rsidR="00D740B8" w:rsidRPr="00DC44DB"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DC44DB">
              <w:rPr>
                <w:rStyle w:val="normaltextrun"/>
              </w:rPr>
              <w:t xml:space="preserve">El promedio se calcula teniendo en cuenta los valores contables de cada uno de los últimos tres años. </w:t>
            </w:r>
          </w:p>
        </w:tc>
      </w:tr>
    </w:tbl>
    <w:p w14:paraId="75117700" w14:textId="77777777" w:rsidR="00D740B8" w:rsidRPr="00DC44DB"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DC44DB"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DC44DB" w:rsidRDefault="00D740B8">
            <w:pPr>
              <w:autoSpaceDE w:val="0"/>
              <w:autoSpaceDN w:val="0"/>
              <w:adjustRightInd w:val="0"/>
              <w:rPr>
                <w:rFonts w:ascii="Times New Roman" w:hAnsi="Times New Roman" w:cs="Times New Roman"/>
                <w:b/>
                <w:sz w:val="24"/>
              </w:rPr>
            </w:pPr>
            <w:r w:rsidRPr="00DC44DB">
              <w:rPr>
                <w:rFonts w:ascii="Times New Roman" w:hAnsi="Times New Roman"/>
                <w:b/>
                <w:sz w:val="24"/>
              </w:rPr>
              <w:t>Fila</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DC44DB" w:rsidRDefault="00D740B8">
            <w:pPr>
              <w:rPr>
                <w:rFonts w:ascii="Times New Roman" w:hAnsi="Times New Roman" w:cs="Times New Roman"/>
                <w:b/>
                <w:sz w:val="24"/>
              </w:rPr>
            </w:pPr>
            <w:r w:rsidRPr="00DC44DB">
              <w:rPr>
                <w:rFonts w:ascii="Times New Roman" w:hAnsi="Times New Roman"/>
                <w:b/>
                <w:sz w:val="24"/>
              </w:rPr>
              <w:t>Referencias jurídicas e instrucciones</w:t>
            </w:r>
          </w:p>
        </w:tc>
      </w:tr>
      <w:tr w:rsidR="00D740B8" w:rsidRPr="00DC44DB"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DC44DB" w:rsidRDefault="00D740B8">
            <w:pPr>
              <w:spacing w:before="60" w:after="120"/>
              <w:jc w:val="both"/>
              <w:rPr>
                <w:rFonts w:ascii="Times New Roman" w:eastAsia="Times New Roman" w:hAnsi="Times New Roman" w:cs="Times New Roman"/>
                <w:b/>
                <w:sz w:val="24"/>
              </w:rPr>
            </w:pPr>
            <w:r w:rsidRPr="00DC44DB">
              <w:rPr>
                <w:rFonts w:ascii="Times New Roman" w:hAnsi="Times New Roman"/>
                <w:b/>
                <w:sz w:val="24"/>
              </w:rPr>
              <w:t>Componente de intereses, arrendamientos y dividendos (ILDC)</w:t>
            </w:r>
          </w:p>
          <w:p w14:paraId="78381763" w14:textId="2625CE0B" w:rsidR="00D740B8" w:rsidRPr="00DC44DB" w:rsidRDefault="00D740B8">
            <w:pPr>
              <w:spacing w:before="60" w:after="120"/>
              <w:jc w:val="both"/>
              <w:rPr>
                <w:rFonts w:ascii="Times New Roman" w:eastAsia="Times New Roman" w:hAnsi="Times New Roman" w:cs="Times New Roman"/>
                <w:b/>
                <w:sz w:val="24"/>
              </w:rPr>
            </w:pPr>
            <w:r w:rsidRPr="00DC44DB">
              <w:rPr>
                <w:rFonts w:ascii="Times New Roman" w:hAnsi="Times New Roman"/>
                <w:sz w:val="24"/>
              </w:rPr>
              <w:t>El componente de intereses, arrendamientos y dividendos (ILDC) se calcula de conformidad con el artículo 314, apartado 2, del Reglamento (UE) n.º 575/2013, incluidos, en su caso, los importes calculados de conformidad con el artículo 314, apartado 3, del Reglamento (UE) n.º 575/2013. Cuando una entidad esté sujeta a la excepción a que se refiere el artículo 314, apartado 4, del Reglamento (UE) n.º 575/2013, la entidad no incluirá ninguna cifra de las líneas de negocio de banca minorista o banca comercial.</w:t>
            </w:r>
          </w:p>
        </w:tc>
      </w:tr>
      <w:tr w:rsidR="00456F97" w:rsidRPr="00DC44DB"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DC44DB" w:rsidRDefault="00E03FA1">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DC44DB" w:rsidRDefault="00E2624F">
            <w:pPr>
              <w:spacing w:before="60" w:after="120"/>
              <w:jc w:val="both"/>
              <w:rPr>
                <w:rFonts w:ascii="Times New Roman" w:eastAsia="Times New Roman" w:hAnsi="Times New Roman" w:cs="Times New Roman"/>
                <w:b/>
                <w:sz w:val="24"/>
              </w:rPr>
            </w:pPr>
            <w:r w:rsidRPr="00DC44DB">
              <w:rPr>
                <w:rFonts w:ascii="Times New Roman" w:hAnsi="Times New Roman"/>
                <w:b/>
                <w:sz w:val="24"/>
              </w:rPr>
              <w:t>ILDC relacionado con la entidad individual o el grupo consolidado (excluidas las entidades contempladas en el artículo 314, apartado 3)</w:t>
            </w:r>
          </w:p>
          <w:p w14:paraId="3B4A0231" w14:textId="6A33703B" w:rsidR="00E2624F" w:rsidRPr="00DC44DB" w:rsidRDefault="00E2624F" w:rsidP="00413B96">
            <w:pPr>
              <w:rPr>
                <w:rFonts w:ascii="Times New Roman" w:hAnsi="Times New Roman"/>
                <w:color w:val="000000" w:themeColor="text1"/>
                <w:sz w:val="24"/>
              </w:rPr>
            </w:pPr>
            <w:r w:rsidRPr="00DC44DB">
              <w:rPr>
                <w:rFonts w:ascii="Times New Roman" w:hAnsi="Times New Roman"/>
                <w:sz w:val="24"/>
              </w:rPr>
              <w:t>El componente de intereses, arrendamiento y dividendos (ILDC) calculado de conformidad con el artículo 314, apartado 2, del Reglamento (UE) n.º 575/2013, sin incluir ninguna cifra que forme parte del cálculo del ILDC en los casos en que la entidad aplique la excepción de conformidad con el artículo 314, apartado 3, del Reglamento (UE) n.º 575/2013.</w:t>
            </w:r>
          </w:p>
        </w:tc>
      </w:tr>
      <w:tr w:rsidR="00D740B8" w:rsidRPr="00DC44DB"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DC44DB" w:rsidRDefault="00D740B8">
            <w:pPr>
              <w:spacing w:before="60" w:after="120"/>
              <w:jc w:val="both"/>
              <w:rPr>
                <w:rFonts w:ascii="Times New Roman" w:eastAsia="Times New Roman" w:hAnsi="Times New Roman" w:cs="Times New Roman"/>
                <w:b/>
                <w:sz w:val="24"/>
              </w:rPr>
            </w:pPr>
            <w:r w:rsidRPr="00DC44DB">
              <w:rPr>
                <w:rFonts w:ascii="Times New Roman" w:hAnsi="Times New Roman"/>
                <w:b/>
                <w:sz w:val="24"/>
              </w:rPr>
              <w:t>Ingresos por intereses y arrendamiento</w:t>
            </w:r>
          </w:p>
          <w:p w14:paraId="33CCD1CB" w14:textId="130AE220" w:rsidR="00BD248A" w:rsidRPr="00DC44DB" w:rsidRDefault="00D740B8">
            <w:pPr>
              <w:rPr>
                <w:rFonts w:ascii="Times New Roman" w:eastAsia="Times New Roman" w:hAnsi="Times New Roman" w:cs="Times New Roman"/>
                <w:sz w:val="24"/>
              </w:rPr>
            </w:pPr>
            <w:r w:rsidRPr="00DC44DB">
              <w:rPr>
                <w:rFonts w:ascii="Times New Roman" w:hAnsi="Times New Roman"/>
                <w:sz w:val="24"/>
              </w:rPr>
              <w:t>La suma de los ingresos por intereses de todos los activos financieros, otros ingresos procedentes de activos arrendados y los beneficios procedentes de activos arrendados, de conformidad con el anexo V de las soluciones informáticas de la ABE.</w:t>
            </w:r>
          </w:p>
          <w:p w14:paraId="76D4A1E7" w14:textId="77777777" w:rsidR="00BD248A" w:rsidRPr="00DC44DB" w:rsidRDefault="00BD248A">
            <w:pPr>
              <w:rPr>
                <w:rFonts w:ascii="Times New Roman" w:eastAsia="Times New Roman" w:hAnsi="Times New Roman" w:cs="Times New Roman"/>
                <w:sz w:val="24"/>
              </w:rPr>
            </w:pPr>
          </w:p>
          <w:p w14:paraId="19841383" w14:textId="08257E38" w:rsidR="00F5221D" w:rsidRPr="00DC44DB" w:rsidRDefault="004F220F">
            <w:pPr>
              <w:rPr>
                <w:rFonts w:ascii="Times New Roman" w:eastAsia="Times New Roman" w:hAnsi="Times New Roman" w:cs="Times New Roman"/>
                <w:sz w:val="24"/>
              </w:rPr>
            </w:pPr>
            <w:r w:rsidRPr="00DC44DB">
              <w:rPr>
                <w:rFonts w:ascii="Times New Roman" w:hAnsi="Times New Roman"/>
                <w:sz w:val="24"/>
              </w:rPr>
              <w:t>Se comunicarán los ingresos obtenidos de todos los activos financieros de conformidad con el anexo V, parte 2, apartado 31, de las soluciones informáticas de la ABE y siguiendo las especificaciones adicionales del anexo V, parte 2, apartado 187, apartado 189 y apartado 194, inciso </w:t>
            </w:r>
            <w:proofErr w:type="spellStart"/>
            <w:r w:rsidRPr="00DC44DB">
              <w:rPr>
                <w:rFonts w:ascii="Times New Roman" w:hAnsi="Times New Roman"/>
                <w:sz w:val="24"/>
              </w:rPr>
              <w:t>ii</w:t>
            </w:r>
            <w:proofErr w:type="spellEnd"/>
            <w:r w:rsidRPr="00DC44DB">
              <w:rPr>
                <w:rFonts w:ascii="Times New Roman" w:hAnsi="Times New Roman"/>
                <w:sz w:val="24"/>
              </w:rPr>
              <w:t>), de las soluciones informáticas de la ABE.</w:t>
            </w:r>
          </w:p>
          <w:p w14:paraId="55B6FFE6" w14:textId="77777777" w:rsidR="00F5221D" w:rsidRPr="00DC44DB" w:rsidRDefault="00F5221D">
            <w:pPr>
              <w:rPr>
                <w:rFonts w:ascii="Times New Roman" w:eastAsia="Times New Roman" w:hAnsi="Times New Roman" w:cs="Times New Roman"/>
                <w:sz w:val="24"/>
              </w:rPr>
            </w:pPr>
          </w:p>
          <w:p w14:paraId="00ED9136" w14:textId="12CD18AE" w:rsidR="00E76AA5" w:rsidRPr="00DC44DB" w:rsidRDefault="00F5221D" w:rsidP="007535CB">
            <w:pPr>
              <w:rPr>
                <w:rFonts w:ascii="Times New Roman" w:eastAsia="Times New Roman" w:hAnsi="Times New Roman" w:cs="Times New Roman"/>
                <w:sz w:val="24"/>
              </w:rPr>
            </w:pPr>
            <w:r w:rsidRPr="00DC44DB">
              <w:rPr>
                <w:rFonts w:ascii="Times New Roman" w:hAnsi="Times New Roman"/>
                <w:sz w:val="24"/>
              </w:rPr>
              <w:t xml:space="preserve">Los demás ingresos procedentes de activos arrendados (financieros y operativos) excluirán los ingresos por intereses. Este importe se comunicará de conformidad con el anexo V, parte 2, apartados 314 y 315, de las soluciones informáticas de la ABE, que representan: i) los ingresos procedentes de cambios en el valor razonable de las inversiones inmobiliarias que generan alquileres y se valoran utilizando el modelo del valor razonable; o </w:t>
            </w:r>
            <w:proofErr w:type="spellStart"/>
            <w:r w:rsidRPr="00DC44DB">
              <w:rPr>
                <w:rFonts w:ascii="Times New Roman" w:hAnsi="Times New Roman"/>
                <w:sz w:val="24"/>
              </w:rPr>
              <w:t>ii</w:t>
            </w:r>
            <w:proofErr w:type="spellEnd"/>
            <w:r w:rsidRPr="00DC44DB">
              <w:rPr>
                <w:rFonts w:ascii="Times New Roman" w:hAnsi="Times New Roman"/>
                <w:sz w:val="24"/>
              </w:rPr>
              <w:t>) los ingresos procedentes de arrendamientos operativos, incluidos los ingresos por arrendamiento procedentes de inversiones inmobiliarias.</w:t>
            </w:r>
          </w:p>
          <w:p w14:paraId="6C1BE770" w14:textId="77777777" w:rsidR="007535CB" w:rsidRPr="00DC44DB" w:rsidRDefault="007535CB" w:rsidP="007535CB">
            <w:pPr>
              <w:rPr>
                <w:rFonts w:ascii="Times New Roman" w:eastAsia="Times New Roman" w:hAnsi="Times New Roman" w:cs="Times New Roman"/>
                <w:sz w:val="24"/>
              </w:rPr>
            </w:pPr>
          </w:p>
          <w:p w14:paraId="742C7468" w14:textId="3A50C109" w:rsidR="00D740B8" w:rsidRPr="00DC44DB" w:rsidRDefault="00BB0B3D" w:rsidP="004F34D4">
            <w:pPr>
              <w:rPr>
                <w:rFonts w:ascii="Times New Roman" w:eastAsia="Times New Roman" w:hAnsi="Times New Roman" w:cs="Times New Roman"/>
                <w:sz w:val="24"/>
              </w:rPr>
            </w:pPr>
            <w:r w:rsidRPr="00DC44DB">
              <w:rPr>
                <w:rFonts w:ascii="Times New Roman" w:hAnsi="Times New Roman"/>
                <w:sz w:val="24"/>
              </w:rPr>
              <w:t xml:space="preserve">Los beneficios de los activos arrendados (financieros y operativos) incluirán: i) los beneficios derivados de las modificaciones del arrendamiento de conformidad con el anexo V, parte 2, apartado 49, de las soluciones informáticas de la ABE; </w:t>
            </w:r>
            <w:proofErr w:type="spellStart"/>
            <w:r w:rsidRPr="00DC44DB">
              <w:rPr>
                <w:rFonts w:ascii="Times New Roman" w:hAnsi="Times New Roman"/>
                <w:sz w:val="24"/>
              </w:rPr>
              <w:t>ii</w:t>
            </w:r>
            <w:proofErr w:type="spellEnd"/>
            <w:r w:rsidRPr="00DC44DB">
              <w:rPr>
                <w:rFonts w:ascii="Times New Roman" w:hAnsi="Times New Roman"/>
                <w:sz w:val="24"/>
              </w:rPr>
              <w:t>) el resto de ingresos de explotación (otros ingresos de explotación) de conformidad con el anexo V, parte 2, apartados 314 y 316, de las soluciones informáticas de la ABE, si están relacionados con activos arrendados (financieros y operativos).</w:t>
            </w:r>
          </w:p>
        </w:tc>
      </w:tr>
      <w:tr w:rsidR="00D740B8" w:rsidRPr="00DC44DB"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DC44DB" w:rsidRDefault="00D740B8">
            <w:pPr>
              <w:spacing w:before="60" w:after="120"/>
              <w:jc w:val="both"/>
              <w:rPr>
                <w:rFonts w:ascii="Times New Roman" w:eastAsia="Times New Roman" w:hAnsi="Times New Roman" w:cs="Times New Roman"/>
                <w:b/>
                <w:sz w:val="24"/>
              </w:rPr>
            </w:pPr>
            <w:r w:rsidRPr="00DC44DB">
              <w:rPr>
                <w:rFonts w:ascii="Times New Roman" w:hAnsi="Times New Roman"/>
                <w:b/>
                <w:sz w:val="24"/>
              </w:rPr>
              <w:t>Intereses y gastos por arrendamiento</w:t>
            </w:r>
          </w:p>
          <w:p w14:paraId="65B73157" w14:textId="72BA8427" w:rsidR="00EC1398" w:rsidRPr="00DC44DB" w:rsidRDefault="00D740B8">
            <w:pPr>
              <w:rPr>
                <w:rFonts w:ascii="Times New Roman" w:eastAsia="Times New Roman" w:hAnsi="Times New Roman" w:cs="Times New Roman"/>
                <w:sz w:val="24"/>
              </w:rPr>
            </w:pPr>
            <w:r w:rsidRPr="00DC44DB">
              <w:rPr>
                <w:rFonts w:ascii="Times New Roman" w:hAnsi="Times New Roman"/>
                <w:sz w:val="24"/>
              </w:rPr>
              <w:t>La suma de los gastos por intereses de todos los pasivos financieros, los gastos de los activos arrendados y la depreciación, el deterioro y las pérdidas de los activos arrendados, tal y como se menciona en el anexo V de las soluciones informáticas de la ABE.</w:t>
            </w:r>
          </w:p>
          <w:p w14:paraId="06CEDDA9" w14:textId="77777777" w:rsidR="00BA33C3" w:rsidRPr="00DC44DB" w:rsidRDefault="00BA33C3">
            <w:pPr>
              <w:rPr>
                <w:rFonts w:ascii="Times New Roman" w:eastAsia="Times New Roman" w:hAnsi="Times New Roman" w:cs="Times New Roman"/>
                <w:sz w:val="24"/>
              </w:rPr>
            </w:pPr>
          </w:p>
          <w:p w14:paraId="3ACFF991" w14:textId="1BCDC8C4" w:rsidR="00BA33C3" w:rsidRPr="00DC44DB" w:rsidRDefault="00BA33C3">
            <w:pPr>
              <w:rPr>
                <w:rFonts w:ascii="Times New Roman" w:eastAsia="Times New Roman" w:hAnsi="Times New Roman" w:cs="Times New Roman"/>
                <w:sz w:val="24"/>
              </w:rPr>
            </w:pPr>
            <w:r w:rsidRPr="00DC44DB">
              <w:rPr>
                <w:rFonts w:ascii="Times New Roman" w:hAnsi="Times New Roman"/>
                <w:sz w:val="24"/>
              </w:rPr>
              <w:t>Se calcularán los gastos por intereses derivados de todos los activos financieros de conformidad con el anexo V, parte 2, apartado 31, de las soluciones informáticas de la ABE y siguiendo las especificaciones adicionales del anexo V, parte 2, apartado 188, apartado 190 y apartado 194, inciso </w:t>
            </w:r>
            <w:proofErr w:type="spellStart"/>
            <w:r w:rsidRPr="00DC44DB">
              <w:rPr>
                <w:rFonts w:ascii="Times New Roman" w:hAnsi="Times New Roman"/>
                <w:sz w:val="24"/>
              </w:rPr>
              <w:t>ii</w:t>
            </w:r>
            <w:proofErr w:type="spellEnd"/>
            <w:r w:rsidRPr="00DC44DB">
              <w:rPr>
                <w:rFonts w:ascii="Times New Roman" w:hAnsi="Times New Roman"/>
                <w:sz w:val="24"/>
              </w:rPr>
              <w:t>), de las soluciones informáticas de la ABE. Los gastos por intereses que se deban a eventos de riesgo operativo no se incluirán. En su lugar, se incluirán en el componente de servicios de conformidad con el artículo 314, apartado 5, del Reglamento (UE) n.º 575/2013.</w:t>
            </w:r>
          </w:p>
          <w:p w14:paraId="2D079DF5" w14:textId="77777777" w:rsidR="003D0A4B" w:rsidRPr="00DC44DB" w:rsidRDefault="003D0A4B">
            <w:pPr>
              <w:rPr>
                <w:rFonts w:ascii="Times New Roman" w:eastAsia="Times New Roman" w:hAnsi="Times New Roman" w:cs="Times New Roman"/>
                <w:sz w:val="24"/>
              </w:rPr>
            </w:pPr>
          </w:p>
          <w:p w14:paraId="08A94531" w14:textId="1EA15404" w:rsidR="003D0A4B" w:rsidRPr="00DC44DB" w:rsidRDefault="003D0A4B" w:rsidP="00D136A0">
            <w:pPr>
              <w:rPr>
                <w:rFonts w:ascii="Times New Roman" w:eastAsia="Times New Roman" w:hAnsi="Times New Roman" w:cs="Times New Roman"/>
                <w:sz w:val="24"/>
              </w:rPr>
            </w:pPr>
            <w:r w:rsidRPr="00DC44DB">
              <w:rPr>
                <w:rFonts w:ascii="Times New Roman" w:hAnsi="Times New Roman"/>
                <w:sz w:val="24"/>
              </w:rPr>
              <w:t xml:space="preserve">Los gastos derivados de activos arrendados (operativos) incluirán los gastos de conformidad con el anexo V, parte 2, apartados 314 y 315, de las soluciones informáticas de la ABE en relación con los arrendamientos operativos, que representen: i) gastos derivados de los cambios en el valor razonable de las inversiones inmobiliarias que generan alquileres y se valoran utilizando el modelo del valor razonable de los activos arrendados operativos; y </w:t>
            </w:r>
            <w:proofErr w:type="spellStart"/>
            <w:r w:rsidRPr="00DC44DB">
              <w:rPr>
                <w:rFonts w:ascii="Times New Roman" w:hAnsi="Times New Roman"/>
                <w:sz w:val="24"/>
              </w:rPr>
              <w:t>ii</w:t>
            </w:r>
            <w:proofErr w:type="spellEnd"/>
            <w:r w:rsidRPr="00DC44DB">
              <w:rPr>
                <w:rFonts w:ascii="Times New Roman" w:hAnsi="Times New Roman"/>
                <w:sz w:val="24"/>
              </w:rPr>
              <w:t xml:space="preserve">) los gastos por arrendamientos operativos, incluidos los gastos directos de explotación de las inversiones inmobiliarias que generan alquileres. Además, las entidades consignarán aquí otros gastos administrativos derivados de activos arrendados operativos, de conformidad con el anexo V, parte 2, apartado 208, inciso </w:t>
            </w:r>
            <w:proofErr w:type="spellStart"/>
            <w:r w:rsidRPr="00DC44DB">
              <w:rPr>
                <w:rFonts w:ascii="Times New Roman" w:hAnsi="Times New Roman"/>
                <w:sz w:val="24"/>
              </w:rPr>
              <w:t>ix</w:t>
            </w:r>
            <w:proofErr w:type="spellEnd"/>
            <w:r w:rsidRPr="00DC44DB">
              <w:rPr>
                <w:rFonts w:ascii="Times New Roman" w:hAnsi="Times New Roman"/>
                <w:sz w:val="24"/>
              </w:rPr>
              <w:t>), de las soluciones informáticas de la ABE. Los gastos que se deban a eventos de riesgo operativo no se incluirán. En su lugar, se incluirán en el componente de servicios de conformidad con el artículo 314, apartado 5, del Reglamento (UE) n.º 575/2013.</w:t>
            </w:r>
          </w:p>
          <w:p w14:paraId="61020FEC" w14:textId="77777777" w:rsidR="00376B14" w:rsidRPr="00DC44DB" w:rsidRDefault="00376B14">
            <w:pPr>
              <w:rPr>
                <w:rFonts w:ascii="Times New Roman" w:eastAsia="Times New Roman" w:hAnsi="Times New Roman" w:cs="Times New Roman"/>
                <w:sz w:val="24"/>
              </w:rPr>
            </w:pPr>
          </w:p>
          <w:p w14:paraId="5D976FDD" w14:textId="0FB08478" w:rsidR="00376B14" w:rsidRPr="00DC44DB" w:rsidRDefault="00376B14">
            <w:pPr>
              <w:rPr>
                <w:rFonts w:ascii="Times New Roman" w:eastAsia="Times New Roman" w:hAnsi="Times New Roman" w:cs="Times New Roman"/>
                <w:sz w:val="24"/>
              </w:rPr>
            </w:pPr>
            <w:r w:rsidRPr="00DC44DB">
              <w:rPr>
                <w:rFonts w:ascii="Times New Roman" w:hAnsi="Times New Roman"/>
                <w:sz w:val="24"/>
              </w:rPr>
              <w:t>La depreciación de los activos arrendados corresponderá a los gastos por depreciación comunicados de conformidad con los apartados 102 y 104 de las Normas Internacionales de Contabilidad (NIC) 1, pero solo de los activos operativos arrendados cuyos ingresos o gastos se incluyan en el cálculo de los ingresos o gastos por intereses.</w:t>
            </w:r>
          </w:p>
          <w:p w14:paraId="5D82FC67" w14:textId="77777777" w:rsidR="00DA24A2" w:rsidRPr="00DC44DB" w:rsidRDefault="00DA24A2">
            <w:pPr>
              <w:rPr>
                <w:rFonts w:ascii="Times New Roman" w:eastAsia="Times New Roman" w:hAnsi="Times New Roman" w:cs="Times New Roman"/>
                <w:sz w:val="24"/>
              </w:rPr>
            </w:pPr>
          </w:p>
          <w:p w14:paraId="1D89DE9C" w14:textId="6D7B59E2" w:rsidR="00DA24A2" w:rsidRPr="00DC44DB" w:rsidRDefault="00DA24A2">
            <w:pPr>
              <w:rPr>
                <w:rFonts w:ascii="Times New Roman" w:eastAsia="Times New Roman" w:hAnsi="Times New Roman" w:cs="Times New Roman"/>
                <w:sz w:val="24"/>
              </w:rPr>
            </w:pPr>
            <w:r w:rsidRPr="00DC44DB">
              <w:rPr>
                <w:rFonts w:ascii="Times New Roman" w:hAnsi="Times New Roman"/>
                <w:sz w:val="24"/>
              </w:rPr>
              <w:t>El deterioro de los activos arrendados corresponderá a los gastos derivados de los activos operativos arrendados que representen el deterioro o la recuperación del deterioro del valor, de conformidad con la NIC 36, apartado 126(a)(b), de los activos operativos arrendados.</w:t>
            </w:r>
          </w:p>
          <w:p w14:paraId="11B36ACB" w14:textId="77777777" w:rsidR="00DA24A2" w:rsidRPr="00DC44DB" w:rsidRDefault="00DA24A2">
            <w:pPr>
              <w:rPr>
                <w:rFonts w:ascii="Times New Roman" w:eastAsia="Times New Roman" w:hAnsi="Times New Roman" w:cs="Times New Roman"/>
                <w:sz w:val="24"/>
              </w:rPr>
            </w:pPr>
          </w:p>
          <w:p w14:paraId="0FA351B6" w14:textId="470A5833" w:rsidR="00D740B8" w:rsidRPr="00DC44DB" w:rsidRDefault="00DA24A2" w:rsidP="004F34D4">
            <w:pPr>
              <w:rPr>
                <w:rFonts w:ascii="Times New Roman" w:hAnsi="Times New Roman"/>
                <w:sz w:val="24"/>
              </w:rPr>
            </w:pPr>
            <w:r w:rsidRPr="00DC44DB">
              <w:rPr>
                <w:rFonts w:ascii="Times New Roman" w:hAnsi="Times New Roman"/>
                <w:sz w:val="24"/>
              </w:rPr>
              <w:t>Las pérdidas de activos arrendados corresponden al resto de gastos de explotación (Otros gastos de explotación) de conformidad con el anexo V, parte 2, sección 29.3, apartado 316, de las soluciones informáticas de la ABE, si están relacionadas con activos operativos arrendados. Las pérdidas debidas a eventos de riesgo operativo no se incluirán. En su lugar, se incluirán en el componente de servicios de conformidad con el artículo 314, apartado 5, del Reglamento (UE) n.º 575/2013.</w:t>
            </w:r>
          </w:p>
        </w:tc>
      </w:tr>
      <w:tr w:rsidR="00D740B8" w:rsidRPr="00DC44DB"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DC44DB" w:rsidRDefault="00B76736">
            <w:pPr>
              <w:spacing w:before="60" w:after="120"/>
              <w:jc w:val="both"/>
              <w:rPr>
                <w:rStyle w:val="InstructionsTabelleberschrift"/>
                <w:rFonts w:ascii="Times New Roman" w:eastAsia="Times New Roman" w:hAnsi="Times New Roman"/>
                <w:sz w:val="24"/>
                <w:u w:val="none"/>
              </w:rPr>
            </w:pPr>
            <w:proofErr w:type="gramStart"/>
            <w:r w:rsidRPr="00DC44DB">
              <w:rPr>
                <w:rStyle w:val="InstructionsTabelleberschrift"/>
                <w:rFonts w:ascii="Times New Roman" w:hAnsi="Times New Roman"/>
                <w:sz w:val="24"/>
                <w:u w:val="none"/>
              </w:rPr>
              <w:t>Total</w:t>
            </w:r>
            <w:proofErr w:type="gramEnd"/>
            <w:r w:rsidRPr="00DC44DB">
              <w:rPr>
                <w:rStyle w:val="InstructionsTabelleberschrift"/>
                <w:rFonts w:ascii="Times New Roman" w:hAnsi="Times New Roman"/>
                <w:sz w:val="24"/>
                <w:u w:val="none"/>
              </w:rPr>
              <w:t xml:space="preserve"> de activos/componente de activos</w:t>
            </w:r>
          </w:p>
          <w:p w14:paraId="15501679" w14:textId="3EB04379" w:rsidR="00D740B8" w:rsidRPr="00DC44DB" w:rsidRDefault="00B76736">
            <w:pPr>
              <w:spacing w:before="60" w:after="120"/>
              <w:jc w:val="both"/>
              <w:rPr>
                <w:rFonts w:ascii="Times New Roman" w:eastAsia="Times New Roman" w:hAnsi="Times New Roman" w:cs="Times New Roman"/>
                <w:sz w:val="24"/>
              </w:rPr>
            </w:pPr>
            <w:r w:rsidRPr="00DC44DB">
              <w:rPr>
                <w:rFonts w:ascii="Times New Roman" w:hAnsi="Times New Roman"/>
                <w:sz w:val="24"/>
              </w:rPr>
              <w:t>En la columna d) se calcula el componente de activos de conformidad con el artículo 314, apartado 2, del Reglamento (UE) n.º 575/2013.</w:t>
            </w:r>
          </w:p>
          <w:p w14:paraId="65FF56C9" w14:textId="24401D0D" w:rsidR="004E3E86" w:rsidRPr="00DC44DB" w:rsidRDefault="003E3201" w:rsidP="00373F9D">
            <w:pPr>
              <w:rPr>
                <w:rFonts w:ascii="Times New Roman" w:hAnsi="Times New Roman"/>
                <w:sz w:val="24"/>
              </w:rPr>
            </w:pPr>
            <w:r w:rsidRPr="00DC44DB">
              <w:rPr>
                <w:rFonts w:ascii="Times New Roman" w:hAnsi="Times New Roman"/>
                <w:sz w:val="24"/>
              </w:rPr>
              <w:t>En las otras columnas, el total de activos se corresponderá con la suma del importe en libros bruto de los saldos en efectivo en bancos centrales y otros depósitos a la vista, valores representativos de deuda, préstamos y anticipos, así como el importe en libros de los derivados (negociación y coberturas económicas y contabilidad de coberturas) y los activos sujetos a arrendamientos (activos tangibles e intangibles). Estos elementos se referirán al anexo V de las soluciones informáticas de la ABE.</w:t>
            </w:r>
          </w:p>
          <w:p w14:paraId="2655EEC4" w14:textId="6116BB66" w:rsidR="00BC1F18" w:rsidRPr="00DC44DB" w:rsidRDefault="00BC1F18" w:rsidP="00BC1F18">
            <w:pPr>
              <w:rPr>
                <w:rFonts w:ascii="Times New Roman" w:hAnsi="Times New Roman"/>
                <w:sz w:val="24"/>
              </w:rPr>
            </w:pPr>
          </w:p>
        </w:tc>
      </w:tr>
      <w:tr w:rsidR="00D740B8" w:rsidRPr="00DC44DB"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DC44DB" w:rsidRDefault="00B76736">
            <w:pPr>
              <w:spacing w:before="6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Ingresos por dividendos/Componente de dividendos</w:t>
            </w:r>
          </w:p>
          <w:p w14:paraId="1A066B7B" w14:textId="4AA7538A" w:rsidR="00D740B8" w:rsidRPr="00DC44DB" w:rsidRDefault="00B76736" w:rsidP="004E3E86">
            <w:pPr>
              <w:spacing w:before="60" w:after="120"/>
              <w:jc w:val="both"/>
              <w:rPr>
                <w:rFonts w:ascii="Times New Roman" w:eastAsia="Times New Roman" w:hAnsi="Times New Roman" w:cs="Times New Roman"/>
                <w:sz w:val="24"/>
              </w:rPr>
            </w:pPr>
            <w:r w:rsidRPr="00DC44DB">
              <w:rPr>
                <w:rFonts w:ascii="Times New Roman" w:hAnsi="Times New Roman"/>
                <w:sz w:val="24"/>
              </w:rPr>
              <w:t>En la columna d) se calculará el componente de dividendos de conformidad con el artículo 314, apartado 2, del Reglamento (UE) n.º 575/2013.</w:t>
            </w:r>
          </w:p>
          <w:p w14:paraId="3F4B342E" w14:textId="23DB8876" w:rsidR="004E3E86" w:rsidRPr="00DC44DB" w:rsidRDefault="004E3E86" w:rsidP="004E3E86">
            <w:pPr>
              <w:rPr>
                <w:rFonts w:ascii="Times New Roman" w:hAnsi="Times New Roman"/>
                <w:sz w:val="24"/>
              </w:rPr>
            </w:pPr>
            <w:r w:rsidRPr="00DC44DB">
              <w:rPr>
                <w:rFonts w:ascii="Times New Roman" w:hAnsi="Times New Roman"/>
                <w:sz w:val="24"/>
              </w:rPr>
              <w:t>Las entidades comunicarán los ingresos por dividendos de conformidad con el anexo V, parte 2, apartados 40 a 42, de las soluciones informáticas de la ABE.</w:t>
            </w:r>
          </w:p>
        </w:tc>
      </w:tr>
      <w:tr w:rsidR="003826D3" w:rsidRPr="00DC44DB"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DC44DB" w:rsidRDefault="003826D3" w:rsidP="003826D3">
            <w:pPr>
              <w:spacing w:before="60" w:after="120"/>
              <w:jc w:val="both"/>
              <w:rPr>
                <w:rFonts w:ascii="Times New Roman" w:eastAsia="Times New Roman" w:hAnsi="Times New Roman" w:cs="Times New Roman"/>
                <w:b/>
                <w:sz w:val="24"/>
              </w:rPr>
            </w:pPr>
            <w:r w:rsidRPr="00DC44DB">
              <w:rPr>
                <w:rFonts w:ascii="Times New Roman" w:hAnsi="Times New Roman"/>
                <w:b/>
                <w:sz w:val="24"/>
              </w:rPr>
              <w:t>Componente de servicios (SC)</w:t>
            </w:r>
          </w:p>
          <w:p w14:paraId="2D48B659" w14:textId="0264DFE4" w:rsidR="00080F37" w:rsidRPr="00DC44DB" w:rsidRDefault="005E7C4C" w:rsidP="003826D3">
            <w:pPr>
              <w:spacing w:before="60" w:after="120"/>
              <w:jc w:val="both"/>
              <w:rPr>
                <w:rFonts w:ascii="Times New Roman" w:eastAsia="Times New Roman" w:hAnsi="Times New Roman" w:cs="Times New Roman"/>
                <w:sz w:val="24"/>
              </w:rPr>
            </w:pPr>
            <w:r w:rsidRPr="00DC44DB">
              <w:rPr>
                <w:rFonts w:ascii="Times New Roman" w:hAnsi="Times New Roman"/>
                <w:sz w:val="24"/>
              </w:rPr>
              <w:t>El componente de servicios se calculará de conformidad con el artículo 314, apartado 5, del Reglamento (UE) n.º 575/2013.</w:t>
            </w:r>
          </w:p>
          <w:p w14:paraId="2EFCFDAF" w14:textId="3F07E77F" w:rsidR="003826D3" w:rsidRPr="00DC44DB" w:rsidRDefault="0094124B" w:rsidP="003826D3">
            <w:pPr>
              <w:spacing w:before="60" w:after="120"/>
              <w:jc w:val="both"/>
              <w:rPr>
                <w:rStyle w:val="InstructionsTabelleberschrift"/>
                <w:rFonts w:ascii="Times New Roman" w:eastAsia="Times New Roman" w:hAnsi="Times New Roman"/>
                <w:bCs w:val="0"/>
                <w:sz w:val="24"/>
              </w:rPr>
            </w:pPr>
            <w:r w:rsidRPr="00DC44DB">
              <w:rPr>
                <w:rFonts w:ascii="Times New Roman" w:hAnsi="Times New Roman"/>
                <w:sz w:val="24"/>
              </w:rPr>
              <w:t xml:space="preserve">Cuando una entidad esté sujeta a la excepción a que se refiere el artículo 314, apartado 4, del Reglamento (UE) n.º 575/2013, la entidad no incluirá ninguna cifra de las líneas de negocio de banca minorista o banca comercial. </w:t>
            </w:r>
          </w:p>
        </w:tc>
      </w:tr>
      <w:tr w:rsidR="003826D3" w:rsidRPr="00DC44DB"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DC44DB" w:rsidRDefault="003826D3" w:rsidP="003826D3">
            <w:pPr>
              <w:spacing w:before="60" w:after="120"/>
              <w:jc w:val="both"/>
              <w:rPr>
                <w:rFonts w:ascii="Times New Roman" w:eastAsia="Times New Roman" w:hAnsi="Times New Roman" w:cs="Times New Roman"/>
                <w:b/>
                <w:sz w:val="24"/>
              </w:rPr>
            </w:pPr>
            <w:r w:rsidRPr="00DC44DB">
              <w:rPr>
                <w:rFonts w:ascii="Times New Roman" w:hAnsi="Times New Roman"/>
                <w:b/>
                <w:sz w:val="24"/>
              </w:rPr>
              <w:t>Ingresos por honorarios y comisiones</w:t>
            </w:r>
          </w:p>
          <w:p w14:paraId="1394D6AF" w14:textId="06AD3617" w:rsidR="003826D3" w:rsidRPr="00DC44DB" w:rsidRDefault="009816D6" w:rsidP="003826D3">
            <w:pPr>
              <w:spacing w:before="60" w:after="120"/>
              <w:jc w:val="both"/>
              <w:rPr>
                <w:rFonts w:ascii="Times New Roman" w:eastAsia="Times New Roman" w:hAnsi="Times New Roman" w:cs="Times New Roman"/>
                <w:sz w:val="24"/>
              </w:rPr>
            </w:pPr>
            <w:r w:rsidRPr="00DC44DB">
              <w:rPr>
                <w:rFonts w:ascii="Times New Roman" w:hAnsi="Times New Roman"/>
                <w:sz w:val="24"/>
              </w:rPr>
              <w:t>Ingresos por comisiones y honorarios a los que se hace referencia en el anexo V, parte 2, apartados 281 a 284, de las soluciones informáticas de la ABE y calculados de conformidad con el artículo 314, apartado 5, del Reglamento (UE) n.º 575/2013.</w:t>
            </w:r>
          </w:p>
          <w:p w14:paraId="0EA5E8EE" w14:textId="07382D3A" w:rsidR="008D318E" w:rsidRPr="00DC44DB" w:rsidRDefault="008D318E" w:rsidP="003826D3">
            <w:pPr>
              <w:spacing w:before="60" w:after="120"/>
              <w:jc w:val="both"/>
              <w:rPr>
                <w:rFonts w:ascii="Times New Roman" w:eastAsia="Times New Roman" w:hAnsi="Times New Roman" w:cs="Times New Roman"/>
                <w:sz w:val="24"/>
              </w:rPr>
            </w:pPr>
            <w:r w:rsidRPr="00DC44DB">
              <w:rPr>
                <w:rFonts w:ascii="Times New Roman" w:hAnsi="Times New Roman"/>
                <w:sz w:val="24"/>
              </w:rPr>
              <w:t>Los ingresos procedentes de actividades auxiliares, como las actividades informáticas necesarias para prestar un servicio financiero, también se incluirán en este elemento, de conformidad con el artículo 7 de las normas técnicas de regulación que se elaborarán en virtud del artículo 314, apartado 9, del Reglamento (UE) n.º 575/2013.</w:t>
            </w:r>
          </w:p>
          <w:p w14:paraId="388F841F" w14:textId="1B0267DB" w:rsidR="00D91B18" w:rsidRPr="00DC44DB" w:rsidRDefault="007D3710" w:rsidP="003826D3">
            <w:pPr>
              <w:spacing w:before="60" w:after="120"/>
              <w:jc w:val="both"/>
              <w:rPr>
                <w:rStyle w:val="InstructionsTabelleberschrift"/>
                <w:rFonts w:ascii="Times New Roman" w:eastAsia="Times New Roman" w:hAnsi="Times New Roman"/>
                <w:b w:val="0"/>
                <w:bCs w:val="0"/>
                <w:sz w:val="24"/>
                <w:u w:val="none"/>
              </w:rPr>
            </w:pPr>
            <w:r w:rsidRPr="00DC44DB">
              <w:rPr>
                <w:rStyle w:val="InstructionsTabelleberschrift"/>
                <w:rFonts w:ascii="Times New Roman" w:hAnsi="Times New Roman"/>
                <w:b w:val="0"/>
                <w:sz w:val="24"/>
                <w:u w:val="none"/>
              </w:rPr>
              <w:t>Se excluirá la parte de los ingresos por honorarios y comisiones recibidos de entidades que son miembros del mismo sistema institucional de protección (SIP) de conformidad con el artículo 314, apartado 5, del Reglamento (UE) n.º 575/2013.</w:t>
            </w:r>
          </w:p>
        </w:tc>
      </w:tr>
      <w:tr w:rsidR="003826D3" w:rsidRPr="00DC44DB"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DC44DB" w:rsidRDefault="003826D3" w:rsidP="003826D3">
            <w:pPr>
              <w:spacing w:before="60" w:after="120"/>
              <w:jc w:val="both"/>
              <w:rPr>
                <w:rFonts w:ascii="Times New Roman" w:eastAsia="Times New Roman" w:hAnsi="Times New Roman" w:cs="Times New Roman"/>
                <w:b/>
                <w:sz w:val="24"/>
              </w:rPr>
            </w:pPr>
            <w:r w:rsidRPr="00DC44DB">
              <w:rPr>
                <w:rFonts w:ascii="Times New Roman" w:hAnsi="Times New Roman"/>
                <w:b/>
                <w:sz w:val="24"/>
              </w:rPr>
              <w:t>Gastos por honorarios y comisiones</w:t>
            </w:r>
          </w:p>
          <w:p w14:paraId="241530E4" w14:textId="72E685E0" w:rsidR="003826D3" w:rsidRPr="00DC44DB" w:rsidRDefault="009816D6" w:rsidP="003826D3">
            <w:pPr>
              <w:spacing w:before="60" w:after="120"/>
              <w:jc w:val="both"/>
              <w:rPr>
                <w:rFonts w:ascii="Times New Roman" w:eastAsia="Times New Roman" w:hAnsi="Times New Roman" w:cs="Times New Roman"/>
                <w:sz w:val="24"/>
              </w:rPr>
            </w:pPr>
            <w:r w:rsidRPr="00DC44DB">
              <w:rPr>
                <w:rFonts w:ascii="Times New Roman" w:hAnsi="Times New Roman"/>
                <w:sz w:val="24"/>
              </w:rPr>
              <w:t>Gastos por comisiones y honorarios de conformidad con el anexo V, parte 2, apartados 281 a 284, de las soluciones informáticas de la ABE y calculados de conformidad con el artículo 314, apartado 5, del Reglamento (UE) n.º 575/2013.</w:t>
            </w:r>
          </w:p>
          <w:p w14:paraId="03E34B08" w14:textId="2D67624D" w:rsidR="00126683" w:rsidRPr="00DC44DB" w:rsidRDefault="00126683" w:rsidP="003826D3">
            <w:pPr>
              <w:spacing w:before="60" w:after="120"/>
              <w:jc w:val="both"/>
              <w:rPr>
                <w:rFonts w:ascii="Times New Roman" w:eastAsia="Times New Roman" w:hAnsi="Times New Roman" w:cs="Times New Roman"/>
                <w:sz w:val="24"/>
              </w:rPr>
            </w:pPr>
            <w:r w:rsidRPr="00DC44DB">
              <w:rPr>
                <w:rFonts w:ascii="Times New Roman" w:hAnsi="Times New Roman"/>
                <w:sz w:val="24"/>
              </w:rPr>
              <w:t>Las comisiones de externalización pagadas por la prestación de servicios financieros, representadas por la lista de actividades indicadas en el artículo 8 de las normas técnicas de regulación que se elaborarán con arreglo al artículo 314, apartado 9, del Reglamento (UE) n.º 575/2013, en caso de que se incluyan —con arreglo al método contable aplicado— en los gastos administrativos, de conformidad con el artículo 16 de las citadas normas técnicas de regulación, se consignarán en esta fila. Los gastos derivados de actividades auxiliares, como las actividades informáticas necesarias para prestar un servicio financiero, también se incluirán en este elemento.</w:t>
            </w:r>
          </w:p>
          <w:p w14:paraId="37B7C759" w14:textId="401F429B" w:rsidR="00A87543" w:rsidRPr="00DC44DB" w:rsidRDefault="00A87543" w:rsidP="003826D3">
            <w:pPr>
              <w:spacing w:before="60" w:after="120"/>
              <w:jc w:val="both"/>
              <w:rPr>
                <w:rStyle w:val="InstructionsTabelleberschrift"/>
                <w:rFonts w:ascii="Times New Roman" w:eastAsia="Times New Roman" w:hAnsi="Times New Roman"/>
                <w:b w:val="0"/>
                <w:sz w:val="24"/>
              </w:rPr>
            </w:pPr>
            <w:r w:rsidRPr="00DC44DB">
              <w:rPr>
                <w:rFonts w:ascii="Times New Roman" w:hAnsi="Times New Roman"/>
                <w:sz w:val="24"/>
              </w:rPr>
              <w:t>Se excluirá la parte de los gastos por honorarios y comisiones pagados a las entidades que son miembros del mismo sistema institucional de protección (SIP) de conformidad con el artículo 314, apartado 5, del Reglamento (UE) n.º 575/2013.</w:t>
            </w:r>
          </w:p>
        </w:tc>
      </w:tr>
      <w:tr w:rsidR="003826D3" w:rsidRPr="00DC44DB"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DC44DB" w:rsidRDefault="003826D3" w:rsidP="003826D3">
            <w:pPr>
              <w:spacing w:before="60" w:after="120"/>
              <w:jc w:val="both"/>
              <w:rPr>
                <w:rStyle w:val="InstructionsTabelleberschrift"/>
                <w:rFonts w:ascii="Times New Roman" w:eastAsia="Times New Roman" w:hAnsi="Times New Roman"/>
                <w:sz w:val="24"/>
                <w:u w:val="none"/>
              </w:rPr>
            </w:pPr>
            <w:r w:rsidRPr="00DC44DB">
              <w:rPr>
                <w:rStyle w:val="InstructionsTabelleberschrift"/>
                <w:rFonts w:ascii="Times New Roman" w:hAnsi="Times New Roman"/>
                <w:sz w:val="24"/>
                <w:u w:val="none"/>
              </w:rPr>
              <w:t>Otros ingresos de explotación</w:t>
            </w:r>
          </w:p>
          <w:p w14:paraId="035A399D" w14:textId="7232F3EB" w:rsidR="00671F1C" w:rsidRPr="00DC44DB" w:rsidRDefault="009816D6" w:rsidP="003826D3">
            <w:pPr>
              <w:spacing w:before="60" w:after="120"/>
              <w:jc w:val="both"/>
              <w:rPr>
                <w:rFonts w:ascii="Times New Roman" w:eastAsia="Times New Roman" w:hAnsi="Times New Roman" w:cs="Times New Roman"/>
                <w:sz w:val="24"/>
              </w:rPr>
            </w:pPr>
            <w:r w:rsidRPr="00DC44DB">
              <w:rPr>
                <w:rFonts w:ascii="Times New Roman" w:hAnsi="Times New Roman"/>
                <w:sz w:val="24"/>
              </w:rPr>
              <w:t>Otros ingresos de explotación, incluidos: ganancias procedentes de activos no corrientes y grupos enajenables de elementos clasificados como mantenidos para la venta no admisibles como actividades interrumpidas (en caso de pérdidas, los valores se considerarán cero) de conformidad con el anexo V, parte 2, apartado 55, de las soluciones informáticas de la ABE, y otros ingresos de explotación a que se refiere el anexo V, parte 2, apartados 314 y 316, de las soluciones informáticas de la ABE, pero excluyendo los ingresos por arrendamientos operativos y cualquier elemento determinado con arreglo al artículo 314, apartado 7, del Reglamento (UE) 2021/451.</w:t>
            </w:r>
          </w:p>
          <w:p w14:paraId="39451B35" w14:textId="17278A47" w:rsidR="00A471E8" w:rsidRPr="00DC44DB" w:rsidRDefault="007863F3" w:rsidP="003826D3">
            <w:pPr>
              <w:spacing w:before="60" w:after="120"/>
              <w:jc w:val="both"/>
              <w:rPr>
                <w:rFonts w:ascii="Times New Roman" w:eastAsia="Times New Roman" w:hAnsi="Times New Roman" w:cs="Times New Roman"/>
                <w:sz w:val="24"/>
              </w:rPr>
            </w:pPr>
            <w:r w:rsidRPr="00DC44DB">
              <w:rPr>
                <w:rFonts w:ascii="Times New Roman" w:hAnsi="Times New Roman"/>
                <w:sz w:val="24"/>
              </w:rPr>
              <w:t>La recuperación de los gastos administrativos no se considerará conforme al artículo 5 de las normas técnicas de regulación sobre los componentes del indicador de actividad que deben desarrollarse en virtud del artículo 314, apartado 9, del Reglamento (UE) n.º 575/2013.</w:t>
            </w:r>
          </w:p>
          <w:p w14:paraId="0B35E56E" w14:textId="27C4774F" w:rsidR="00695D35" w:rsidRPr="00DC44DB" w:rsidRDefault="00695D35" w:rsidP="003826D3">
            <w:pPr>
              <w:spacing w:before="60" w:after="120"/>
              <w:jc w:val="both"/>
              <w:rPr>
                <w:rFonts w:ascii="Times New Roman" w:eastAsia="Times New Roman" w:hAnsi="Times New Roman" w:cs="Times New Roman"/>
                <w:sz w:val="24"/>
              </w:rPr>
            </w:pPr>
            <w:r w:rsidRPr="00DC44DB">
              <w:rPr>
                <w:rFonts w:ascii="Times New Roman" w:hAnsi="Times New Roman"/>
                <w:sz w:val="24"/>
              </w:rPr>
              <w:t>El importe de otros ingresos de explotación recibidos de entidades que son miembros del mismo sistema institucional de protección (SIP) de conformidad con el artículo 314, apartado 5, del Reglamento (UE) n.º 575/2013.</w:t>
            </w:r>
          </w:p>
          <w:p w14:paraId="685D1BC1" w14:textId="04DD0137" w:rsidR="00695D35" w:rsidRPr="00DC44DB" w:rsidRDefault="00695D35" w:rsidP="003826D3">
            <w:pPr>
              <w:spacing w:before="60" w:after="120"/>
              <w:jc w:val="both"/>
              <w:rPr>
                <w:rStyle w:val="InstructionsTabelleberschrift"/>
                <w:rFonts w:ascii="Times New Roman" w:eastAsia="Times New Roman" w:hAnsi="Times New Roman"/>
                <w:b w:val="0"/>
                <w:bCs w:val="0"/>
                <w:sz w:val="24"/>
                <w:u w:val="none"/>
              </w:rPr>
            </w:pPr>
            <w:r w:rsidRPr="00DC44DB">
              <w:rPr>
                <w:rFonts w:ascii="Times New Roman" w:hAnsi="Times New Roman"/>
                <w:sz w:val="24"/>
              </w:rPr>
              <w:t>El importe de esta fila se calculará de conformidad con el artículo 314, apartado 5, del Reglamento (UE) n.º 575/2013.</w:t>
            </w:r>
          </w:p>
        </w:tc>
      </w:tr>
      <w:tr w:rsidR="003826D3" w:rsidRPr="00DC44DB"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DC44DB" w:rsidRDefault="003826D3" w:rsidP="003826D3">
            <w:pPr>
              <w:spacing w:before="60" w:after="120"/>
              <w:jc w:val="both"/>
              <w:rPr>
                <w:rStyle w:val="InstructionsTabelleberschrift"/>
                <w:rFonts w:ascii="Times New Roman" w:eastAsia="Times New Roman" w:hAnsi="Times New Roman"/>
                <w:sz w:val="24"/>
                <w:u w:val="none"/>
              </w:rPr>
            </w:pPr>
            <w:r w:rsidRPr="00DC44DB">
              <w:rPr>
                <w:rStyle w:val="InstructionsTabelleberschrift"/>
                <w:rFonts w:ascii="Times New Roman" w:hAnsi="Times New Roman"/>
                <w:sz w:val="24"/>
                <w:u w:val="none"/>
              </w:rPr>
              <w:t>Otros gastos de explotación</w:t>
            </w:r>
          </w:p>
          <w:p w14:paraId="13FCDFA5" w14:textId="269315A4" w:rsidR="00B722D0" w:rsidRPr="00DC44DB" w:rsidRDefault="009816D6" w:rsidP="003826D3">
            <w:pPr>
              <w:spacing w:before="60" w:after="120"/>
              <w:jc w:val="both"/>
              <w:rPr>
                <w:rFonts w:ascii="Times New Roman" w:eastAsia="Times New Roman" w:hAnsi="Times New Roman" w:cs="Times New Roman"/>
                <w:sz w:val="24"/>
              </w:rPr>
            </w:pPr>
            <w:r w:rsidRPr="00DC44DB">
              <w:rPr>
                <w:rFonts w:ascii="Times New Roman" w:hAnsi="Times New Roman"/>
                <w:sz w:val="24"/>
              </w:rPr>
              <w:t>Otros gastos de explotación, en particular:</w:t>
            </w:r>
          </w:p>
          <w:p w14:paraId="0E760CEE" w14:textId="74A56BE8" w:rsidR="00643568" w:rsidRPr="00DC44DB" w:rsidRDefault="004D0A0E" w:rsidP="002A26E9">
            <w:pPr>
              <w:pStyle w:val="ListParagraph"/>
              <w:numPr>
                <w:ilvl w:val="0"/>
                <w:numId w:val="9"/>
              </w:numPr>
              <w:spacing w:before="60" w:after="120"/>
              <w:jc w:val="both"/>
              <w:rPr>
                <w:rFonts w:ascii="Times New Roman" w:eastAsia="Times New Roman" w:hAnsi="Times New Roman"/>
                <w:sz w:val="24"/>
              </w:rPr>
            </w:pPr>
            <w:r w:rsidRPr="00DC44DB">
              <w:rPr>
                <w:rFonts w:ascii="Times New Roman" w:hAnsi="Times New Roman"/>
                <w:sz w:val="24"/>
              </w:rPr>
              <w:t>Pérdidas derivadas de activos no corrientes y grupos enajenables de elementos clasificados como mantenidos para la venta que no son admisibles como actividades interrumpidas: pérdidas distintas de las debidas a eventos de riesgo operativo derivadas de activos no corrientes y grupos de activos clasificados como mantenidos para la venta que no reúnen los requisitos para ser considerados actividades interrumpidas, de conformidad con el anexo V, parte 2, apartado 55, de las soluciones informáticas de la ABE. Solo se declararán las pérdidas; en caso de ganancias, el valor se considerará cero a efectos de esta fila.</w:t>
            </w:r>
          </w:p>
          <w:p w14:paraId="0334035E" w14:textId="19D6E763" w:rsidR="00EE7608" w:rsidRPr="00DC44DB" w:rsidRDefault="004D0A0E" w:rsidP="00EE7608">
            <w:pPr>
              <w:pStyle w:val="ListParagraph"/>
              <w:numPr>
                <w:ilvl w:val="0"/>
                <w:numId w:val="9"/>
              </w:numPr>
              <w:spacing w:before="60" w:after="120"/>
              <w:jc w:val="both"/>
              <w:rPr>
                <w:rFonts w:ascii="Times New Roman" w:eastAsia="Times New Roman" w:hAnsi="Times New Roman"/>
                <w:sz w:val="24"/>
              </w:rPr>
            </w:pPr>
            <w:proofErr w:type="gramStart"/>
            <w:r w:rsidRPr="00DC44DB">
              <w:rPr>
                <w:rFonts w:ascii="Times New Roman" w:hAnsi="Times New Roman"/>
                <w:sz w:val="24"/>
              </w:rPr>
              <w:t>Total</w:t>
            </w:r>
            <w:proofErr w:type="gramEnd"/>
            <w:r w:rsidRPr="00DC44DB">
              <w:rPr>
                <w:rFonts w:ascii="Times New Roman" w:hAnsi="Times New Roman"/>
                <w:sz w:val="24"/>
              </w:rPr>
              <w:t xml:space="preserve"> de pérdidas, gastos, provisiones y otros impactos financieros debidos a eventos de riesgo operativo: suma de todas las pérdidas, gastos, provisiones y otras consecuencias financieras que se derivan de los eventos de riesgo operativo, tal como se indica en la fila 0080 de la plantilla C.16,03 incluida en el anexo I de las soluciones informáticas de la ABE.</w:t>
            </w:r>
          </w:p>
          <w:p w14:paraId="2C93E8CD" w14:textId="64776E12" w:rsidR="004D0A0E" w:rsidRPr="00DC44DB" w:rsidRDefault="00A37C45" w:rsidP="00EE7608">
            <w:pPr>
              <w:pStyle w:val="ListParagraph"/>
              <w:numPr>
                <w:ilvl w:val="0"/>
                <w:numId w:val="9"/>
              </w:numPr>
              <w:spacing w:before="60" w:after="120"/>
              <w:jc w:val="both"/>
              <w:rPr>
                <w:rFonts w:ascii="Times New Roman" w:eastAsia="Times New Roman" w:hAnsi="Times New Roman"/>
                <w:sz w:val="24"/>
              </w:rPr>
            </w:pPr>
            <w:r w:rsidRPr="00DC44DB">
              <w:rPr>
                <w:rFonts w:ascii="Times New Roman" w:hAnsi="Times New Roman"/>
                <w:sz w:val="24"/>
              </w:rPr>
              <w:t>Otros gastos de explotación distintos de los debidos a eventos de riesgo operativo de conformidad con el anexo V, parte 2, apartados 314 y 316, de las soluciones informáticas de la ABE, que representen:</w:t>
            </w:r>
          </w:p>
          <w:p w14:paraId="01D56412" w14:textId="77777777" w:rsidR="004A5BBA" w:rsidRPr="00DC44DB" w:rsidRDefault="004A5BBA" w:rsidP="004A5BBA">
            <w:pPr>
              <w:pStyle w:val="ListParagraph"/>
              <w:numPr>
                <w:ilvl w:val="1"/>
                <w:numId w:val="10"/>
              </w:numPr>
              <w:spacing w:before="60" w:after="120"/>
              <w:jc w:val="both"/>
              <w:rPr>
                <w:rFonts w:ascii="Times New Roman" w:eastAsia="Times New Roman" w:hAnsi="Times New Roman"/>
                <w:sz w:val="24"/>
              </w:rPr>
            </w:pPr>
            <w:r w:rsidRPr="00DC44DB">
              <w:rPr>
                <w:rFonts w:ascii="Times New Roman" w:hAnsi="Times New Roman"/>
                <w:sz w:val="24"/>
              </w:rPr>
              <w:t>gastos procedentes de cambios en el valor razonable de activos tangibles valorados utilizando el modelo del valor razonable, excepto los gastos derivados de cambios en el valor razonable de inversiones inmobiliarias que generan rentas y se valoran utilizando el modelo del valor razonable de activos arrendados operativos;</w:t>
            </w:r>
          </w:p>
          <w:p w14:paraId="726CB5AB" w14:textId="426E3DFA" w:rsidR="004A5BBA" w:rsidRPr="00DC44DB"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DC44DB" w:rsidRDefault="004A5BBA" w:rsidP="004A5BBA">
            <w:pPr>
              <w:pStyle w:val="ListParagraph"/>
              <w:numPr>
                <w:ilvl w:val="1"/>
                <w:numId w:val="10"/>
              </w:numPr>
              <w:spacing w:before="60" w:after="120"/>
              <w:jc w:val="both"/>
              <w:rPr>
                <w:rFonts w:ascii="Times New Roman" w:eastAsia="Times New Roman" w:hAnsi="Times New Roman"/>
                <w:sz w:val="24"/>
              </w:rPr>
            </w:pPr>
            <w:r w:rsidRPr="00DC44DB">
              <w:rPr>
                <w:rFonts w:ascii="Times New Roman" w:hAnsi="Times New Roman"/>
                <w:sz w:val="24"/>
              </w:rPr>
              <w:t>el resto de gastos de explotación (otros gastos de explotación) de conformidad con el anexo V, parte 2, apartados 314 y 316, de las soluciones informáticas de la ABE, si no están relacionados con activos arrendados.</w:t>
            </w:r>
          </w:p>
          <w:p w14:paraId="6CDC5FBE" w14:textId="54C68FB7" w:rsidR="004A3C86" w:rsidRPr="00DC44DB" w:rsidRDefault="004A3C86" w:rsidP="00EE7608">
            <w:pPr>
              <w:spacing w:before="60" w:after="120"/>
              <w:jc w:val="both"/>
              <w:rPr>
                <w:rStyle w:val="InstructionsTabelleberschrift"/>
                <w:rFonts w:ascii="Times New Roman" w:eastAsia="Times New Roman" w:hAnsi="Times New Roman"/>
                <w:b w:val="0"/>
                <w:bCs w:val="0"/>
                <w:sz w:val="24"/>
                <w:u w:val="none"/>
              </w:rPr>
            </w:pPr>
            <w:r w:rsidRPr="00DC44DB">
              <w:rPr>
                <w:rStyle w:val="InstructionsTabelleberschrift"/>
                <w:rFonts w:ascii="Times New Roman" w:hAnsi="Times New Roman"/>
                <w:b w:val="0"/>
                <w:sz w:val="24"/>
                <w:u w:val="none"/>
              </w:rPr>
              <w:t>Se excluirá el importe de otros gastos de explotación abonados a entidades que son miembros del mismo sistema institucional de protección de conformidad con el artículo 314, apartado 5, del Reglamento (UE) n.º 575/2013.</w:t>
            </w:r>
          </w:p>
          <w:p w14:paraId="6F1C30F0" w14:textId="3B05E985" w:rsidR="003826D3" w:rsidRPr="00DC44DB" w:rsidRDefault="00DE3384" w:rsidP="003826D3">
            <w:pPr>
              <w:spacing w:before="60" w:after="120"/>
              <w:jc w:val="both"/>
              <w:rPr>
                <w:rStyle w:val="InstructionsTabelleberschrift"/>
                <w:rFonts w:ascii="Times New Roman" w:eastAsia="Times New Roman" w:hAnsi="Times New Roman"/>
                <w:sz w:val="24"/>
              </w:rPr>
            </w:pPr>
            <w:r w:rsidRPr="00DC44DB">
              <w:rPr>
                <w:rFonts w:ascii="Times New Roman" w:hAnsi="Times New Roman"/>
                <w:sz w:val="24"/>
              </w:rPr>
              <w:t>El importe de esta fila se calculará de conformidad con el artículo 314, apartado 5, del Reglamento (UE) n.º 575/2013.</w:t>
            </w:r>
          </w:p>
        </w:tc>
      </w:tr>
      <w:tr w:rsidR="003826D3" w:rsidRPr="00DC44DB"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DC44DB" w:rsidRDefault="003826D3" w:rsidP="003826D3">
            <w:pPr>
              <w:spacing w:before="6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Componente financiero (FC)</w:t>
            </w:r>
          </w:p>
          <w:p w14:paraId="1C2CD9AE" w14:textId="16B8F7FC" w:rsidR="003826D3" w:rsidRPr="00DC44DB" w:rsidRDefault="00DE3384" w:rsidP="003826D3">
            <w:pPr>
              <w:spacing w:before="60" w:after="120"/>
              <w:jc w:val="both"/>
              <w:rPr>
                <w:rStyle w:val="InstructionsTabelleberschrift"/>
                <w:rFonts w:ascii="Times New Roman" w:eastAsia="Times New Roman" w:hAnsi="Times New Roman"/>
                <w:b w:val="0"/>
                <w:bCs w:val="0"/>
                <w:sz w:val="24"/>
                <w:u w:val="none"/>
              </w:rPr>
            </w:pPr>
            <w:r w:rsidRPr="00DC44DB">
              <w:rPr>
                <w:rStyle w:val="InstructionsTabelleberschrift"/>
                <w:rFonts w:ascii="Times New Roman" w:hAnsi="Times New Roman"/>
                <w:b w:val="0"/>
                <w:sz w:val="24"/>
                <w:u w:val="none"/>
              </w:rPr>
              <w:t xml:space="preserve">El componente financiero se calculará de conformidad con el artículo 314, apartado 6, del Reglamento (UE) n.º 575/2013. </w:t>
            </w:r>
            <w:r w:rsidRPr="00DC44DB">
              <w:rPr>
                <w:rFonts w:ascii="Times New Roman" w:hAnsi="Times New Roman"/>
                <w:sz w:val="24"/>
              </w:rPr>
              <w:t>Cuando una entidad esté sujeta a la excepción a que se refiere el artículo 314, apartado 4, del Reglamento (UE) n.º 575/2013, la entidad no incluirá ninguna cifra de las líneas de negocio de banca minorista o banca comercial.</w:t>
            </w:r>
          </w:p>
        </w:tc>
      </w:tr>
      <w:tr w:rsidR="003826D3" w:rsidRPr="00DC44DB"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DC44DB" w:rsidRDefault="003826D3" w:rsidP="003826D3">
            <w:pPr>
              <w:spacing w:before="6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Ganancias o pérdidas netas aplicables a la cartera de negociación</w:t>
            </w:r>
          </w:p>
          <w:p w14:paraId="4E177CA3" w14:textId="4C472892" w:rsidR="003826D3" w:rsidRPr="00DC44DB" w:rsidRDefault="003826D3" w:rsidP="003826D3">
            <w:pPr>
              <w:spacing w:before="60" w:after="120"/>
              <w:jc w:val="both"/>
              <w:rPr>
                <w:rStyle w:val="InstructionsTabelleberschrift"/>
                <w:rFonts w:ascii="Times New Roman" w:hAnsi="Times New Roman"/>
                <w:b w:val="0"/>
                <w:bCs w:val="0"/>
                <w:sz w:val="24"/>
                <w:u w:val="none"/>
              </w:rPr>
            </w:pPr>
            <w:r w:rsidRPr="00DC44DB">
              <w:rPr>
                <w:rStyle w:val="InstructionsTabelleberschrift"/>
                <w:rFonts w:ascii="Times New Roman" w:hAnsi="Times New Roman"/>
                <w:b w:val="0"/>
                <w:sz w:val="24"/>
                <w:u w:val="none"/>
              </w:rPr>
              <w:t>Las ganancias o pérdidas netas aplicables a la cartera de negociación se calcularán como la suma de:</w:t>
            </w:r>
          </w:p>
          <w:p w14:paraId="6324889B" w14:textId="380EDA28" w:rsidR="008A379C" w:rsidRPr="00DC44DB" w:rsidRDefault="008A379C" w:rsidP="00232265">
            <w:pPr>
              <w:pStyle w:val="Style1"/>
              <w:rPr>
                <w:rStyle w:val="InstructionsTabelleberschrift"/>
                <w:rFonts w:ascii="Times New Roman" w:hAnsi="Times New Roman"/>
                <w:b w:val="0"/>
                <w:bCs w:val="0"/>
                <w:sz w:val="24"/>
                <w:u w:val="none"/>
              </w:rPr>
            </w:pPr>
            <w:r w:rsidRPr="00DC44DB">
              <w:rPr>
                <w:u w:val="single"/>
              </w:rPr>
              <w:t>Ganancias o (-) pérdidas por activos y pasivos financieros mantenidos para negociar y destinados a negociación, netas</w:t>
            </w:r>
            <w:r w:rsidRPr="00DC44DB">
              <w:t xml:space="preserve">: ganancias o (-) pérdidas por activos y pasivos financieros mantenidos para negociar de conformidad con el anexo V, parte 2, apartados 43 y 46, de las soluciones informáticas de la ABE o sobre activos y pasivos financieros destinados a negociación, de conformidad con la Directiva 86/635/CEE del Consejo («Directiva sobre contabilidad bancaria» o «DCB»), artículo 27. Presentación </w:t>
            </w:r>
            <w:proofErr w:type="gramStart"/>
            <w:r w:rsidRPr="00DC44DB">
              <w:t>vertical(</w:t>
            </w:r>
            <w:proofErr w:type="gramEnd"/>
            <w:r w:rsidRPr="00DC44DB">
              <w:t>6);</w:t>
            </w:r>
          </w:p>
          <w:p w14:paraId="0B998657" w14:textId="654F8692" w:rsidR="008A379C" w:rsidRPr="00DC44DB" w:rsidRDefault="008A379C" w:rsidP="00232265">
            <w:pPr>
              <w:pStyle w:val="Style1"/>
              <w:rPr>
                <w:rStyle w:val="InstructionsTabelleberschrift"/>
                <w:rFonts w:ascii="Times New Roman" w:hAnsi="Times New Roman"/>
                <w:b w:val="0"/>
                <w:bCs w:val="0"/>
                <w:sz w:val="24"/>
                <w:u w:val="none"/>
              </w:rPr>
            </w:pPr>
            <w:r w:rsidRPr="00DC44DB">
              <w:rPr>
                <w:u w:val="single"/>
              </w:rPr>
              <w:t>Ganancias o (-) pérdidas resultantes de la contabilidad de coberturas, netas</w:t>
            </w:r>
            <w:r w:rsidRPr="00DC44DB">
              <w:t>: ganancias o (-) pérdidas resultantes de la contabilidad de coberturas, netas en el componente de la cartera de negociación solo en aquellas circunstancias excepcionales en las que la contabilidad de coberturas —calculada de conformidad con el anexo V, parte 2, apartado 47, de las soluciones informáticas de la ABE o de conformidad con el artículo 8, apartado 1, letra a), y apartados 6 y 8, de la DCB— se utilice para cubrir activos y pasivos financieros mantenidos para negociar o activos y pasivos financieros destinados a negociación; y</w:t>
            </w:r>
          </w:p>
          <w:p w14:paraId="1BC37DE4" w14:textId="36EA6A27" w:rsidR="008A379C" w:rsidRPr="00DC44DB" w:rsidRDefault="008A379C" w:rsidP="00232265">
            <w:pPr>
              <w:pStyle w:val="Style1"/>
              <w:rPr>
                <w:rStyle w:val="InstructionsTabelleberschrift"/>
                <w:rFonts w:ascii="Times New Roman" w:hAnsi="Times New Roman"/>
                <w:b w:val="0"/>
                <w:bCs w:val="0"/>
                <w:sz w:val="24"/>
                <w:u w:val="none"/>
              </w:rPr>
            </w:pPr>
            <w:r w:rsidRPr="00DC44DB">
              <w:rPr>
                <w:u w:val="single"/>
              </w:rPr>
              <w:t>Diferencias de cambio [ganancias o (-) pérdidas], netas, relacionadas con la cartera de negociación</w:t>
            </w:r>
            <w:r w:rsidRPr="00DC44DB">
              <w:t>: diferencias de cambio [ganancias o (-) pérdidas], netas, relacionadas con la cartera de negociación únicamente cuando dichas diferencias—calculadas de acuerdo con la NIC 21.28, 52(a), o de acuerdo con el artículo 39 de la DCB— provengan de activos y pasivos financieros mantenidos para negociar o de activos y pasivos financieros destinados a negociación.</w:t>
            </w:r>
          </w:p>
          <w:p w14:paraId="761552C0" w14:textId="5BF82331" w:rsidR="001E5563" w:rsidRPr="00DC44DB" w:rsidRDefault="001E5563" w:rsidP="00C65626">
            <w:pPr>
              <w:pStyle w:val="paragraph"/>
              <w:textAlignment w:val="baseline"/>
              <w:rPr>
                <w:rStyle w:val="InstructionsTabelleberschrift"/>
                <w:rFonts w:ascii="Segoe UI" w:hAnsi="Segoe UI" w:cs="Segoe UI"/>
              </w:rPr>
            </w:pPr>
            <w:r w:rsidRPr="00DC44DB">
              <w:t>Los valores que se divulgarán reflejarán los valores contables determinados utilizando el límite contable o el límite prudencial (PBA) para identificar los elementos de la cartera de negociación y de la cartera bancaria para cada uno de los tres últimos ejercicios, de conformidad con el artículo 314, apartado 6, del Reglamento (UE) n.º 575/2013.</w:t>
            </w:r>
          </w:p>
        </w:tc>
      </w:tr>
      <w:tr w:rsidR="003826D3" w:rsidRPr="00DC44DB"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DC44DB" w:rsidRDefault="003826D3" w:rsidP="003826D3">
            <w:pPr>
              <w:spacing w:before="6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Ganancias o pérdidas netas aplicables a la cartera bancaria</w:t>
            </w:r>
          </w:p>
          <w:p w14:paraId="16F13570" w14:textId="0B537F1A" w:rsidR="003826D3" w:rsidRPr="00DC44DB" w:rsidRDefault="003826D3" w:rsidP="003826D3">
            <w:pPr>
              <w:spacing w:before="60" w:after="120"/>
              <w:jc w:val="both"/>
              <w:rPr>
                <w:rStyle w:val="InstructionsTabelleberschrift"/>
                <w:rFonts w:ascii="Times New Roman" w:eastAsia="Times New Roman" w:hAnsi="Times New Roman"/>
                <w:b w:val="0"/>
                <w:bCs w:val="0"/>
                <w:sz w:val="24"/>
                <w:u w:val="none"/>
              </w:rPr>
            </w:pPr>
            <w:r w:rsidRPr="00DC44DB">
              <w:rPr>
                <w:rStyle w:val="InstructionsTabelleberschrift"/>
                <w:rFonts w:ascii="Times New Roman" w:hAnsi="Times New Roman"/>
                <w:b w:val="0"/>
                <w:sz w:val="24"/>
                <w:u w:val="none"/>
              </w:rPr>
              <w:t>Las ganancias o pérdidas netas aplicables a la cartera bancaria se calcularán como la suma de:</w:t>
            </w:r>
          </w:p>
          <w:p w14:paraId="4816B36A" w14:textId="59F72F36" w:rsidR="008F0781" w:rsidRPr="00DC44DB" w:rsidRDefault="008F0781" w:rsidP="00232265">
            <w:pPr>
              <w:pStyle w:val="Style1"/>
            </w:pPr>
            <w:r w:rsidRPr="00DC44DB">
              <w:rPr>
                <w:u w:val="single"/>
              </w:rPr>
              <w:t>Ganancias o (-) pérdidas por la baja en cuentas de activos y pasivos financieros no valorados a valor razonable con cambios en resultados, netas</w:t>
            </w:r>
            <w:r w:rsidRPr="00DC44DB">
              <w:t>: ganancias o (-) pérdidas por la baja en cuentas de activos y pasivos financieros no valorados a valor razonable con cambios en resultados, netas, de conformidad con el anexo V, parte 2, apartado 45, de las soluciones informáticas de la ABE o con el artículo 27 de la DCB. Presentación vertical (6);</w:t>
            </w:r>
          </w:p>
          <w:p w14:paraId="29EDCF43" w14:textId="7ADB0AAC" w:rsidR="008F0781" w:rsidRPr="00DC44DB" w:rsidRDefault="008F0781" w:rsidP="00232265">
            <w:pPr>
              <w:pStyle w:val="Style1"/>
            </w:pPr>
            <w:r w:rsidRPr="00DC44DB">
              <w:rPr>
                <w:u w:val="single"/>
              </w:rPr>
              <w:t>Ganancias o (-) pérdidas por activos financieros no destinados a negociación valorados obligatoriamente a valor razonable con cambios en resultados, netas</w:t>
            </w:r>
            <w:r w:rsidRPr="00DC44DB">
              <w:t>: consignar las ganancias o (-) pérdidas por activos financieros no destinados a negociación valorados obligatoriamente a valor razonable con cambios en resultados, netas de conformidad con el anexo V, parte 2, apartado 46, de las soluciones informáticas de la ABE;</w:t>
            </w:r>
          </w:p>
          <w:p w14:paraId="23350A71" w14:textId="40356371" w:rsidR="008F0781" w:rsidRPr="00DC44DB" w:rsidRDefault="008F0781" w:rsidP="00232265">
            <w:pPr>
              <w:pStyle w:val="Style1"/>
            </w:pPr>
            <w:r w:rsidRPr="00DC44DB">
              <w:rPr>
                <w:u w:val="single"/>
              </w:rPr>
              <w:t>Ganancias o (-) pérdidas por activos y pasivos financieros designados a valor razonable con cambios en resultados, netas</w:t>
            </w:r>
            <w:r w:rsidRPr="00DC44DB">
              <w:t>: ganancias o (-) pérdidas por activos y pasivos financieros designados a valor razonable con cambios en resultados, netas de conformidad con el anexo V, parte 2, apartado 44, de las soluciones informáticas de la ABE;</w:t>
            </w:r>
          </w:p>
          <w:p w14:paraId="44DE675E" w14:textId="5B34C2BC" w:rsidR="008F0781" w:rsidRPr="00DC44DB" w:rsidRDefault="008F0781" w:rsidP="00232265">
            <w:pPr>
              <w:pStyle w:val="Style1"/>
            </w:pPr>
            <w:r w:rsidRPr="00DC44DB">
              <w:rPr>
                <w:u w:val="single"/>
              </w:rPr>
              <w:t>Ganancias o (-) pérdidas resultantes de la contabilidad de coberturas, netas, relacionadas con la cartera bancaria</w:t>
            </w:r>
            <w:r w:rsidRPr="00DC44DB">
              <w:t>: ganancias o (-) pérdidas resultantes de la contabilidad de coberturas, de conformidad con el anexo V, parte 2, apartado 47, de las soluciones informáticas de la ABE o de conformidad con el artículo 8, apartado 1, letra a), y apartados 6 y 8, de la Directiva contable, cuando dichas ganancias o pérdidas se deriven de activos y pasivos financieros mantenidos en la cartera bancaria; y</w:t>
            </w:r>
          </w:p>
          <w:p w14:paraId="23306495" w14:textId="6A259674" w:rsidR="008F0781" w:rsidRPr="00DC44DB" w:rsidRDefault="008F0781" w:rsidP="00232265">
            <w:pPr>
              <w:pStyle w:val="Style1"/>
            </w:pPr>
            <w:r w:rsidRPr="00DC44DB">
              <w:rPr>
                <w:u w:val="single"/>
              </w:rPr>
              <w:t>Diferencias de cambio [ganancias o (-) pérdidas], netas, relacionadas con la cartera bancaria</w:t>
            </w:r>
            <w:r w:rsidRPr="00DC44DB">
              <w:t>: diferencias de cambio [ganancias o (-) pérdidas], netas, de acuerdo con la NIC 21.28, 52(a), o de acuerdo con el artículo 39 de la DCB, cuando estas diferencias se originen en los activos y pasivos financieros mantenidos en la cartera bancaria.</w:t>
            </w:r>
          </w:p>
          <w:p w14:paraId="3E9BB5BF" w14:textId="1D3FC8A9" w:rsidR="00F26A2D" w:rsidRPr="00DC44DB" w:rsidRDefault="001E5563" w:rsidP="00F26A2D">
            <w:pPr>
              <w:spacing w:before="60" w:after="120"/>
              <w:jc w:val="both"/>
              <w:rPr>
                <w:rStyle w:val="InstructionsTabelleberschrift"/>
                <w:rFonts w:asciiTheme="majorBidi" w:hAnsiTheme="majorBidi" w:cstheme="majorBidi"/>
                <w:sz w:val="24"/>
                <w:u w:val="none"/>
              </w:rPr>
            </w:pPr>
            <w:r w:rsidRPr="00DC44DB">
              <w:rPr>
                <w:rFonts w:asciiTheme="majorBidi" w:hAnsiTheme="majorBidi"/>
                <w:sz w:val="24"/>
              </w:rPr>
              <w:t>Los valores que se divulgarán reflejarán los valores contables determinados utilizando el límite contable o el límite prudencial (PBA) para identificar los elementos de la cartera de negociación y de la cartera bancaria para cada uno de los tres últimos ejercicios, de conformidad con el artículo 314, apartado 6, del Reglamento (UE) n.º 575/2013.</w:t>
            </w:r>
          </w:p>
        </w:tc>
      </w:tr>
      <w:tr w:rsidR="003826D3" w:rsidRPr="00DC44DB"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DC44DB" w:rsidRDefault="008C3E6A" w:rsidP="003826D3">
            <w:pPr>
              <w:spacing w:before="6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Método seguido para determinar el límite de entre la cartera de negociación y la cartera bancaria [enfoque del límite prudencial (PBA) o contable]</w:t>
            </w:r>
          </w:p>
          <w:p w14:paraId="00A81A34" w14:textId="0A7D6D1A" w:rsidR="003826D3" w:rsidRPr="00DC44DB" w:rsidRDefault="003826D3" w:rsidP="003826D3">
            <w:pPr>
              <w:spacing w:before="60" w:after="120"/>
              <w:jc w:val="both"/>
              <w:rPr>
                <w:rStyle w:val="InstructionsTabelleberschrift"/>
                <w:rFonts w:ascii="Times New Roman" w:eastAsia="Times New Roman" w:hAnsi="Times New Roman"/>
                <w:b w:val="0"/>
                <w:bCs w:val="0"/>
                <w:sz w:val="24"/>
                <w:u w:val="none"/>
              </w:rPr>
            </w:pPr>
            <w:r w:rsidRPr="00DC44DB">
              <w:rPr>
                <w:rStyle w:val="InstructionsTabelleberschrift"/>
                <w:rFonts w:ascii="Times New Roman" w:hAnsi="Times New Roman"/>
                <w:b w:val="0"/>
                <w:sz w:val="24"/>
                <w:u w:val="none"/>
              </w:rPr>
              <w:t>El enfoque seguido en la fecha de referencia para determinar la FC: clasificación contable o prudencial (PBA). El enfoque se utilizará de manera coherente para los importes revelados en cada uno de los tres últimos ejercicios.</w:t>
            </w:r>
          </w:p>
        </w:tc>
      </w:tr>
      <w:tr w:rsidR="003826D3" w:rsidRPr="00DC44DB"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DC44DB" w:rsidRDefault="003826D3" w:rsidP="003826D3">
            <w:pPr>
              <w:spacing w:before="6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Indicador de actividad (BI)</w:t>
            </w:r>
          </w:p>
          <w:p w14:paraId="35C99FE1" w14:textId="0AFECB29" w:rsidR="003826D3" w:rsidRPr="00DC44DB"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DC44DB">
              <w:rPr>
                <w:rFonts w:asciiTheme="majorBidi" w:hAnsiTheme="majorBidi"/>
                <w:sz w:val="24"/>
              </w:rPr>
              <w:t>El BI, calculado de conformidad con el artículo 314, apartado 1, del Reglamento (UE) n.º 575/2013, que es la suma de los tres componentes: el ILDC, el SC y el FC.</w:t>
            </w:r>
          </w:p>
        </w:tc>
      </w:tr>
      <w:tr w:rsidR="003826D3" w:rsidRPr="00DC44DB"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DC44DB" w:rsidRDefault="003826D3" w:rsidP="003826D3">
            <w:pPr>
              <w:spacing w:before="60" w:after="120"/>
              <w:jc w:val="both"/>
              <w:rPr>
                <w:rStyle w:val="InstructionsTabelleberschrift"/>
                <w:rFonts w:ascii="Times New Roman" w:eastAsia="Times New Roman" w:hAnsi="Times New Roman"/>
                <w:sz w:val="24"/>
                <w:u w:val="none"/>
              </w:rPr>
            </w:pPr>
            <w:r w:rsidRPr="00DC44DB">
              <w:rPr>
                <w:rStyle w:val="InstructionsTabelleberschrift"/>
                <w:rFonts w:ascii="Times New Roman" w:hAnsi="Times New Roman"/>
                <w:sz w:val="24"/>
                <w:u w:val="none"/>
              </w:rPr>
              <w:t>Componente del indicador de actividad (BIC)</w:t>
            </w:r>
          </w:p>
          <w:p w14:paraId="4AC6BDA5" w14:textId="5507A684" w:rsidR="003826D3" w:rsidRPr="00DC44DB" w:rsidRDefault="003826D3" w:rsidP="003826D3">
            <w:pPr>
              <w:spacing w:before="60" w:after="120"/>
              <w:jc w:val="both"/>
              <w:rPr>
                <w:rStyle w:val="InstructionsTabelleberschrift"/>
                <w:rFonts w:ascii="Times New Roman" w:eastAsia="Times New Roman" w:hAnsi="Times New Roman"/>
                <w:b w:val="0"/>
                <w:bCs w:val="0"/>
                <w:sz w:val="24"/>
                <w:u w:val="none"/>
              </w:rPr>
            </w:pPr>
            <w:r w:rsidRPr="00DC44DB">
              <w:rPr>
                <w:rFonts w:ascii="Times New Roman" w:hAnsi="Times New Roman"/>
                <w:sz w:val="24"/>
              </w:rPr>
              <w:t xml:space="preserve">El BIC se calculará de conformidad con el artículo 313 del Reglamento (UE) n.º 575/2013. </w:t>
            </w:r>
          </w:p>
        </w:tc>
      </w:tr>
      <w:tr w:rsidR="003826D3" w:rsidRPr="00DC44DB"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DC44DB" w:rsidRDefault="003826D3" w:rsidP="003826D3">
            <w:pPr>
              <w:spacing w:before="6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BI bruto de actividades excluidas y cedidas</w:t>
            </w:r>
          </w:p>
          <w:p w14:paraId="4B01F051" w14:textId="678BE249" w:rsidR="003826D3" w:rsidRPr="00DC44DB"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DC44DB">
              <w:rPr>
                <w:rFonts w:asciiTheme="majorBidi" w:hAnsiTheme="majorBidi"/>
                <w:sz w:val="24"/>
              </w:rPr>
              <w:t>El importe del BI, incluidas las actividades cedidas excluidas, de conformidad con el artículo 315, apartado 2, del Reglamento (UE) n.º 575/2013.</w:t>
            </w:r>
          </w:p>
        </w:tc>
      </w:tr>
      <w:tr w:rsidR="003826D3" w:rsidRPr="00DC44DB"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DC44DB" w:rsidRDefault="003826D3" w:rsidP="003826D3">
            <w:pPr>
              <w:spacing w:before="6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Reducción del BI debido a las actividades cedidas excluidas</w:t>
            </w:r>
          </w:p>
          <w:p w14:paraId="100A0132" w14:textId="636B5EF6" w:rsidR="003826D3" w:rsidRPr="00DC44DB"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DC44DB">
              <w:rPr>
                <w:rFonts w:asciiTheme="majorBidi" w:hAnsiTheme="majorBidi"/>
                <w:sz w:val="24"/>
              </w:rPr>
              <w:t xml:space="preserve">La diferencia entre el BI bruto de las actividades cedidas (fila 6a) y el BI total (fila 4). </w:t>
            </w:r>
          </w:p>
        </w:tc>
      </w:tr>
      <w:tr w:rsidR="003826D3" w:rsidRPr="00DC44DB"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DC44DB" w:rsidRDefault="003826D3" w:rsidP="003826D3">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DC44DB" w:rsidRDefault="003826D3" w:rsidP="003826D3">
            <w:pPr>
              <w:spacing w:before="6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Impacto de las fusiones/adquisiciones en el BI</w:t>
            </w:r>
          </w:p>
          <w:p w14:paraId="68B0EB8C" w14:textId="39D74825" w:rsidR="003826D3" w:rsidRPr="00DC44DB"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DC44DB">
              <w:rPr>
                <w:rFonts w:asciiTheme="majorBidi" w:hAnsiTheme="majorBidi"/>
                <w:sz w:val="24"/>
              </w:rPr>
              <w:t>El importe incluido en el BI correspondiente a los componentes del BI que se deben a entidades o actividades fusionadas o adquiridas, calculado según lo dispuesto en el artículo 315, apartado 1, del Reglamento (UE) n.º 575/2013.</w:t>
            </w:r>
          </w:p>
        </w:tc>
      </w:tr>
    </w:tbl>
    <w:p w14:paraId="2517003F" w14:textId="77777777" w:rsidR="00D740B8" w:rsidRPr="00DC44DB"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DC44DB" w:rsidRDefault="00D740B8" w:rsidP="00D740B8">
      <w:pPr>
        <w:jc w:val="both"/>
        <w:rPr>
          <w:rFonts w:ascii="Times New Roman" w:hAnsi="Times New Roman" w:cs="Times New Roman"/>
          <w:bCs/>
          <w:sz w:val="24"/>
        </w:rPr>
      </w:pPr>
      <w:r w:rsidRPr="00DC44DB">
        <w:rPr>
          <w:rFonts w:ascii="Times New Roman" w:hAnsi="Times New Roman"/>
          <w:b/>
          <w:sz w:val="24"/>
        </w:rPr>
        <w:t xml:space="preserve">Plantilla EU OR3 – Requisitos de fondos propios por riesgo operativo e importes de las exposiciones ponderadas por riesgo. </w:t>
      </w:r>
      <w:r w:rsidRPr="00DC44DB">
        <w:rPr>
          <w:rFonts w:ascii="Times New Roman" w:hAnsi="Times New Roman"/>
          <w:sz w:val="24"/>
        </w:rPr>
        <w:t>Plantilla fija</w:t>
      </w:r>
    </w:p>
    <w:p w14:paraId="5AB15A39" w14:textId="77777777" w:rsidR="00D740B8" w:rsidRPr="00DC44DB" w:rsidRDefault="00D740B8" w:rsidP="00D740B8">
      <w:pPr>
        <w:ind w:left="360"/>
        <w:jc w:val="both"/>
        <w:rPr>
          <w:rFonts w:ascii="Times New Roman" w:hAnsi="Times New Roman" w:cs="Times New Roman"/>
          <w:bCs/>
          <w:sz w:val="24"/>
        </w:rPr>
      </w:pPr>
    </w:p>
    <w:p w14:paraId="60DF34D1" w14:textId="121F9A97" w:rsidR="00D740B8" w:rsidRPr="00DC44DB" w:rsidRDefault="00D740B8" w:rsidP="00D740B8">
      <w:pPr>
        <w:numPr>
          <w:ilvl w:val="0"/>
          <w:numId w:val="1"/>
        </w:numPr>
        <w:jc w:val="both"/>
        <w:rPr>
          <w:rFonts w:ascii="Times New Roman" w:hAnsi="Times New Roman" w:cs="Times New Roman"/>
          <w:sz w:val="24"/>
        </w:rPr>
      </w:pPr>
      <w:r w:rsidRPr="00DC44DB">
        <w:rPr>
          <w:rFonts w:ascii="Times New Roman" w:hAnsi="Times New Roman"/>
          <w:sz w:val="24"/>
        </w:rPr>
        <w:t>Las entidades divulgarán la información que figura en la plantilla EU OR3 en aplicación del artículo 446, apartado 1, letra b), del Reglamento (UE) n.º 575/2013. Esta plantilla proporciona información sobre el cálculo de los requisitos de fondos propios por riesgo operativo de conformidad con los artículos 312 a 315 del Reglamento (UE) n.º 575/2013.</w:t>
      </w:r>
    </w:p>
    <w:p w14:paraId="6DFA1648" w14:textId="77777777" w:rsidR="00D740B8" w:rsidRPr="00DC44DB" w:rsidRDefault="00D740B8" w:rsidP="00D740B8">
      <w:pPr>
        <w:ind w:left="360"/>
        <w:jc w:val="both"/>
        <w:rPr>
          <w:rFonts w:ascii="Times New Roman" w:hAnsi="Times New Roman" w:cs="Times New Roman"/>
          <w:bCs/>
          <w:sz w:val="24"/>
        </w:rPr>
      </w:pPr>
    </w:p>
    <w:p w14:paraId="2E35B8A0" w14:textId="77777777" w:rsidR="00D740B8" w:rsidRPr="00DC44DB"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DC44DB"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DC44DB" w:rsidRDefault="00D740B8">
            <w:pPr>
              <w:autoSpaceDE w:val="0"/>
              <w:autoSpaceDN w:val="0"/>
              <w:adjustRightInd w:val="0"/>
              <w:rPr>
                <w:rFonts w:ascii="Times New Roman" w:hAnsi="Times New Roman" w:cs="Times New Roman"/>
                <w:b/>
                <w:sz w:val="24"/>
              </w:rPr>
            </w:pPr>
            <w:r w:rsidRPr="00DC44DB">
              <w:rPr>
                <w:rFonts w:ascii="Times New Roman" w:hAnsi="Times New Roman"/>
                <w:b/>
                <w:sz w:val="24"/>
              </w:rPr>
              <w:t xml:space="preserve">Fila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DC44DB" w:rsidRDefault="00D740B8">
            <w:pPr>
              <w:rPr>
                <w:rFonts w:ascii="Times New Roman" w:hAnsi="Times New Roman" w:cs="Times New Roman"/>
                <w:b/>
                <w:sz w:val="24"/>
              </w:rPr>
            </w:pPr>
            <w:r w:rsidRPr="00DC44DB">
              <w:rPr>
                <w:rFonts w:ascii="Times New Roman" w:hAnsi="Times New Roman"/>
                <w:b/>
                <w:sz w:val="24"/>
              </w:rPr>
              <w:t>Explicación</w:t>
            </w:r>
          </w:p>
        </w:tc>
      </w:tr>
      <w:tr w:rsidR="00D740B8" w:rsidRPr="00DC44DB"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DC44DB" w:rsidRDefault="00D740B8">
            <w:pPr>
              <w:spacing w:before="60" w:after="120"/>
              <w:jc w:val="both"/>
              <w:rPr>
                <w:rFonts w:ascii="Times New Roman" w:eastAsia="Times New Roman" w:hAnsi="Times New Roman" w:cs="Times New Roman"/>
                <w:b/>
                <w:sz w:val="24"/>
              </w:rPr>
            </w:pPr>
            <w:r w:rsidRPr="00DC44DB">
              <w:rPr>
                <w:rFonts w:ascii="Times New Roman" w:hAnsi="Times New Roman"/>
                <w:b/>
                <w:sz w:val="24"/>
              </w:rPr>
              <w:t>Componente del indicador de actividad (BIC)</w:t>
            </w:r>
          </w:p>
          <w:p w14:paraId="1B10BB72" w14:textId="77777777" w:rsidR="00D740B8" w:rsidRPr="00DC44DB" w:rsidRDefault="00D740B8">
            <w:pPr>
              <w:spacing w:before="60" w:after="120"/>
              <w:jc w:val="both"/>
              <w:rPr>
                <w:rFonts w:ascii="Times New Roman" w:eastAsia="Times New Roman" w:hAnsi="Times New Roman" w:cs="Times New Roman"/>
                <w:sz w:val="24"/>
              </w:rPr>
            </w:pPr>
            <w:r w:rsidRPr="00DC44DB">
              <w:rPr>
                <w:rFonts w:ascii="Times New Roman" w:hAnsi="Times New Roman"/>
                <w:sz w:val="24"/>
              </w:rPr>
              <w:t>En esta fila se consignará el componente del indicador de actividad, que se calculará de conformidad con el artículo 313 del Reglamento (UE) n.º 575/2013.</w:t>
            </w:r>
          </w:p>
        </w:tc>
      </w:tr>
      <w:tr w:rsidR="00CA794A" w:rsidRPr="00DC44DB"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DC44DB" w:rsidRDefault="004A58B5">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DC44DB" w:rsidRDefault="004A58B5">
            <w:pPr>
              <w:spacing w:before="60" w:after="120"/>
              <w:jc w:val="both"/>
              <w:rPr>
                <w:rFonts w:ascii="Times New Roman" w:eastAsia="Times New Roman" w:hAnsi="Times New Roman" w:cs="Times New Roman"/>
                <w:b/>
                <w:sz w:val="24"/>
              </w:rPr>
            </w:pPr>
            <w:r w:rsidRPr="00DC44DB">
              <w:rPr>
                <w:rFonts w:ascii="Times New Roman" w:hAnsi="Times New Roman"/>
                <w:b/>
                <w:sz w:val="24"/>
              </w:rPr>
              <w:t>Método estándar alternativo (ASA) para los requisitos de fondos propios (OROF) en virtud del artículo 314, apartado 4</w:t>
            </w:r>
          </w:p>
          <w:p w14:paraId="7762DF0B" w14:textId="6E2ACCB9" w:rsidR="004A58B5" w:rsidRPr="00DC44DB" w:rsidRDefault="005B4907">
            <w:pPr>
              <w:spacing w:before="60" w:after="120"/>
              <w:jc w:val="both"/>
              <w:rPr>
                <w:rFonts w:ascii="Times New Roman" w:eastAsia="Times New Roman" w:hAnsi="Times New Roman" w:cs="Times New Roman"/>
                <w:b/>
                <w:sz w:val="24"/>
              </w:rPr>
            </w:pPr>
            <w:r w:rsidRPr="00DC44DB">
              <w:rPr>
                <w:rFonts w:ascii="Times New Roman" w:hAnsi="Times New Roman"/>
                <w:sz w:val="24"/>
              </w:rPr>
              <w:t>Esta fila incluirá los requisitos de fondos propios para las líneas de negocio consideradas en el artículo 314, apartado 4, cuando proceda, hasta el 31 de diciembre de 2027 o hasta que el supervisor consolidado conceda una autorización de conformidad con el artículo 314, apartado 3, si esta fecha es anterior.</w:t>
            </w:r>
          </w:p>
        </w:tc>
      </w:tr>
      <w:tr w:rsidR="00D740B8" w:rsidRPr="00DC44DB"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DC44DB" w:rsidRDefault="001918A2">
            <w:pPr>
              <w:spacing w:before="60" w:after="120"/>
              <w:jc w:val="both"/>
              <w:rPr>
                <w:rFonts w:ascii="Times New Roman" w:eastAsia="Times New Roman" w:hAnsi="Times New Roman" w:cs="Times New Roman"/>
                <w:sz w:val="24"/>
              </w:rPr>
            </w:pPr>
            <w:r w:rsidRPr="00DC44DB">
              <w:rPr>
                <w:rFonts w:ascii="Times New Roman" w:hAnsi="Times New Roman"/>
                <w:sz w:val="24"/>
              </w:rPr>
              <w:t>No procede.</w:t>
            </w:r>
          </w:p>
        </w:tc>
      </w:tr>
      <w:tr w:rsidR="00D740B8" w:rsidRPr="00DC44DB"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DC44DB" w:rsidRDefault="00D740B8">
            <w:pPr>
              <w:spacing w:before="6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Requisitos mínimos de fondos propios (OROF) por riesgo operativo requeridos</w:t>
            </w:r>
          </w:p>
          <w:p w14:paraId="2A7C24D0" w14:textId="54D9C5FF" w:rsidR="00D740B8" w:rsidRPr="00DC44DB" w:rsidRDefault="00977842">
            <w:pPr>
              <w:spacing w:before="60" w:after="120"/>
              <w:jc w:val="both"/>
              <w:rPr>
                <w:rFonts w:ascii="Times New Roman" w:eastAsia="Times New Roman" w:hAnsi="Times New Roman" w:cs="Times New Roman"/>
                <w:sz w:val="24"/>
              </w:rPr>
            </w:pPr>
            <w:r w:rsidRPr="00DC44DB">
              <w:rPr>
                <w:rFonts w:ascii="Times New Roman" w:hAnsi="Times New Roman"/>
                <w:sz w:val="24"/>
              </w:rPr>
              <w:t xml:space="preserve">Los requisitos de fondos propios se calcularán de conformidad con el artículo 312 del Reglamento (UE) n.º 575/2013. En esta fila se presentarán los requisitos de fondos propios por riesgo operativo que coinciden con la suma del BIC y los requisitos de fondos propios para las líneas de negocio consideradas en el artículo 314, apartado 4, cuando proceda. </w:t>
            </w:r>
          </w:p>
        </w:tc>
      </w:tr>
      <w:tr w:rsidR="00D740B8" w:rsidRPr="00DC44DB"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DC44DB" w:rsidRDefault="00D740B8">
            <w:pPr>
              <w:autoSpaceDE w:val="0"/>
              <w:autoSpaceDN w:val="0"/>
              <w:adjustRightInd w:val="0"/>
              <w:spacing w:before="60" w:after="120"/>
              <w:jc w:val="center"/>
              <w:rPr>
                <w:rFonts w:ascii="Times New Roman" w:hAnsi="Times New Roman" w:cs="Times New Roman"/>
                <w:b/>
                <w:sz w:val="24"/>
              </w:rPr>
            </w:pPr>
            <w:r w:rsidRPr="00DC44DB">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DC44DB" w:rsidRDefault="00D740B8">
            <w:pPr>
              <w:spacing w:before="60" w:after="120"/>
              <w:jc w:val="both"/>
              <w:rPr>
                <w:rStyle w:val="InstructionsTabelleberschrift"/>
                <w:rFonts w:ascii="Times New Roman" w:eastAsia="Times New Roman" w:hAnsi="Times New Roman"/>
                <w:bCs w:val="0"/>
                <w:sz w:val="24"/>
                <w:u w:val="none"/>
              </w:rPr>
            </w:pPr>
            <w:r w:rsidRPr="00DC44DB">
              <w:rPr>
                <w:rStyle w:val="InstructionsTabelleberschrift"/>
                <w:rFonts w:ascii="Times New Roman" w:hAnsi="Times New Roman"/>
                <w:sz w:val="24"/>
                <w:u w:val="none"/>
              </w:rPr>
              <w:t>Importes de la exposición por riesgo operativo (REA)</w:t>
            </w:r>
          </w:p>
          <w:p w14:paraId="317F9BDE" w14:textId="6672A695" w:rsidR="00D740B8" w:rsidRPr="00DC44DB" w:rsidRDefault="00D740B8">
            <w:pPr>
              <w:spacing w:before="60" w:after="120"/>
              <w:jc w:val="both"/>
              <w:rPr>
                <w:rFonts w:ascii="Times New Roman" w:eastAsia="Times New Roman" w:hAnsi="Times New Roman" w:cs="Times New Roman"/>
                <w:sz w:val="24"/>
              </w:rPr>
            </w:pPr>
            <w:r w:rsidRPr="00DC44DB">
              <w:rPr>
                <w:rFonts w:ascii="Times New Roman" w:hAnsi="Times New Roman"/>
                <w:sz w:val="24"/>
              </w:rPr>
              <w:t xml:space="preserve">Sobre la base del artículo 92, apartado 3, letra e), y del artículo 92, apartado 4, del Reglamento (UE) n.º 575/2013, en esta fila se divulgarán los requisitos de fondos propios de la fila (3) multiplicados por 12,5. </w:t>
            </w:r>
          </w:p>
        </w:tc>
      </w:tr>
    </w:tbl>
    <w:p w14:paraId="079B8CA0" w14:textId="77777777" w:rsidR="00D740B8" w:rsidRPr="00DC44DB" w:rsidRDefault="00D740B8" w:rsidP="00D740B8">
      <w:pPr>
        <w:rPr>
          <w:rFonts w:ascii="Times New Roman" w:hAnsi="Times New Roman" w:cs="Times New Roman"/>
          <w:sz w:val="24"/>
        </w:rPr>
      </w:pPr>
    </w:p>
    <w:p w14:paraId="41C8F396" w14:textId="77777777" w:rsidR="002C1404" w:rsidRPr="00DC44DB" w:rsidRDefault="002C1404"/>
    <w:sectPr w:rsidR="002C1404" w:rsidRPr="00DC44DB">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DC44DB" w:rsidRDefault="00924970" w:rsidP="00E114F3">
      <w:r w:rsidRPr="00DC44DB">
        <w:separator/>
      </w:r>
    </w:p>
  </w:endnote>
  <w:endnote w:type="continuationSeparator" w:id="0">
    <w:p w14:paraId="6750FE16" w14:textId="77777777" w:rsidR="00924970" w:rsidRPr="00DC44DB" w:rsidRDefault="00924970" w:rsidP="00E114F3">
      <w:r w:rsidRPr="00DC44DB">
        <w:continuationSeparator/>
      </w:r>
    </w:p>
  </w:endnote>
  <w:endnote w:type="continuationNotice" w:id="1">
    <w:p w14:paraId="44EFD629" w14:textId="77777777" w:rsidR="00924970" w:rsidRPr="00DC44DB"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DC44DB" w:rsidRDefault="00E114F3">
        <w:pPr>
          <w:pStyle w:val="Footer"/>
          <w:jc w:val="right"/>
        </w:pPr>
        <w:r w:rsidRPr="00DC44DB">
          <w:fldChar w:fldCharType="begin"/>
        </w:r>
        <w:r w:rsidRPr="00DC44DB">
          <w:instrText xml:space="preserve"> PAGE   \* MERGEFORMAT </w:instrText>
        </w:r>
        <w:r w:rsidRPr="00DC44DB">
          <w:fldChar w:fldCharType="separate"/>
        </w:r>
        <w:r w:rsidR="00370155" w:rsidRPr="00DC44DB">
          <w:t>1</w:t>
        </w:r>
        <w:r w:rsidRPr="00DC44DB">
          <w:fldChar w:fldCharType="end"/>
        </w:r>
      </w:p>
    </w:sdtContent>
  </w:sdt>
  <w:p w14:paraId="049F31CB" w14:textId="77777777" w:rsidR="00E114F3" w:rsidRPr="00DC44DB" w:rsidRDefault="00E11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DC44DB" w:rsidRDefault="00924970" w:rsidP="00E114F3">
      <w:r w:rsidRPr="00DC44DB">
        <w:separator/>
      </w:r>
    </w:p>
  </w:footnote>
  <w:footnote w:type="continuationSeparator" w:id="0">
    <w:p w14:paraId="3D7D4E32" w14:textId="77777777" w:rsidR="00924970" w:rsidRPr="00DC44DB" w:rsidRDefault="00924970" w:rsidP="00E114F3">
      <w:r w:rsidRPr="00DC44DB">
        <w:continuationSeparator/>
      </w:r>
    </w:p>
  </w:footnote>
  <w:footnote w:type="continuationNotice" w:id="1">
    <w:p w14:paraId="6FCD0CD0" w14:textId="77777777" w:rsidR="00924970" w:rsidRPr="00DC44DB" w:rsidRDefault="00924970"/>
  </w:footnote>
  <w:footnote w:id="2">
    <w:p w14:paraId="3798489D" w14:textId="2FBFEA69" w:rsidR="00E114F3" w:rsidRPr="00DC44DB" w:rsidRDefault="00E114F3" w:rsidP="003D3122">
      <w:pPr>
        <w:pStyle w:val="FootnoteText"/>
      </w:pPr>
      <w:r w:rsidRPr="00DC44DB">
        <w:rPr>
          <w:rStyle w:val="FootnoteReference"/>
          <w:rFonts w:cstheme="minorHAnsi"/>
        </w:rPr>
        <w:footnoteRef/>
      </w:r>
      <w:r w:rsidRPr="00DC44DB">
        <w:t xml:space="preserve"> </w:t>
      </w:r>
      <w:r w:rsidR="00DC44DB" w:rsidRPr="008D71E9">
        <w:tab/>
      </w:r>
      <w:r w:rsidRPr="00DC44DB">
        <w:t>Reglamento (UE) n.º 575/2013 del Parlamento Europeo y del Consejo, de 26 de junio de 2013, sobre los requisitos prudenciales de las entidades de crédito y las empresas de inversión, y por el que se modifica el Reglamento (UE) n.º 648/2012, y Reglamento (UE) n.º 2024/1623 (</w:t>
      </w:r>
      <w:hyperlink r:id="rId1" w:history="1">
        <w:r w:rsidRPr="00DC44DB">
          <w:rPr>
            <w:rStyle w:val="Hyperlink"/>
            <w:color w:val="800080"/>
          </w:rPr>
          <w:t>DO L 176 de 27.6.2013, p. 1</w:t>
        </w:r>
      </w:hyperlink>
      <w:r w:rsidRPr="00DC44DB">
        <w:t xml:space="preserve">; </w:t>
      </w:r>
      <w:hyperlink r:id="rId2" w:history="1">
        <w:r w:rsidRPr="00DC44DB">
          <w:rPr>
            <w:rStyle w:val="Hyperlink"/>
          </w:rPr>
          <w:t>Reglamento (UE) 2024/1623 - ES - EUR-Lex (europa.eu)</w:t>
        </w:r>
      </w:hyperlink>
      <w:r w:rsidRPr="00DC44DB">
        <w:t>).</w:t>
      </w:r>
    </w:p>
    <w:p w14:paraId="45FB0818" w14:textId="77777777" w:rsidR="00E114F3" w:rsidRPr="00DC44DB"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DC44DB" w:rsidRDefault="00864ECA">
    <w:pPr>
      <w:pStyle w:val="Header"/>
    </w:pPr>
    <w:r w:rsidRPr="00DC44DB">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DC44DB" w:rsidRDefault="00864ECA" w:rsidP="00864ECA">
                          <w:pPr>
                            <w:rPr>
                              <w:rFonts w:ascii="Calibri" w:eastAsia="Calibri" w:hAnsi="Calibri" w:cs="Calibri"/>
                              <w:noProof/>
                              <w:color w:val="000000"/>
                              <w:sz w:val="24"/>
                            </w:rPr>
                          </w:pPr>
                          <w:r w:rsidRPr="00DC44DB">
                            <w:rPr>
                              <w:rFonts w:ascii="Calibri" w:hAnsi="Calibri"/>
                              <w:color w:val="000000"/>
                              <w:sz w:val="24"/>
                            </w:rPr>
                            <w:t>Uso habitual de la 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DC44DB" w:rsidRDefault="00864ECA" w:rsidP="00864ECA">
                    <w:pPr>
                      <w:rPr>
                        <w:rFonts w:ascii="Calibri" w:eastAsia="Calibri" w:hAnsi="Calibri" w:cs="Calibri"/>
                        <w:noProof/>
                        <w:color w:val="000000"/>
                        <w:sz w:val="24"/>
                      </w:rPr>
                    </w:pPr>
                    <w:r w:rsidRPr="00DC44DB">
                      <w:rPr>
                        <w:rFonts w:ascii="Calibri" w:hAnsi="Calibri"/>
                        <w:color w:val="000000"/>
                        <w:sz w:val="24"/>
                      </w:rPr>
                      <w:t>Uso habitual de la ABE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DC44DB" w:rsidRDefault="00864ECA">
    <w:pPr>
      <w:pStyle w:val="Header"/>
    </w:pPr>
    <w:r w:rsidRPr="00DC44DB">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DC44DB" w:rsidRDefault="00864ECA" w:rsidP="00864ECA">
                          <w:pPr>
                            <w:rPr>
                              <w:rFonts w:ascii="Calibri" w:eastAsia="Calibri" w:hAnsi="Calibri" w:cs="Calibri"/>
                              <w:noProof/>
                              <w:color w:val="000000"/>
                              <w:sz w:val="24"/>
                            </w:rPr>
                          </w:pPr>
                          <w:r w:rsidRPr="00DC44DB">
                            <w:rPr>
                              <w:rFonts w:ascii="Calibri" w:hAnsi="Calibri"/>
                              <w:color w:val="000000"/>
                              <w:sz w:val="24"/>
                            </w:rPr>
                            <w:t>Uso habitual de la 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DC44DB" w:rsidRDefault="00864ECA" w:rsidP="00864ECA">
                    <w:pPr>
                      <w:rPr>
                        <w:rFonts w:ascii="Calibri" w:eastAsia="Calibri" w:hAnsi="Calibri" w:cs="Calibri"/>
                        <w:noProof/>
                        <w:color w:val="000000"/>
                        <w:sz w:val="24"/>
                      </w:rPr>
                    </w:pPr>
                    <w:r w:rsidRPr="00DC44DB">
                      <w:rPr>
                        <w:rFonts w:ascii="Calibri" w:hAnsi="Calibri"/>
                        <w:color w:val="000000"/>
                        <w:sz w:val="24"/>
                      </w:rPr>
                      <w:t>Uso habitual de la ABE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DC44DB" w:rsidRDefault="00864ECA">
    <w:pPr>
      <w:pStyle w:val="Header"/>
    </w:pPr>
    <w:r w:rsidRPr="00DC44DB">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DC44DB" w:rsidRDefault="00864ECA" w:rsidP="00864ECA">
                          <w:pPr>
                            <w:rPr>
                              <w:rFonts w:ascii="Calibri" w:eastAsia="Calibri" w:hAnsi="Calibri" w:cs="Calibri"/>
                              <w:noProof/>
                              <w:color w:val="000000"/>
                              <w:sz w:val="24"/>
                            </w:rPr>
                          </w:pPr>
                          <w:r w:rsidRPr="00DC44DB">
                            <w:rPr>
                              <w:rFonts w:ascii="Calibri" w:hAnsi="Calibri"/>
                              <w:color w:val="000000"/>
                              <w:sz w:val="24"/>
                            </w:rPr>
                            <w:t>Uso habitual de la 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DC44DB" w:rsidRDefault="00864ECA" w:rsidP="00864ECA">
                    <w:pPr>
                      <w:rPr>
                        <w:rFonts w:ascii="Calibri" w:eastAsia="Calibri" w:hAnsi="Calibri" w:cs="Calibri"/>
                        <w:noProof/>
                        <w:color w:val="000000"/>
                        <w:sz w:val="24"/>
                      </w:rPr>
                    </w:pPr>
                    <w:r w:rsidRPr="00DC44DB">
                      <w:rPr>
                        <w:rFonts w:ascii="Calibri" w:hAnsi="Calibri"/>
                        <w:color w:val="000000"/>
                        <w:sz w:val="24"/>
                      </w:rPr>
                      <w:t>Uso habitual de la ABE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4DB"/>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es-ES"/>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es-ES"/>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es-ES"/>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2.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6017</Words>
  <Characters>31886</Characters>
  <Application>Microsoft Office Word</Application>
  <DocSecurity>0</DocSecurity>
  <Lines>265</Lines>
  <Paragraphs>75</Paragraphs>
  <ScaleCrop>false</ScaleCrop>
  <Manager/>
  <Company/>
  <LinksUpToDate>false</LinksUpToDate>
  <CharactersWithSpaces>37828</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