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38259E" w:rsidRDefault="00E114F3" w:rsidP="00370155">
      <w:pPr>
        <w:pStyle w:val="Annexetitre"/>
        <w:spacing w:before="0"/>
        <w:ind w:firstLine="720"/>
        <w:jc w:val="left"/>
      </w:pPr>
      <w:r w:rsidRPr="0038259E">
        <w:t>ANHANG XXXII – Erläuterungen zu den Meldebögen für die Offenlegung des operationellen Risikos</w:t>
      </w:r>
    </w:p>
    <w:p w14:paraId="672A6659" w14:textId="77777777" w:rsidR="00E114F3" w:rsidRPr="0038259E" w:rsidRDefault="00E114F3" w:rsidP="00E114F3">
      <w:pPr>
        <w:spacing w:after="120"/>
        <w:jc w:val="both"/>
        <w:rPr>
          <w:rFonts w:ascii="Times New Roman" w:hAnsi="Times New Roman"/>
          <w:b/>
          <w:bCs/>
          <w:sz w:val="24"/>
        </w:rPr>
      </w:pPr>
    </w:p>
    <w:p w14:paraId="384DD143" w14:textId="77777777" w:rsidR="00E114F3" w:rsidRPr="0038259E" w:rsidRDefault="00E114F3" w:rsidP="00E114F3">
      <w:pPr>
        <w:spacing w:after="120"/>
        <w:rPr>
          <w:rFonts w:ascii="Times New Roman" w:hAnsi="Times New Roman"/>
          <w:bCs/>
          <w:sz w:val="24"/>
        </w:rPr>
      </w:pPr>
      <w:r w:rsidRPr="0038259E">
        <w:rPr>
          <w:rFonts w:ascii="Times New Roman" w:hAnsi="Times New Roman"/>
          <w:b/>
          <w:sz w:val="24"/>
        </w:rPr>
        <w:t xml:space="preserve">Tabelle EU ORA – Qualitative Angaben zum operationellen Risiko. </w:t>
      </w:r>
      <w:r w:rsidRPr="0038259E">
        <w:rPr>
          <w:rFonts w:ascii="Times New Roman" w:hAnsi="Times New Roman"/>
          <w:sz w:val="24"/>
        </w:rPr>
        <w:t>Format: Flexibel</w:t>
      </w:r>
    </w:p>
    <w:p w14:paraId="2E1E5572" w14:textId="6D56D6EF" w:rsidR="00E114F3" w:rsidRPr="0038259E" w:rsidRDefault="2A1FD4BE" w:rsidP="44B77564">
      <w:pPr>
        <w:numPr>
          <w:ilvl w:val="0"/>
          <w:numId w:val="1"/>
        </w:numPr>
        <w:spacing w:after="120"/>
        <w:jc w:val="both"/>
        <w:rPr>
          <w:rFonts w:ascii="Calibri" w:eastAsia="Times New Roman" w:hAnsi="Calibri" w:cs="Times New Roman"/>
          <w:color w:val="000000"/>
        </w:rPr>
      </w:pPr>
      <w:r w:rsidRPr="0038259E">
        <w:rPr>
          <w:rFonts w:ascii="Times New Roman" w:hAnsi="Times New Roman"/>
          <w:sz w:val="24"/>
        </w:rPr>
        <w:t>Die Institute haben die in dieser Tabelle verlangten Angaben gemäß Artikel 435 Absatz 1 und Artikel 446 Absatz 1 Buchstabe a der Verordnung (EU) Nr. 575/2013</w:t>
      </w:r>
      <w:r w:rsidR="00E114F3" w:rsidRPr="0038259E">
        <w:rPr>
          <w:rStyle w:val="FootnoteReference"/>
          <w:rFonts w:ascii="Times New Roman" w:hAnsi="Times New Roman"/>
          <w:sz w:val="24"/>
          <w:szCs w:val="24"/>
        </w:rPr>
        <w:footnoteReference w:id="2"/>
      </w:r>
      <w:r w:rsidRPr="0038259E">
        <w:rPr>
          <w:rFonts w:ascii="Times New Roman" w:hAnsi="Times New Roman"/>
          <w:sz w:val="24"/>
        </w:rPr>
        <w:t xml:space="preserve"> offenzulegen.</w:t>
      </w:r>
    </w:p>
    <w:p w14:paraId="728254AD" w14:textId="52B3E768" w:rsidR="00E114F3" w:rsidRPr="0038259E" w:rsidRDefault="00E114F3" w:rsidP="00E114F3">
      <w:pPr>
        <w:numPr>
          <w:ilvl w:val="0"/>
          <w:numId w:val="1"/>
        </w:numPr>
        <w:spacing w:after="120"/>
        <w:jc w:val="both"/>
        <w:rPr>
          <w:rFonts w:ascii="Times New Roman" w:hAnsi="Times New Roman"/>
          <w:bCs/>
          <w:sz w:val="24"/>
        </w:rPr>
      </w:pPr>
      <w:r w:rsidRPr="0038259E">
        <w:rPr>
          <w:rFonts w:ascii="Times New Roman" w:hAnsi="Times New Roman"/>
          <w:sz w:val="24"/>
        </w:rPr>
        <w:t>Wenn die Institute ihre operationellen Risiken in der Tabelle „EU </w:t>
      </w:r>
      <w:proofErr w:type="spellStart"/>
      <w:r w:rsidRPr="0038259E">
        <w:rPr>
          <w:rFonts w:ascii="Times New Roman" w:hAnsi="Times New Roman"/>
          <w:sz w:val="24"/>
        </w:rPr>
        <w:t>ORA“in</w:t>
      </w:r>
      <w:proofErr w:type="spellEnd"/>
      <w:r w:rsidRPr="0038259E">
        <w:rPr>
          <w:rFonts w:ascii="Times New Roman" w:hAnsi="Times New Roman"/>
          <w:sz w:val="24"/>
        </w:rPr>
        <w:t xml:space="preserve"> Anhang XXXI der „EBA IT </w:t>
      </w:r>
      <w:proofErr w:type="spellStart"/>
      <w:r w:rsidRPr="0038259E">
        <w:rPr>
          <w:rFonts w:ascii="Times New Roman" w:hAnsi="Times New Roman"/>
          <w:sz w:val="24"/>
        </w:rPr>
        <w:t>solutions</w:t>
      </w:r>
      <w:proofErr w:type="spellEnd"/>
      <w:r w:rsidRPr="0038259E">
        <w:rPr>
          <w:rFonts w:ascii="Times New Roman" w:hAnsi="Times New Roman"/>
          <w:sz w:val="24"/>
        </w:rPr>
        <w:t>“ offenlegen, haben sie dabei die nachstehenden Erläuterungen zu beachten.</w:t>
      </w:r>
    </w:p>
    <w:tbl>
      <w:tblPr>
        <w:tblW w:w="8926" w:type="dxa"/>
        <w:tblLook w:val="04A0" w:firstRow="1" w:lastRow="0" w:firstColumn="1" w:lastColumn="0" w:noHBand="0" w:noVBand="1"/>
      </w:tblPr>
      <w:tblGrid>
        <w:gridCol w:w="1736"/>
        <w:gridCol w:w="7190"/>
      </w:tblGrid>
      <w:tr w:rsidR="00E114F3" w:rsidRPr="0038259E"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38259E" w:rsidRDefault="00E114F3">
            <w:pPr>
              <w:spacing w:after="120"/>
              <w:rPr>
                <w:rFonts w:ascii="Times New Roman" w:eastAsia="Times New Roman" w:hAnsi="Times New Roman" w:cs="Times New Roman"/>
                <w:b/>
                <w:bCs/>
                <w:color w:val="000000"/>
                <w:sz w:val="24"/>
              </w:rPr>
            </w:pPr>
            <w:r w:rsidRPr="0038259E">
              <w:rPr>
                <w:rFonts w:ascii="Times New Roman" w:hAnsi="Times New Roman"/>
                <w:b/>
                <w:color w:val="000000"/>
                <w:sz w:val="24"/>
              </w:rPr>
              <w:t>Rechtsgrundlagen und Erläuterungen</w:t>
            </w:r>
          </w:p>
        </w:tc>
      </w:tr>
      <w:tr w:rsidR="00E114F3" w:rsidRPr="0038259E"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38259E" w:rsidRDefault="00E114F3">
            <w:pPr>
              <w:spacing w:after="120"/>
              <w:rPr>
                <w:rFonts w:ascii="Times New Roman" w:eastAsia="Times New Roman" w:hAnsi="Times New Roman" w:cs="Times New Roman"/>
                <w:b/>
                <w:bCs/>
                <w:color w:val="000000"/>
                <w:sz w:val="24"/>
              </w:rPr>
            </w:pPr>
            <w:r w:rsidRPr="0038259E">
              <w:rPr>
                <w:rFonts w:ascii="Times New Roman" w:hAnsi="Times New Roman"/>
                <w:b/>
                <w:color w:val="000000"/>
                <w:sz w:val="24"/>
              </w:rPr>
              <w:t>Zeilennummer</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38259E" w:rsidRDefault="00E114F3">
            <w:pPr>
              <w:spacing w:after="120"/>
              <w:rPr>
                <w:rFonts w:ascii="Times New Roman" w:eastAsia="Times New Roman" w:hAnsi="Times New Roman" w:cs="Times New Roman"/>
                <w:b/>
                <w:bCs/>
                <w:color w:val="000000"/>
                <w:sz w:val="24"/>
              </w:rPr>
            </w:pPr>
            <w:r w:rsidRPr="0038259E">
              <w:rPr>
                <w:rFonts w:ascii="Times New Roman" w:hAnsi="Times New Roman"/>
                <w:b/>
                <w:color w:val="000000"/>
                <w:sz w:val="24"/>
              </w:rPr>
              <w:t>Erläuterung</w:t>
            </w:r>
          </w:p>
        </w:tc>
      </w:tr>
      <w:tr w:rsidR="00E114F3" w:rsidRPr="0038259E"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38259E" w:rsidRDefault="00E114F3">
            <w:pPr>
              <w:spacing w:after="120"/>
              <w:jc w:val="center"/>
              <w:rPr>
                <w:rFonts w:ascii="Times New Roman" w:eastAsia="Times New Roman" w:hAnsi="Times New Roman" w:cs="Times New Roman"/>
                <w:color w:val="000000"/>
                <w:sz w:val="24"/>
              </w:rPr>
            </w:pPr>
            <w:r w:rsidRPr="0038259E">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38259E" w:rsidRDefault="00E114F3">
            <w:pPr>
              <w:spacing w:after="120"/>
              <w:jc w:val="both"/>
              <w:rPr>
                <w:rFonts w:ascii="Times New Roman" w:eastAsia="Times New Roman" w:hAnsi="Times New Roman" w:cs="Times New Roman"/>
                <w:b/>
                <w:color w:val="000000"/>
                <w:sz w:val="24"/>
              </w:rPr>
            </w:pPr>
            <w:r w:rsidRPr="0038259E">
              <w:rPr>
                <w:rFonts w:ascii="Times New Roman" w:hAnsi="Times New Roman"/>
                <w:b/>
                <w:color w:val="000000"/>
                <w:sz w:val="24"/>
              </w:rPr>
              <w:t>Offenlegung von Risikomanagementzielen und -politik</w:t>
            </w:r>
          </w:p>
          <w:p w14:paraId="65684A44" w14:textId="36ED8962" w:rsidR="00E114F3" w:rsidRPr="0038259E" w:rsidRDefault="2A1FD4BE">
            <w:pPr>
              <w:spacing w:after="120"/>
              <w:rPr>
                <w:rFonts w:ascii="Times New Roman" w:eastAsia="Times New Roman" w:hAnsi="Times New Roman" w:cs="Times New Roman"/>
                <w:color w:val="000000"/>
                <w:sz w:val="24"/>
              </w:rPr>
            </w:pPr>
            <w:r w:rsidRPr="0038259E">
              <w:rPr>
                <w:rFonts w:ascii="Times New Roman" w:hAnsi="Times New Roman"/>
                <w:color w:val="000000" w:themeColor="text1"/>
                <w:sz w:val="24"/>
              </w:rPr>
              <w:t>Gemäß Artikel 435 Absatz 1 Buchstabe a der Verordnung (EU) Nr. 575/2013 haben die Institute ihre Ziele, Politik, Rahmenwerke und Leitlinien für das Management des operationellen Risikos offenzulegen, einschließlich der Strategien und Verfahren für das Management dieses Risikos.</w:t>
            </w:r>
          </w:p>
        </w:tc>
      </w:tr>
      <w:tr w:rsidR="00E114F3" w:rsidRPr="0038259E"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38259E" w:rsidRDefault="00E114F3">
            <w:pPr>
              <w:spacing w:after="120"/>
              <w:jc w:val="center"/>
              <w:rPr>
                <w:rFonts w:ascii="Times New Roman" w:eastAsia="Times New Roman" w:hAnsi="Times New Roman" w:cs="Times New Roman"/>
                <w:color w:val="000000"/>
                <w:sz w:val="24"/>
              </w:rPr>
            </w:pPr>
            <w:r w:rsidRPr="0038259E">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38259E" w:rsidRDefault="00885AC5" w:rsidP="00885AC5">
            <w:pPr>
              <w:spacing w:before="120" w:after="120"/>
              <w:jc w:val="both"/>
              <w:rPr>
                <w:rFonts w:ascii="Times New Roman" w:eastAsia="Times New Roman" w:hAnsi="Times New Roman" w:cs="Times New Roman"/>
                <w:b/>
                <w:color w:val="000000"/>
                <w:sz w:val="24"/>
              </w:rPr>
            </w:pPr>
            <w:r w:rsidRPr="0038259E">
              <w:rPr>
                <w:rFonts w:ascii="Times New Roman" w:hAnsi="Times New Roman"/>
                <w:b/>
                <w:color w:val="000000"/>
                <w:sz w:val="24"/>
              </w:rPr>
              <w:t>Offenlegung der Struktur und Organisation der Funktion für das Management des operationellen Risikos</w:t>
            </w:r>
          </w:p>
          <w:p w14:paraId="739779F0" w14:textId="092C61F0" w:rsidR="00E114F3" w:rsidRPr="0038259E" w:rsidRDefault="00885AC5">
            <w:pPr>
              <w:spacing w:after="120"/>
              <w:jc w:val="both"/>
              <w:rPr>
                <w:rFonts w:ascii="Times New Roman" w:eastAsia="Times New Roman" w:hAnsi="Times New Roman" w:cs="Times New Roman"/>
                <w:color w:val="000000"/>
                <w:sz w:val="24"/>
              </w:rPr>
            </w:pPr>
            <w:r w:rsidRPr="0038259E">
              <w:rPr>
                <w:rFonts w:ascii="Times New Roman" w:hAnsi="Times New Roman"/>
                <w:color w:val="000000" w:themeColor="text1"/>
                <w:sz w:val="24"/>
              </w:rPr>
              <w:t>Gemäß Artikel 435 Absatz 1 Buchstabe b der Verordnung (EU) Nr. 575/2013 haben die Institute die Struktur und Organisation der Funktion für das Management des operationellen Risikos offenzulegen, einschließlich Informationen über Zuständigkeiten, Befugnisse und Rechenschaftspflicht der Funktion für das Management des operationellen Risikos gemäß den Gründungsdokumenten und der Satzung des Instituts sowie über die Kontrollfunktion.</w:t>
            </w:r>
          </w:p>
        </w:tc>
      </w:tr>
      <w:tr w:rsidR="00E114F3" w:rsidRPr="0038259E"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38259E" w:rsidRDefault="00E114F3">
            <w:pPr>
              <w:spacing w:after="120"/>
              <w:jc w:val="center"/>
              <w:rPr>
                <w:rFonts w:ascii="Times New Roman" w:eastAsia="Times New Roman" w:hAnsi="Times New Roman" w:cs="Times New Roman"/>
                <w:color w:val="000000"/>
                <w:sz w:val="24"/>
              </w:rPr>
            </w:pPr>
            <w:r w:rsidRPr="0038259E">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38259E" w:rsidRDefault="005129A3" w:rsidP="005129A3">
            <w:pPr>
              <w:spacing w:before="120" w:after="120"/>
              <w:jc w:val="both"/>
              <w:rPr>
                <w:rFonts w:ascii="Times New Roman" w:eastAsia="Times New Roman" w:hAnsi="Times New Roman" w:cs="Times New Roman"/>
                <w:b/>
                <w:color w:val="000000"/>
                <w:sz w:val="24"/>
              </w:rPr>
            </w:pPr>
            <w:r w:rsidRPr="0038259E">
              <w:rPr>
                <w:rFonts w:ascii="Times New Roman" w:hAnsi="Times New Roman"/>
                <w:b/>
                <w:color w:val="000000"/>
                <w:sz w:val="24"/>
              </w:rPr>
              <w:t>Beschreibung des Umfangs und der Art des Messsystems</w:t>
            </w:r>
          </w:p>
          <w:p w14:paraId="2426746E" w14:textId="624D178E" w:rsidR="00E114F3" w:rsidRPr="0038259E" w:rsidRDefault="005129A3">
            <w:pPr>
              <w:spacing w:after="120"/>
              <w:jc w:val="both"/>
              <w:rPr>
                <w:rFonts w:ascii="Times New Roman" w:eastAsia="Times New Roman" w:hAnsi="Times New Roman" w:cs="Times New Roman"/>
                <w:color w:val="000000"/>
                <w:sz w:val="24"/>
              </w:rPr>
            </w:pPr>
            <w:r w:rsidRPr="0038259E">
              <w:rPr>
                <w:rFonts w:ascii="Times New Roman" w:hAnsi="Times New Roman"/>
                <w:color w:val="000000" w:themeColor="text1"/>
                <w:sz w:val="24"/>
              </w:rPr>
              <w:t>Gemäß Artikel 435 Absatz 1 Buchstabe c der Verordnung (EU) Nr. 575/2013 haben die Institute den Umfang und die Art des Systems zur Messung des operationellen Risikos offenzulegen (d. h. die Systeme und Daten, die zur Messung des operationellen Risikos verwendet werden, um die Eigenmittelanforderung für das operationelle Risiko zu schätzen).</w:t>
            </w:r>
          </w:p>
        </w:tc>
      </w:tr>
      <w:tr w:rsidR="00E114F3" w:rsidRPr="0038259E"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38259E" w:rsidRDefault="00E114F3">
            <w:pPr>
              <w:spacing w:after="120"/>
              <w:jc w:val="center"/>
              <w:rPr>
                <w:rFonts w:ascii="Times New Roman" w:eastAsia="Times New Roman" w:hAnsi="Times New Roman" w:cs="Times New Roman"/>
                <w:color w:val="000000"/>
                <w:sz w:val="24"/>
              </w:rPr>
            </w:pPr>
            <w:r w:rsidRPr="0038259E">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38259E" w:rsidRDefault="005D02AE" w:rsidP="005D02AE">
            <w:pPr>
              <w:spacing w:before="120" w:after="120"/>
              <w:jc w:val="both"/>
              <w:rPr>
                <w:rFonts w:ascii="Times New Roman" w:eastAsia="Times New Roman" w:hAnsi="Times New Roman" w:cs="Times New Roman"/>
                <w:b/>
                <w:color w:val="000000"/>
                <w:sz w:val="24"/>
              </w:rPr>
            </w:pPr>
            <w:r w:rsidRPr="0038259E">
              <w:rPr>
                <w:rFonts w:ascii="Times New Roman" w:hAnsi="Times New Roman"/>
                <w:b/>
                <w:color w:val="000000" w:themeColor="text1"/>
                <w:sz w:val="24"/>
              </w:rPr>
              <w:t>Beschreibung des Umfangs und der Art des Rahmenwerks für die Berichterstattung über das operationelle Risiko</w:t>
            </w:r>
          </w:p>
          <w:p w14:paraId="1EE9A69D" w14:textId="428D8604" w:rsidR="00E114F3" w:rsidRPr="0038259E" w:rsidRDefault="005D02AE">
            <w:pPr>
              <w:spacing w:after="120"/>
              <w:jc w:val="both"/>
              <w:rPr>
                <w:rFonts w:ascii="Times New Roman" w:eastAsia="Times New Roman" w:hAnsi="Times New Roman" w:cs="Times New Roman"/>
                <w:color w:val="000000"/>
                <w:sz w:val="24"/>
              </w:rPr>
            </w:pPr>
            <w:r w:rsidRPr="0038259E">
              <w:rPr>
                <w:rFonts w:ascii="Times New Roman" w:hAnsi="Times New Roman"/>
                <w:color w:val="000000" w:themeColor="text1"/>
                <w:sz w:val="24"/>
              </w:rPr>
              <w:t xml:space="preserve">Gemäß Artikel 435 Absatz 1 Buchstabe c der Verordnung (EU) Nr. 575/2013 haben die Institute gegenüber der Geschäftsleitung und </w:t>
            </w:r>
            <w:r w:rsidRPr="0038259E">
              <w:rPr>
                <w:rFonts w:ascii="Times New Roman" w:hAnsi="Times New Roman"/>
                <w:color w:val="000000" w:themeColor="text1"/>
                <w:sz w:val="24"/>
              </w:rPr>
              <w:lastRenderedPageBreak/>
              <w:t>dem Leitungsorgan den Umfang und die Art des Rahmenwerks für die Berichterstattung über das operationelle Risiko offenzulegen.</w:t>
            </w:r>
          </w:p>
        </w:tc>
      </w:tr>
      <w:tr w:rsidR="00E5460F" w:rsidRPr="0038259E"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38259E" w:rsidRDefault="00E5460F">
            <w:pPr>
              <w:spacing w:after="120"/>
              <w:jc w:val="center"/>
              <w:rPr>
                <w:rFonts w:ascii="Times New Roman" w:eastAsia="Times New Roman" w:hAnsi="Times New Roman" w:cs="Times New Roman"/>
                <w:color w:val="000000"/>
                <w:sz w:val="24"/>
              </w:rPr>
            </w:pPr>
            <w:r w:rsidRPr="0038259E">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38259E" w:rsidRDefault="00E25C0C" w:rsidP="00E25C0C">
            <w:pPr>
              <w:spacing w:before="120" w:after="120"/>
              <w:jc w:val="both"/>
              <w:rPr>
                <w:rFonts w:ascii="Times New Roman" w:eastAsia="Times New Roman" w:hAnsi="Times New Roman" w:cs="Times New Roman"/>
                <w:color w:val="000000"/>
                <w:sz w:val="24"/>
              </w:rPr>
            </w:pPr>
            <w:r w:rsidRPr="0038259E">
              <w:rPr>
                <w:rFonts w:ascii="Times New Roman" w:hAnsi="Times New Roman"/>
                <w:b/>
                <w:color w:val="000000" w:themeColor="text1"/>
                <w:sz w:val="24"/>
              </w:rPr>
              <w:t>Beschreibung der Leitlinien und Strategien für die Risikominderung und Risikoabsicherung</w:t>
            </w:r>
          </w:p>
          <w:p w14:paraId="443DC7A5" w14:textId="7D68A10D" w:rsidR="00E5460F" w:rsidRPr="0038259E" w:rsidDel="009A4E43" w:rsidRDefault="00E25C0C" w:rsidP="00E25C0C">
            <w:pPr>
              <w:spacing w:after="120"/>
              <w:jc w:val="both"/>
              <w:rPr>
                <w:rFonts w:ascii="Times New Roman" w:eastAsia="Times New Roman" w:hAnsi="Times New Roman" w:cs="Times New Roman"/>
                <w:b/>
                <w:color w:val="000000"/>
                <w:sz w:val="24"/>
              </w:rPr>
            </w:pPr>
            <w:r w:rsidRPr="0038259E">
              <w:rPr>
                <w:rFonts w:ascii="Times New Roman" w:hAnsi="Times New Roman"/>
                <w:color w:val="000000" w:themeColor="text1"/>
                <w:sz w:val="24"/>
              </w:rPr>
              <w:t>Gemäß Artikel 435 Absatz 1 Buchstabe d der Verordnung (EU) Nr. 575/2013 haben die Institute ihre Leitlinien und Strategien für die Risikoabsicherung und -minderung offenzulegen, die für das Management des operationellen Risikos angewendet werden, auch wenn die Minderung des operationellen Risikos durch eine Leitlinie erreicht wird (wobei sie in diesem Fall die Leitlinien für Risikokultur, Risikobereitschaft und Auslagerung offenzulegen haben) oder wenn diese durch die Veräußerung von mit einem hohen Risiko behafteten Geschäftsbereichen und Unternehmen oder über die Einführung von Kontrollen erreicht wird. Die Institute haben auch die verbleibenden Risikopositionen offenzulegen, die von den Instituten selbst aufgefangen werden, oder gegebenenfalls die verbleibenden Risikopositionen, die auf verschiedene Weise, einschließlich über Versicherungen, übertragen werden.</w:t>
            </w:r>
          </w:p>
        </w:tc>
      </w:tr>
    </w:tbl>
    <w:p w14:paraId="0A37501D" w14:textId="77777777" w:rsidR="00E114F3" w:rsidRPr="0038259E" w:rsidRDefault="00E114F3" w:rsidP="00E114F3">
      <w:pPr>
        <w:spacing w:after="120"/>
        <w:jc w:val="both"/>
        <w:rPr>
          <w:rFonts w:ascii="Times New Roman" w:hAnsi="Times New Roman" w:cs="Times New Roman"/>
          <w:b/>
          <w:bCs/>
          <w:sz w:val="24"/>
        </w:rPr>
      </w:pPr>
    </w:p>
    <w:p w14:paraId="73228265" w14:textId="2825D40F" w:rsidR="00E114F3" w:rsidRPr="0038259E" w:rsidRDefault="00E114F3" w:rsidP="00E114F3">
      <w:pPr>
        <w:spacing w:after="120"/>
        <w:jc w:val="both"/>
        <w:rPr>
          <w:rFonts w:ascii="Times New Roman" w:hAnsi="Times New Roman" w:cs="Times New Roman"/>
          <w:bCs/>
          <w:sz w:val="24"/>
        </w:rPr>
      </w:pPr>
      <w:r w:rsidRPr="0038259E">
        <w:rPr>
          <w:rFonts w:ascii="Times New Roman" w:hAnsi="Times New Roman"/>
          <w:b/>
          <w:sz w:val="24"/>
        </w:rPr>
        <w:t xml:space="preserve">Meldebogen EU OR1 – Durch operationelle Risiken bedingte Verluste. </w:t>
      </w:r>
      <w:r w:rsidRPr="0038259E">
        <w:rPr>
          <w:rFonts w:ascii="Times New Roman" w:hAnsi="Times New Roman"/>
          <w:sz w:val="24"/>
        </w:rPr>
        <w:t>Format: Unveränderlich</w:t>
      </w:r>
    </w:p>
    <w:p w14:paraId="70B287DB" w14:textId="7164F419"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Die Institute haben die im Meldebogen EU OR1 genannten Angaben gemäß Artikel 446 Absatz 2 Buchstaben a und b der Verordnung (EU) Nr. 575/2013 offenzulegen. Dieser Meldebogen liefert Informationen zu den im Laufe der letzten zehn Jahre angefallenen jährlichen Verlusten, die durch operationelle Risiken bedingt sind, basierend auf dem Buchungsdatum der angefallenen Verluste. Diese durch operationelle Risiken bedingte jährliche Verluste sind gemäß Artikel 316 Absatz 1 der Verordnung (EU) Nr. 575/2013 zu berechnen und umfassen gemäß Artikel 317 Absatz 2 der Verordnung (EU) Nr. 575/2013 alle Verluste aller in den Konsolidierungskreis einbezogenen Unternehmen, einschließlich Verlusten aus fusionierten oder erworbenen Unternehmen oder Geschäftsbereichen (gemäß Artikel 321 Absatz 1 der Verordnung (EU) Nr. 575/2013). Diese Informationen sind soweit verfügbar und nach bestem Bemühen bereitzustellen, bis Artikel 316 Absatz 3, Artikel 317 Absatz 9, Artikel 320 Absatz 3 und Artikel 321 Absatz 2 der Verordnung (EU) Nr. 575/2013 anwendbar sind.</w:t>
      </w:r>
    </w:p>
    <w:p w14:paraId="0C12CA7B" w14:textId="77777777" w:rsidR="00D740B8" w:rsidRPr="0038259E" w:rsidRDefault="00D740B8" w:rsidP="00D740B8">
      <w:pPr>
        <w:ind w:left="360"/>
        <w:jc w:val="both"/>
        <w:rPr>
          <w:rFonts w:ascii="Times New Roman" w:hAnsi="Times New Roman" w:cs="Times New Roman"/>
          <w:bCs/>
          <w:sz w:val="24"/>
        </w:rPr>
      </w:pPr>
    </w:p>
    <w:p w14:paraId="47EE9624" w14:textId="4A5B22B7" w:rsidR="00D740B8" w:rsidRPr="0038259E" w:rsidRDefault="00D740B8" w:rsidP="00D740B8">
      <w:pPr>
        <w:numPr>
          <w:ilvl w:val="0"/>
          <w:numId w:val="1"/>
        </w:numPr>
        <w:jc w:val="both"/>
        <w:rPr>
          <w:rFonts w:ascii="Times New Roman" w:hAnsi="Times New Roman" w:cs="Times New Roman"/>
          <w:sz w:val="24"/>
        </w:rPr>
      </w:pPr>
      <w:r w:rsidRPr="0038259E">
        <w:rPr>
          <w:rFonts w:ascii="Times New Roman" w:hAnsi="Times New Roman"/>
          <w:sz w:val="24"/>
        </w:rPr>
        <w:t xml:space="preserve">Die Institute haben für jedes der letzten zehn Jahre Daten zur Anzahl der durch operationelle Risiken bedingten Verluste und zur Anzahl der ausgenommenen durch operationelle Risiken bedingten Verluste, zum Gesamtbetrag der durch operationelle Risiken bedingten Verluste nach Abzug von Rückflüssen und zum Gesamtbetrag der durch operationelle Risiken bedingten Verluste abzüglich der Rückflüsse und abzüglich der ausgenommenen Verluste offenzulegen. Der jährliche Gesamtbetrag der durch operationelle Risiken bedingten Verluste ist zu berechnen als die Summe aller Nettoverluste in einem bestimmten Geschäftsjahr, berechnet gemäß Artikel 318 Absatz 1 der Verordnung (EU) Nr. 575/2013, die die in Artikel 319 Absatz 1 bzw. 2 der Verordnung festgelegten Schwellenwerte erreicht haben oder diese überschreiten (d. h. 20 000 EUR oder mehr bzw. 100 000 EUR oder mehr betragen). Verluste aufgrund eines gemeinsamen durch operationelle Risiken bedingten Ereignisses oder aufgrund von multiplen </w:t>
      </w:r>
      <w:r w:rsidRPr="0038259E">
        <w:rPr>
          <w:rFonts w:ascii="Times New Roman" w:hAnsi="Times New Roman"/>
          <w:sz w:val="24"/>
        </w:rPr>
        <w:lastRenderedPageBreak/>
        <w:t>Ereignissen, die mit demselben durch operationelle Risiken bedingten Ereignis („Grundereignis“ oder „Root-Event“) zusammenhängen, und in verschiedenen Geschäftsjahren erfasst werden, sind jedoch für die letzten zehn Jahre zusammenzufassen, um zu ermitteln, ob der Schwellenwert für die Offenlegung überschritten wird oder nicht. Die Verluste und Anpassungen sollten gemäß den Bestimmungen des Artikels 317 Absatz 3 Buchstabe c und des Artikels 318 der Verordnung (EU) Nr. 575/2013 offengelegt werden. Diese Beträge sind in dem Jahr offenzulegen, in dem sie im Jahresabschluss erfasst wurden.</w:t>
      </w:r>
    </w:p>
    <w:p w14:paraId="2702CB88" w14:textId="77777777" w:rsidR="00D740B8" w:rsidRPr="0038259E" w:rsidRDefault="00D740B8" w:rsidP="00D740B8">
      <w:pPr>
        <w:pStyle w:val="ListParagraph"/>
        <w:rPr>
          <w:rFonts w:ascii="Times New Roman" w:hAnsi="Times New Roman"/>
          <w:bCs/>
          <w:sz w:val="24"/>
        </w:rPr>
      </w:pPr>
    </w:p>
    <w:p w14:paraId="3146DBD3" w14:textId="48F555B9"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 xml:space="preserve"> In der begleitenden Erläuterung haben die Institute gemäß Artikel 446 Absatz 2 Buchstabe b der Verordnung (EU) Nr. 575/2013 in aggregierter Form die Begründungen dafür offenzulegen, dass außergewöhnliche durch operationelle Risiken bedingte Ereignisse von der Berechnung der durch operationelle Risiken bedingten jährlichen Verluste ausgenommen wurden.</w:t>
      </w:r>
    </w:p>
    <w:p w14:paraId="066C0912" w14:textId="77777777" w:rsidR="00D740B8" w:rsidRPr="0038259E" w:rsidRDefault="00D740B8" w:rsidP="00D740B8">
      <w:pPr>
        <w:pStyle w:val="ListParagraph"/>
        <w:rPr>
          <w:rFonts w:ascii="Times New Roman" w:hAnsi="Times New Roman"/>
          <w:bCs/>
          <w:sz w:val="24"/>
        </w:rPr>
      </w:pPr>
    </w:p>
    <w:p w14:paraId="79A49BBA" w14:textId="5D2F1C9E"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 xml:space="preserve"> Die Institute haben zudem in aggregierter Form alle wesentlichen Informationen offenzulegen, die den Nutzern das Verständnis der historischen Verluste, Rückflüsse und gesetzlichen Rücklagen des Instituts erleichtern könnten; hiervon ausgenommen sind vertrauliche und geschützte Informationen.</w:t>
      </w:r>
    </w:p>
    <w:p w14:paraId="3AF72482" w14:textId="77777777" w:rsidR="00D740B8" w:rsidRPr="0038259E" w:rsidRDefault="00D740B8" w:rsidP="00D740B8">
      <w:pPr>
        <w:pStyle w:val="ListParagraph"/>
        <w:rPr>
          <w:rFonts w:ascii="Times New Roman" w:hAnsi="Times New Roman"/>
          <w:bCs/>
          <w:sz w:val="24"/>
        </w:rPr>
      </w:pPr>
    </w:p>
    <w:p w14:paraId="36406578" w14:textId="77777777" w:rsidR="00D740B8" w:rsidRPr="0038259E"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38259E" w14:paraId="7E388732" w14:textId="77777777">
        <w:tc>
          <w:tcPr>
            <w:tcW w:w="1271" w:type="dxa"/>
            <w:shd w:val="clear" w:color="auto" w:fill="BFBFBF" w:themeFill="background1" w:themeFillShade="BF"/>
          </w:tcPr>
          <w:p w14:paraId="5F81890E" w14:textId="77777777" w:rsidR="00D740B8" w:rsidRPr="0038259E" w:rsidRDefault="00D740B8">
            <w:pPr>
              <w:autoSpaceDE w:val="0"/>
              <w:autoSpaceDN w:val="0"/>
              <w:adjustRightInd w:val="0"/>
              <w:rPr>
                <w:rFonts w:ascii="Times New Roman" w:hAnsi="Times New Roman"/>
                <w:bCs/>
                <w:sz w:val="24"/>
              </w:rPr>
            </w:pPr>
            <w:r w:rsidRPr="0038259E">
              <w:rPr>
                <w:rFonts w:ascii="Times New Roman" w:hAnsi="Times New Roman"/>
                <w:b/>
                <w:sz w:val="24"/>
              </w:rPr>
              <w:t>Spalte</w:t>
            </w:r>
          </w:p>
        </w:tc>
        <w:tc>
          <w:tcPr>
            <w:tcW w:w="7745" w:type="dxa"/>
            <w:shd w:val="clear" w:color="auto" w:fill="BFBFBF" w:themeFill="background1" w:themeFillShade="BF"/>
          </w:tcPr>
          <w:p w14:paraId="0773BD79" w14:textId="77777777" w:rsidR="00D740B8" w:rsidRPr="0038259E" w:rsidRDefault="00D740B8">
            <w:pPr>
              <w:spacing w:before="60" w:after="120"/>
              <w:jc w:val="both"/>
              <w:rPr>
                <w:rFonts w:ascii="Times New Roman" w:eastAsia="Times New Roman" w:hAnsi="Times New Roman" w:cs="Times New Roman"/>
                <w:b/>
                <w:sz w:val="24"/>
              </w:rPr>
            </w:pPr>
            <w:r w:rsidRPr="0038259E">
              <w:rPr>
                <w:rFonts w:ascii="Times New Roman" w:hAnsi="Times New Roman"/>
                <w:b/>
                <w:sz w:val="24"/>
              </w:rPr>
              <w:t>Rechtsgrundlagen und Erläuterungen</w:t>
            </w:r>
          </w:p>
        </w:tc>
      </w:tr>
      <w:tr w:rsidR="00D740B8" w:rsidRPr="0038259E" w14:paraId="4A7B0862" w14:textId="77777777">
        <w:tc>
          <w:tcPr>
            <w:tcW w:w="1271" w:type="dxa"/>
          </w:tcPr>
          <w:p w14:paraId="59A78ADD" w14:textId="77777777" w:rsidR="00D740B8" w:rsidRPr="0038259E" w:rsidRDefault="00D740B8">
            <w:pPr>
              <w:autoSpaceDE w:val="0"/>
              <w:autoSpaceDN w:val="0"/>
              <w:adjustRightInd w:val="0"/>
              <w:jc w:val="center"/>
              <w:rPr>
                <w:rFonts w:ascii="Times New Roman" w:hAnsi="Times New Roman"/>
                <w:bCs/>
                <w:sz w:val="24"/>
              </w:rPr>
            </w:pPr>
            <w:r w:rsidRPr="0038259E">
              <w:rPr>
                <w:rFonts w:ascii="Times New Roman" w:hAnsi="Times New Roman"/>
                <w:sz w:val="24"/>
              </w:rPr>
              <w:t>a bis j</w:t>
            </w:r>
          </w:p>
        </w:tc>
        <w:tc>
          <w:tcPr>
            <w:tcW w:w="7745" w:type="dxa"/>
          </w:tcPr>
          <w:p w14:paraId="0B872A50" w14:textId="77777777" w:rsidR="00D740B8" w:rsidRPr="0038259E" w:rsidRDefault="00D740B8">
            <w:pPr>
              <w:spacing w:before="120" w:after="120"/>
              <w:jc w:val="both"/>
              <w:rPr>
                <w:rFonts w:ascii="Times New Roman" w:eastAsia="Times New Roman" w:hAnsi="Times New Roman" w:cs="Times New Roman"/>
                <w:sz w:val="24"/>
              </w:rPr>
            </w:pPr>
            <w:r w:rsidRPr="0038259E">
              <w:rPr>
                <w:rFonts w:ascii="Times New Roman" w:hAnsi="Times New Roman"/>
                <w:b/>
                <w:sz w:val="24"/>
              </w:rPr>
              <w:t>Jahr (T, T-1, T-2, T-3, T-4, T-5, T-6, T-7, T-8, T-9)</w:t>
            </w:r>
          </w:p>
          <w:p w14:paraId="5B6EF35C" w14:textId="3033D1CC" w:rsidR="00D740B8" w:rsidRPr="0038259E" w:rsidRDefault="00D740B8">
            <w:pPr>
              <w:spacing w:before="120" w:after="120"/>
              <w:rPr>
                <w:rFonts w:ascii="Times New Roman" w:hAnsi="Times New Roman"/>
                <w:sz w:val="24"/>
              </w:rPr>
            </w:pPr>
            <w:r w:rsidRPr="0038259E">
              <w:rPr>
                <w:rFonts w:ascii="Times New Roman" w:hAnsi="Times New Roman"/>
                <w:sz w:val="24"/>
              </w:rPr>
              <w:t xml:space="preserve">Der in der entsprechenden Zeile angegebene Wert für die letzten zehn Geschäftsjahre. </w:t>
            </w:r>
          </w:p>
        </w:tc>
      </w:tr>
      <w:tr w:rsidR="00D740B8" w:rsidRPr="0038259E" w14:paraId="7D63969A" w14:textId="77777777">
        <w:tc>
          <w:tcPr>
            <w:tcW w:w="1271" w:type="dxa"/>
          </w:tcPr>
          <w:p w14:paraId="6CFD6A05" w14:textId="77777777" w:rsidR="00D740B8" w:rsidRPr="0038259E" w:rsidRDefault="00D740B8">
            <w:pPr>
              <w:autoSpaceDE w:val="0"/>
              <w:autoSpaceDN w:val="0"/>
              <w:adjustRightInd w:val="0"/>
              <w:jc w:val="center"/>
              <w:rPr>
                <w:rFonts w:ascii="Times New Roman" w:hAnsi="Times New Roman"/>
                <w:bCs/>
                <w:sz w:val="24"/>
              </w:rPr>
            </w:pPr>
            <w:r w:rsidRPr="0038259E">
              <w:rPr>
                <w:rFonts w:ascii="Times New Roman" w:hAnsi="Times New Roman"/>
                <w:sz w:val="24"/>
              </w:rPr>
              <w:t>k</w:t>
            </w:r>
          </w:p>
        </w:tc>
        <w:tc>
          <w:tcPr>
            <w:tcW w:w="7745" w:type="dxa"/>
          </w:tcPr>
          <w:p w14:paraId="50D93A86" w14:textId="77777777"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Zehnjahresdurchschnitt</w:t>
            </w:r>
          </w:p>
          <w:p w14:paraId="38A7187F" w14:textId="0CB464F2" w:rsidR="00D740B8" w:rsidRPr="0038259E" w:rsidRDefault="00D740B8">
            <w:pPr>
              <w:spacing w:before="120" w:after="120"/>
              <w:rPr>
                <w:rFonts w:ascii="Times New Roman" w:hAnsi="Times New Roman"/>
                <w:bCs/>
                <w:sz w:val="24"/>
              </w:rPr>
            </w:pPr>
            <w:r w:rsidRPr="0038259E">
              <w:rPr>
                <w:rFonts w:ascii="Times New Roman" w:hAnsi="Times New Roman"/>
                <w:sz w:val="24"/>
              </w:rPr>
              <w:t>Der Durchschnitt der in der entsprechenden Zeile angegebenen Werte der letzten zehn Jahre.</w:t>
            </w:r>
          </w:p>
        </w:tc>
      </w:tr>
    </w:tbl>
    <w:p w14:paraId="7095834F" w14:textId="77777777" w:rsidR="00D740B8" w:rsidRPr="0038259E" w:rsidRDefault="00D740B8" w:rsidP="00D740B8">
      <w:pPr>
        <w:pStyle w:val="ListParagraph"/>
        <w:rPr>
          <w:rFonts w:ascii="Times New Roman" w:hAnsi="Times New Roman"/>
          <w:bCs/>
          <w:sz w:val="24"/>
        </w:rPr>
      </w:pPr>
    </w:p>
    <w:p w14:paraId="32DB6729" w14:textId="77777777" w:rsidR="00D740B8" w:rsidRPr="0038259E" w:rsidRDefault="00D740B8" w:rsidP="00D740B8">
      <w:pPr>
        <w:pStyle w:val="ListParagraph"/>
        <w:rPr>
          <w:rFonts w:ascii="Times New Roman" w:hAnsi="Times New Roman"/>
          <w:bCs/>
          <w:sz w:val="24"/>
        </w:rPr>
      </w:pPr>
    </w:p>
    <w:p w14:paraId="2611544E" w14:textId="77777777" w:rsidR="00D740B8" w:rsidRPr="0038259E"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38259E"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38259E" w:rsidRDefault="00D740B8">
            <w:pPr>
              <w:autoSpaceDE w:val="0"/>
              <w:autoSpaceDN w:val="0"/>
              <w:adjustRightInd w:val="0"/>
              <w:rPr>
                <w:rFonts w:ascii="Times New Roman" w:hAnsi="Times New Roman" w:cs="Times New Roman"/>
                <w:b/>
                <w:sz w:val="24"/>
              </w:rPr>
            </w:pPr>
            <w:r w:rsidRPr="0038259E">
              <w:rPr>
                <w:rFonts w:ascii="Times New Roman" w:hAnsi="Times New Roman"/>
                <w:b/>
                <w:sz w:val="24"/>
              </w:rPr>
              <w:t>Zeile</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38259E" w:rsidRDefault="00D740B8">
            <w:pPr>
              <w:rPr>
                <w:rFonts w:ascii="Times New Roman" w:hAnsi="Times New Roman" w:cs="Times New Roman"/>
                <w:b/>
                <w:sz w:val="24"/>
              </w:rPr>
            </w:pPr>
            <w:r w:rsidRPr="0038259E">
              <w:rPr>
                <w:rFonts w:ascii="Times New Roman" w:hAnsi="Times New Roman"/>
                <w:b/>
                <w:sz w:val="24"/>
              </w:rPr>
              <w:t>Rechtsgrundlagen und Erläuterungen</w:t>
            </w:r>
          </w:p>
        </w:tc>
      </w:tr>
      <w:tr w:rsidR="00D740B8" w:rsidRPr="0038259E"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Gesamtbetrag der durch operationelle Risiken bedingten Verluste nach Abzug von Rückflüssen (keine Ausnahmen)</w:t>
            </w:r>
          </w:p>
          <w:p w14:paraId="73A6B59F" w14:textId="42A729DD" w:rsidR="00D740B8" w:rsidRPr="0038259E" w:rsidRDefault="00D740B8">
            <w:pPr>
              <w:spacing w:before="120" w:after="120"/>
              <w:jc w:val="both"/>
              <w:rPr>
                <w:rFonts w:ascii="Times New Roman" w:eastAsia="Times New Roman" w:hAnsi="Times New Roman" w:cs="Times New Roman"/>
                <w:sz w:val="24"/>
              </w:rPr>
            </w:pPr>
            <w:r w:rsidRPr="0038259E">
              <w:rPr>
                <w:rFonts w:ascii="Times New Roman" w:hAnsi="Times New Roman"/>
                <w:sz w:val="24"/>
              </w:rPr>
              <w:t>Artikel 446 Absatz 2 Buchstabe a und Artikel 316 Absatz 1 der Verordnung (EU) Nr. 575/2013.</w:t>
            </w:r>
          </w:p>
          <w:p w14:paraId="5D929629" w14:textId="254FA976" w:rsidR="00D740B8" w:rsidRPr="0038259E" w:rsidRDefault="002B0785">
            <w:pPr>
              <w:spacing w:before="120" w:after="120"/>
              <w:jc w:val="both"/>
              <w:rPr>
                <w:rFonts w:ascii="Times New Roman" w:eastAsia="Times New Roman" w:hAnsi="Times New Roman" w:cs="Times New Roman"/>
                <w:b/>
                <w:sz w:val="24"/>
              </w:rPr>
            </w:pPr>
            <w:r w:rsidRPr="0038259E">
              <w:rPr>
                <w:rFonts w:ascii="Times New Roman" w:hAnsi="Times New Roman"/>
                <w:sz w:val="24"/>
              </w:rPr>
              <w:t xml:space="preserve">In dieser Zeile ist für jeden der letzten zehn Berichtszeiträume der Gesamtbetrag der Verluste nach Abzug von Rückflüssen anzugeben, die sich aus Verlustereignissen ergeben, die den Schwellenwert für Verlustereignisse von 20 000 EUR überschreiten, für jeden der letzten zehn Berichtszeiträume, einschließlich der Verluste aufgrund von Verschmelzungen und Übernahmen. Verluste aufgrund eines gemeinsamen durch operationelle Risiken bedingten Ereignisses oder aufgrund von multiplen Ereignissen, die mit demselben durch operationelle Risiken bedingten Ereignis zusammenhängen, aber in verschiedenen Geschäftsjahren erfasst werden, sind zusammenzufassen, um zu </w:t>
            </w:r>
            <w:r w:rsidRPr="0038259E">
              <w:rPr>
                <w:rFonts w:ascii="Times New Roman" w:hAnsi="Times New Roman"/>
                <w:sz w:val="24"/>
              </w:rPr>
              <w:lastRenderedPageBreak/>
              <w:t>bestimmen, ob der Schwellenwert für die Offenlegung überschritten wird oder nicht. Außergewöhnliche durch operationelle Risiken bedingte Ereignisse des Jahres, die für das Risikoprofil des Instituts nicht mehr relevant sind und für die das Institut von der zuständigen Behörde die Erlaubnis erhalten hat, sie gemäß Artikel 320 Absatz 1 der Verordnung (EU) Nr. 575/2013 von der Berechnung des durch operationelle Risiken bedingten jährlichen Verlusts auszunehmen, sind bei der Berechnung des Postens für diese Zeile dennoch zu berücksichtigen.</w:t>
            </w:r>
          </w:p>
        </w:tc>
      </w:tr>
      <w:tr w:rsidR="00D740B8" w:rsidRPr="0038259E"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Gesamtzahl der durch operationelle Risiken bedingten Verluste</w:t>
            </w:r>
          </w:p>
          <w:p w14:paraId="2EA91375" w14:textId="28AF0058" w:rsidR="00D740B8" w:rsidRPr="0038259E" w:rsidRDefault="00D740B8">
            <w:pPr>
              <w:spacing w:before="120" w:after="120"/>
              <w:jc w:val="both"/>
              <w:rPr>
                <w:rFonts w:ascii="Times New Roman" w:eastAsia="Times New Roman" w:hAnsi="Times New Roman" w:cs="Times New Roman"/>
                <w:sz w:val="24"/>
              </w:rPr>
            </w:pPr>
            <w:r w:rsidRPr="0038259E">
              <w:rPr>
                <w:rFonts w:ascii="Times New Roman" w:hAnsi="Times New Roman"/>
                <w:sz w:val="24"/>
              </w:rPr>
              <w:t>Artikel 446 Absatz 2 Buchstabe a und Artikel 316 Absatz 1 der Verordnung (EU) Nr. 575/2013.</w:t>
            </w:r>
          </w:p>
          <w:p w14:paraId="275C478C" w14:textId="69738AFF" w:rsidR="00D740B8" w:rsidRPr="0038259E" w:rsidRDefault="00471410">
            <w:pPr>
              <w:spacing w:before="120" w:after="120"/>
              <w:rPr>
                <w:rFonts w:ascii="Times New Roman" w:eastAsia="Times New Roman" w:hAnsi="Times New Roman" w:cs="Times New Roman"/>
                <w:sz w:val="24"/>
              </w:rPr>
            </w:pPr>
            <w:r w:rsidRPr="0038259E">
              <w:rPr>
                <w:rFonts w:ascii="Times New Roman" w:hAnsi="Times New Roman"/>
                <w:sz w:val="24"/>
              </w:rPr>
              <w:t>Die Gesamtzahl der durch operationelle Risiken bedingten Verluste, die den Schwellenwert von 20 000 EUR überschreiten.</w:t>
            </w:r>
          </w:p>
        </w:tc>
      </w:tr>
      <w:tr w:rsidR="00D740B8" w:rsidRPr="0038259E"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Gesamtbetrag der ausgenommenen durch operationelle Risiken bedingten Verluste</w:t>
            </w:r>
          </w:p>
          <w:p w14:paraId="5C1A66AF" w14:textId="5CAD041D" w:rsidR="00D740B8" w:rsidRPr="0038259E" w:rsidRDefault="00D740B8">
            <w:pPr>
              <w:spacing w:before="120" w:after="120"/>
              <w:rPr>
                <w:rFonts w:ascii="Times New Roman" w:eastAsia="Times New Roman" w:hAnsi="Times New Roman" w:cs="Times New Roman"/>
                <w:sz w:val="24"/>
              </w:rPr>
            </w:pPr>
            <w:r w:rsidRPr="0038259E">
              <w:rPr>
                <w:rFonts w:ascii="Times New Roman" w:hAnsi="Times New Roman"/>
                <w:sz w:val="24"/>
              </w:rPr>
              <w:t>Artikel 446 Absatz 2 Buchstabe b und Artikel 320 Absatz 1 der Verordnung (EU) Nr. 575/2013.</w:t>
            </w:r>
          </w:p>
          <w:p w14:paraId="7BE235CA" w14:textId="7483A5B2" w:rsidR="00D740B8" w:rsidRPr="0038259E" w:rsidRDefault="002B0785">
            <w:pPr>
              <w:spacing w:before="120" w:after="120"/>
              <w:rPr>
                <w:rFonts w:ascii="Times New Roman" w:eastAsia="Times New Roman" w:hAnsi="Times New Roman" w:cs="Times New Roman"/>
                <w:sz w:val="24"/>
              </w:rPr>
            </w:pPr>
            <w:r w:rsidRPr="0038259E">
              <w:rPr>
                <w:rFonts w:ascii="Times New Roman" w:hAnsi="Times New Roman"/>
                <w:sz w:val="24"/>
              </w:rPr>
              <w:t>Die gesamten Nettoverlustbeträge, die den Schwellenwert für Verlustereignisse von 20 000 EUR überschreiten und gemäß Artikel 320 Absatz 1 der Verordnung (EU) Nr. 575/2013 ausgenommen wurden, für jeden der letzten zehn Berichtszeiträume.</w:t>
            </w:r>
          </w:p>
        </w:tc>
      </w:tr>
      <w:tr w:rsidR="00D740B8" w:rsidRPr="0038259E"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38259E" w:rsidRDefault="00D740B8">
            <w:pPr>
              <w:spacing w:before="12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Gesamtzahl der ausgenommenen durch operationelle Risiken bedingten Ereignisse</w:t>
            </w:r>
          </w:p>
          <w:p w14:paraId="7914E462" w14:textId="7978A3B5" w:rsidR="00D740B8" w:rsidRPr="0038259E" w:rsidRDefault="00D740B8">
            <w:pPr>
              <w:spacing w:before="120" w:after="120"/>
              <w:rPr>
                <w:rFonts w:ascii="Times New Roman" w:eastAsia="Times New Roman" w:hAnsi="Times New Roman" w:cs="Times New Roman"/>
                <w:sz w:val="24"/>
              </w:rPr>
            </w:pPr>
            <w:r w:rsidRPr="0038259E">
              <w:rPr>
                <w:rFonts w:ascii="Times New Roman" w:hAnsi="Times New Roman"/>
                <w:sz w:val="24"/>
              </w:rPr>
              <w:t>Artikel 446 Absatz 2 Buchstabe b und Artikel 320 Absatz 1 der Verordnung (EU) Nr. 575/2013.</w:t>
            </w:r>
          </w:p>
          <w:p w14:paraId="318A732C" w14:textId="242D554F" w:rsidR="00D740B8" w:rsidRPr="0038259E" w:rsidRDefault="009D4A12">
            <w:pPr>
              <w:spacing w:before="120" w:after="120"/>
              <w:jc w:val="both"/>
              <w:rPr>
                <w:rFonts w:ascii="Times New Roman" w:eastAsia="Times New Roman" w:hAnsi="Times New Roman" w:cs="Times New Roman"/>
                <w:sz w:val="24"/>
              </w:rPr>
            </w:pPr>
            <w:r w:rsidRPr="0038259E">
              <w:rPr>
                <w:rFonts w:ascii="Times New Roman" w:hAnsi="Times New Roman"/>
                <w:sz w:val="24"/>
              </w:rPr>
              <w:t xml:space="preserve">Die Gesamtzahl der außergewöhnlichen durch operationelle Risiken bedingten Ereignisse, die den Schwellenwert für Verlustereignisse von 20 000 EUR überschreiten und gemäß Artikel 320 Absatz 1 der Verordnung (EU) Nr. 575/2013 ausgenommen wurden, für jeden der letzten zehn Berichtszeiträume. </w:t>
            </w:r>
          </w:p>
        </w:tc>
      </w:tr>
      <w:tr w:rsidR="00D740B8" w:rsidRPr="0038259E"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38259E" w:rsidRDefault="00D740B8">
            <w:pPr>
              <w:spacing w:before="12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Gesamtbetrag der durch operationelle Risiken bedingten Verluste nach Abzug von Rückflüssen und abzüglich ausgenommener Verluste</w:t>
            </w:r>
          </w:p>
          <w:p w14:paraId="4203582A" w14:textId="7C24EBAE" w:rsidR="00D740B8" w:rsidRPr="0038259E" w:rsidRDefault="002B0785">
            <w:pPr>
              <w:spacing w:before="120" w:after="120"/>
              <w:jc w:val="both"/>
              <w:rPr>
                <w:rFonts w:ascii="Times New Roman" w:eastAsia="Times New Roman" w:hAnsi="Times New Roman" w:cs="Times New Roman"/>
                <w:sz w:val="24"/>
              </w:rPr>
            </w:pPr>
            <w:r w:rsidRPr="0038259E">
              <w:rPr>
                <w:rFonts w:ascii="Times New Roman" w:hAnsi="Times New Roman"/>
                <w:sz w:val="24"/>
              </w:rPr>
              <w:t>Gesamtbetrag der durch operationelle Risiken bedingten Verluste, abzüglich des Betrags der in Zeile 1 offengelegten Rückflüsse und abzüglich der in Zeile 3 offengelegten ausgenommenen Verluste.</w:t>
            </w:r>
          </w:p>
        </w:tc>
      </w:tr>
      <w:tr w:rsidR="00D740B8" w:rsidRPr="0038259E"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Gesamtbetrag der durch operationelle Risiken bedingten Verluste nach Abzug von Rückflüssen (keine Ausnahmen)</w:t>
            </w:r>
          </w:p>
          <w:p w14:paraId="647BDEC8" w14:textId="66617A83" w:rsidR="00D740B8" w:rsidRPr="0038259E" w:rsidRDefault="00D740B8">
            <w:pPr>
              <w:spacing w:before="120" w:after="120"/>
              <w:jc w:val="both"/>
              <w:rPr>
                <w:rFonts w:ascii="Times New Roman" w:eastAsia="Times New Roman" w:hAnsi="Times New Roman" w:cs="Times New Roman"/>
                <w:sz w:val="24"/>
              </w:rPr>
            </w:pPr>
            <w:r w:rsidRPr="0038259E">
              <w:rPr>
                <w:rFonts w:ascii="Times New Roman" w:hAnsi="Times New Roman"/>
                <w:sz w:val="24"/>
              </w:rPr>
              <w:t>Artikel 446 Absatz 2 Buchstabe a und Artikel 316 Absatz 1 der Verordnung (EU) Nr. 575/2013.</w:t>
            </w:r>
          </w:p>
          <w:p w14:paraId="7F1E94AA" w14:textId="3C3700EE" w:rsidR="00D740B8" w:rsidRPr="0038259E" w:rsidRDefault="003D54AC">
            <w:pPr>
              <w:spacing w:before="120" w:after="120"/>
              <w:jc w:val="both"/>
              <w:rPr>
                <w:rStyle w:val="InstructionsTabelleberschrift"/>
                <w:rFonts w:ascii="Times New Roman" w:eastAsia="Times New Roman" w:hAnsi="Times New Roman"/>
                <w:bCs w:val="0"/>
                <w:sz w:val="24"/>
              </w:rPr>
            </w:pPr>
            <w:r w:rsidRPr="0038259E">
              <w:rPr>
                <w:rFonts w:ascii="Times New Roman" w:hAnsi="Times New Roman"/>
                <w:sz w:val="24"/>
              </w:rPr>
              <w:t xml:space="preserve">Der Gesamtbetrag der durch operationelle Risiken bedingten Verluste abzüglich des Betrags der Rückflüsse, die sich aus Verlustereignissen ergeben, die den Schwellenwert für Verlustereignisse von 100 000 EUR überschreiten, </w:t>
            </w:r>
            <w:r w:rsidRPr="0038259E">
              <w:rPr>
                <w:rFonts w:ascii="Times New Roman" w:hAnsi="Times New Roman"/>
                <w:sz w:val="24"/>
              </w:rPr>
              <w:lastRenderedPageBreak/>
              <w:t>für jeden der letzten zehn Berichtszeiträume, einschließlich der Verluste aufgrund von Verschmelzungen und Übernahmen. Verluste aufgrund eines gemeinsamen durch operationelle Risiken bedingten Ereignisses oder aufgrund von multiplen Ereignissen, die mit demselben durch operationelle Risiken bedingten Ereignis zusammenhängen, aber in verschiedenen Geschäftsjahren erfasst werden, sind zusammenzufassen, um zu bestimmen, ob der Schwellenwert für die Offenlegung überschritten wird oder nicht. Außergewöhnliche durch operationelle Risiken bedingte Ereignisse des Jahres, die für das Risikoprofil des Instituts nicht mehr relevant sind und für die das Institut von der zuständigen Behörde die Erlaubnis erhalten hat, sie gemäß Artikel 320 Absatz 1 der Verordnung (EU) Nr. 575/2013 von der Berechnung des durch operationelle Risiken bedingten jährlichen Verlusts auszunehmen, sind bei der Berechnung des Postens für diese Zeile dennoch zu berücksichtigen.</w:t>
            </w:r>
          </w:p>
        </w:tc>
      </w:tr>
      <w:tr w:rsidR="00D740B8" w:rsidRPr="0038259E"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Gesamtzahl der durch operationelle Risiken bedingten Verluste</w:t>
            </w:r>
          </w:p>
          <w:p w14:paraId="7AD8EE0D" w14:textId="092E19E2" w:rsidR="00D740B8" w:rsidRPr="0038259E" w:rsidRDefault="00D740B8">
            <w:pPr>
              <w:spacing w:before="120" w:after="120"/>
              <w:jc w:val="both"/>
              <w:rPr>
                <w:rFonts w:ascii="Times New Roman" w:eastAsia="Times New Roman" w:hAnsi="Times New Roman" w:cs="Times New Roman"/>
                <w:sz w:val="24"/>
              </w:rPr>
            </w:pPr>
            <w:r w:rsidRPr="0038259E">
              <w:rPr>
                <w:rFonts w:ascii="Times New Roman" w:hAnsi="Times New Roman"/>
                <w:sz w:val="24"/>
              </w:rPr>
              <w:t>Artikel 446 Absatz 2 Buchstabe a und Artikel 316 Absatz 1 der Verordnung (EU) Nr. 575/2013.</w:t>
            </w:r>
          </w:p>
          <w:p w14:paraId="6F316B8B" w14:textId="6ABB567B" w:rsidR="00D740B8" w:rsidRPr="0038259E" w:rsidRDefault="00471410">
            <w:pPr>
              <w:spacing w:before="120" w:after="120"/>
              <w:jc w:val="both"/>
              <w:rPr>
                <w:rStyle w:val="InstructionsTabelleberschrift"/>
                <w:rFonts w:ascii="Times New Roman" w:eastAsia="Times New Roman" w:hAnsi="Times New Roman"/>
                <w:bCs w:val="0"/>
                <w:sz w:val="24"/>
              </w:rPr>
            </w:pPr>
            <w:r w:rsidRPr="0038259E">
              <w:rPr>
                <w:rFonts w:ascii="Times New Roman" w:hAnsi="Times New Roman"/>
                <w:sz w:val="24"/>
              </w:rPr>
              <w:t>Die Gesamtzahl der durch operationelle Risiken bedingten Verluste, die den Schwellenwert für Verlustereignisse von 100 000 EUR überschreiten.</w:t>
            </w:r>
          </w:p>
        </w:tc>
      </w:tr>
      <w:tr w:rsidR="00D740B8" w:rsidRPr="0038259E"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38259E" w:rsidRDefault="00D740B8">
            <w:pPr>
              <w:spacing w:before="120" w:after="120"/>
              <w:jc w:val="both"/>
              <w:rPr>
                <w:rFonts w:ascii="Times New Roman" w:eastAsia="Times New Roman" w:hAnsi="Times New Roman" w:cs="Times New Roman"/>
                <w:b/>
                <w:sz w:val="24"/>
              </w:rPr>
            </w:pPr>
            <w:r w:rsidRPr="0038259E">
              <w:rPr>
                <w:rFonts w:ascii="Times New Roman" w:hAnsi="Times New Roman"/>
                <w:b/>
                <w:sz w:val="24"/>
              </w:rPr>
              <w:t>Gesamtbetrag der ausgenommenen durch operationelle Risiken bedingten Verluste</w:t>
            </w:r>
          </w:p>
          <w:p w14:paraId="71DECF65" w14:textId="48A395A5" w:rsidR="00D740B8" w:rsidRPr="0038259E" w:rsidRDefault="00D740B8">
            <w:pPr>
              <w:spacing w:before="120" w:after="120"/>
              <w:rPr>
                <w:rFonts w:ascii="Times New Roman" w:eastAsia="Times New Roman" w:hAnsi="Times New Roman" w:cs="Times New Roman"/>
                <w:sz w:val="24"/>
              </w:rPr>
            </w:pPr>
            <w:r w:rsidRPr="0038259E">
              <w:rPr>
                <w:rFonts w:ascii="Times New Roman" w:hAnsi="Times New Roman"/>
                <w:sz w:val="24"/>
              </w:rPr>
              <w:t>Artikel 446 Absatz 2 Buchstabe b und Artikel 320 Absatz 1 der Verordnung (EU) Nr. 575/2013.</w:t>
            </w:r>
          </w:p>
          <w:p w14:paraId="0BC74916" w14:textId="396B699A" w:rsidR="00D740B8" w:rsidRPr="0038259E" w:rsidRDefault="003D54AC">
            <w:pPr>
              <w:spacing w:before="120" w:after="120"/>
              <w:jc w:val="both"/>
              <w:rPr>
                <w:rStyle w:val="InstructionsTabelleberschrift"/>
                <w:rFonts w:ascii="Times New Roman" w:eastAsia="Times New Roman" w:hAnsi="Times New Roman"/>
                <w:bCs w:val="0"/>
                <w:sz w:val="24"/>
              </w:rPr>
            </w:pPr>
            <w:r w:rsidRPr="0038259E">
              <w:rPr>
                <w:rFonts w:ascii="Times New Roman" w:hAnsi="Times New Roman"/>
                <w:sz w:val="24"/>
              </w:rPr>
              <w:t>Die gesamten Nettoverlustbeträge, die den Schwellenwert für Verlustereignisse von 100 000 EUR überschreiten und gemäß Artikel 320 Absatz 1 der Verordnung (EU) Nr. 575/2013 ausgenommen wurden, für jeden der letzten zehn Berichtszeiträume.</w:t>
            </w:r>
          </w:p>
        </w:tc>
      </w:tr>
      <w:tr w:rsidR="00D740B8" w:rsidRPr="0038259E"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38259E" w:rsidRDefault="00D740B8">
            <w:pPr>
              <w:spacing w:before="12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Gesamtzahl der ausgenommenen durch operationelle Risiken bedingten Ereignisse</w:t>
            </w:r>
          </w:p>
          <w:p w14:paraId="2B56754D" w14:textId="46B0AAAA" w:rsidR="00D740B8" w:rsidRPr="0038259E" w:rsidRDefault="00D740B8">
            <w:pPr>
              <w:spacing w:before="120" w:after="120"/>
              <w:rPr>
                <w:rFonts w:ascii="Times New Roman" w:eastAsia="Times New Roman" w:hAnsi="Times New Roman" w:cs="Times New Roman"/>
                <w:sz w:val="24"/>
              </w:rPr>
            </w:pPr>
            <w:r w:rsidRPr="0038259E">
              <w:rPr>
                <w:rFonts w:ascii="Times New Roman" w:hAnsi="Times New Roman"/>
                <w:sz w:val="24"/>
              </w:rPr>
              <w:t>Artikel 446 Absatz 2 Buchstabe b und Artikel 320 Absatz 1 der Verordnung (EU) Nr. 575/2013.</w:t>
            </w:r>
          </w:p>
          <w:p w14:paraId="2EDEC8CA" w14:textId="252B783D" w:rsidR="00D740B8" w:rsidRPr="0038259E" w:rsidRDefault="00471410">
            <w:pPr>
              <w:spacing w:before="120" w:after="120"/>
              <w:jc w:val="both"/>
              <w:rPr>
                <w:rStyle w:val="InstructionsTabelleberschrift"/>
                <w:rFonts w:ascii="Times New Roman" w:eastAsia="Times New Roman" w:hAnsi="Times New Roman"/>
                <w:bCs w:val="0"/>
                <w:sz w:val="24"/>
              </w:rPr>
            </w:pPr>
            <w:r w:rsidRPr="0038259E">
              <w:rPr>
                <w:rFonts w:ascii="Times New Roman" w:hAnsi="Times New Roman"/>
                <w:sz w:val="24"/>
              </w:rPr>
              <w:t>Die Gesamtzahl der außergewöhnlichen durch operationelle Risiken bedingten Ereignisse, die den Schwellenwert für Verlustereignisse von 100 000 EUR überschreiten und gemäß Artikel 320 Absatz 1 der Verordnung (EU) Nr. 575/2013 ausgenommen wurden, für jeden der letzten zehn Berichtszeiträume.</w:t>
            </w:r>
          </w:p>
        </w:tc>
      </w:tr>
      <w:tr w:rsidR="00D740B8" w:rsidRPr="0038259E"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38259E" w:rsidRDefault="00D740B8">
            <w:pPr>
              <w:spacing w:before="12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Gesamtbetrag der durch operationelle Risiken bedingten Verluste nach Abzug von Rückflüssen und abzüglich ausgenommener Verluste</w:t>
            </w:r>
          </w:p>
          <w:p w14:paraId="65622881" w14:textId="32C07686" w:rsidR="00D740B8" w:rsidRPr="0038259E" w:rsidRDefault="006943D3">
            <w:pPr>
              <w:spacing w:before="120" w:after="120"/>
              <w:jc w:val="both"/>
              <w:rPr>
                <w:rStyle w:val="InstructionsTabelleberschrift"/>
                <w:rFonts w:ascii="Times New Roman" w:eastAsia="Times New Roman" w:hAnsi="Times New Roman"/>
                <w:bCs w:val="0"/>
                <w:sz w:val="24"/>
              </w:rPr>
            </w:pPr>
            <w:r w:rsidRPr="0038259E">
              <w:rPr>
                <w:rFonts w:ascii="Times New Roman" w:hAnsi="Times New Roman"/>
                <w:sz w:val="24"/>
              </w:rPr>
              <w:t>In dieser Zeile ist der Gesamtbetrag der durch operationelle Risiken bedingten Verluste abzüglich des in Zeile 6 offengelegten Betrags der Rückflüsse und abzüglich des in Zeile 8 offengelegten Betrags der ausgenommenen Verluste offenzulegen.</w:t>
            </w:r>
          </w:p>
        </w:tc>
      </w:tr>
      <w:tr w:rsidR="00D740B8" w:rsidRPr="0038259E"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38259E" w:rsidRDefault="00D740B8">
            <w:pPr>
              <w:autoSpaceDE w:val="0"/>
              <w:autoSpaceDN w:val="0"/>
              <w:adjustRightInd w:val="0"/>
              <w:spacing w:before="120" w:after="120"/>
              <w:rPr>
                <w:rStyle w:val="InstructionsTabelleberschrift"/>
                <w:rFonts w:ascii="Times New Roman" w:eastAsia="Times New Roman" w:hAnsi="Times New Roman"/>
                <w:bCs w:val="0"/>
                <w:sz w:val="24"/>
              </w:rPr>
            </w:pPr>
            <w:proofErr w:type="gramStart"/>
            <w:r w:rsidRPr="0038259E">
              <w:rPr>
                <w:rFonts w:ascii="Times New Roman" w:hAnsi="Times New Roman"/>
                <w:sz w:val="24"/>
              </w:rPr>
              <w:t>Nicht zutreffend</w:t>
            </w:r>
            <w:proofErr w:type="gramEnd"/>
            <w:r w:rsidRPr="0038259E">
              <w:rPr>
                <w:rFonts w:ascii="Times New Roman" w:hAnsi="Times New Roman"/>
                <w:sz w:val="24"/>
              </w:rPr>
              <w:t>.</w:t>
            </w:r>
          </w:p>
        </w:tc>
      </w:tr>
      <w:tr w:rsidR="00D740B8" w:rsidRPr="0038259E"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38259E" w:rsidRDefault="00D740B8">
            <w:pPr>
              <w:spacing w:before="120" w:after="120"/>
              <w:jc w:val="both"/>
              <w:rPr>
                <w:rStyle w:val="InstructionsTabelleberschrift"/>
                <w:rFonts w:ascii="Times New Roman" w:eastAsia="Times New Roman" w:hAnsi="Times New Roman"/>
                <w:b w:val="0"/>
                <w:bCs w:val="0"/>
                <w:sz w:val="24"/>
                <w:u w:val="none"/>
              </w:rPr>
            </w:pPr>
            <w:proofErr w:type="gramStart"/>
            <w:r w:rsidRPr="0038259E">
              <w:rPr>
                <w:rStyle w:val="InstructionsTabelleberschrift"/>
                <w:rFonts w:ascii="Times New Roman" w:hAnsi="Times New Roman"/>
                <w:b w:val="0"/>
                <w:sz w:val="24"/>
                <w:u w:val="none"/>
              </w:rPr>
              <w:t>Nicht zutreffend</w:t>
            </w:r>
            <w:proofErr w:type="gramEnd"/>
            <w:r w:rsidRPr="0038259E">
              <w:rPr>
                <w:rStyle w:val="InstructionsTabelleberschrift"/>
                <w:rFonts w:ascii="Times New Roman" w:hAnsi="Times New Roman"/>
                <w:b w:val="0"/>
                <w:sz w:val="24"/>
                <w:u w:val="none"/>
              </w:rPr>
              <w:t>.</w:t>
            </w:r>
          </w:p>
        </w:tc>
      </w:tr>
      <w:tr w:rsidR="00D740B8" w:rsidRPr="0038259E"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38259E" w:rsidRDefault="00D740B8">
            <w:pPr>
              <w:spacing w:before="120" w:after="120"/>
              <w:jc w:val="both"/>
              <w:rPr>
                <w:rStyle w:val="InstructionsTabelleberschrift"/>
                <w:rFonts w:ascii="Times New Roman" w:eastAsia="Times New Roman" w:hAnsi="Times New Roman"/>
                <w:b w:val="0"/>
                <w:bCs w:val="0"/>
                <w:sz w:val="24"/>
                <w:u w:val="none"/>
              </w:rPr>
            </w:pPr>
            <w:proofErr w:type="gramStart"/>
            <w:r w:rsidRPr="0038259E">
              <w:rPr>
                <w:rStyle w:val="InstructionsTabelleberschrift"/>
                <w:rFonts w:ascii="Times New Roman" w:hAnsi="Times New Roman"/>
                <w:b w:val="0"/>
                <w:sz w:val="24"/>
                <w:u w:val="none"/>
              </w:rPr>
              <w:t>Nicht zutreffend</w:t>
            </w:r>
            <w:proofErr w:type="gramEnd"/>
            <w:r w:rsidRPr="0038259E">
              <w:rPr>
                <w:rStyle w:val="InstructionsTabelleberschrift"/>
                <w:rFonts w:ascii="Times New Roman" w:hAnsi="Times New Roman"/>
                <w:b w:val="0"/>
                <w:sz w:val="24"/>
                <w:u w:val="none"/>
              </w:rPr>
              <w:t>.</w:t>
            </w:r>
          </w:p>
        </w:tc>
      </w:tr>
    </w:tbl>
    <w:p w14:paraId="25A698B0" w14:textId="77777777" w:rsidR="00D740B8" w:rsidRPr="0038259E" w:rsidRDefault="00D740B8" w:rsidP="00D740B8">
      <w:pPr>
        <w:pStyle w:val="InstructionsText2"/>
        <w:numPr>
          <w:ilvl w:val="0"/>
          <w:numId w:val="0"/>
        </w:numPr>
        <w:ind w:left="360"/>
        <w:rPr>
          <w:lang w:val="en-US"/>
        </w:rPr>
      </w:pPr>
    </w:p>
    <w:p w14:paraId="033C5861" w14:textId="77777777" w:rsidR="00D740B8" w:rsidRPr="0038259E" w:rsidRDefault="00D740B8" w:rsidP="00D740B8">
      <w:pPr>
        <w:jc w:val="both"/>
        <w:rPr>
          <w:rFonts w:ascii="Times New Roman" w:hAnsi="Times New Roman" w:cs="Times New Roman"/>
          <w:bCs/>
          <w:sz w:val="24"/>
        </w:rPr>
      </w:pPr>
      <w:r w:rsidRPr="0038259E">
        <w:rPr>
          <w:rFonts w:ascii="Times New Roman" w:hAnsi="Times New Roman"/>
          <w:b/>
          <w:sz w:val="24"/>
        </w:rPr>
        <w:t xml:space="preserve">Meldebogen EU OR2 – Geschäftsindikator, Komponenten und Unterkomponenten. </w:t>
      </w:r>
      <w:r w:rsidRPr="0038259E">
        <w:rPr>
          <w:rFonts w:ascii="Times New Roman" w:hAnsi="Times New Roman"/>
          <w:sz w:val="24"/>
        </w:rPr>
        <w:t>Format: Unveränderlich</w:t>
      </w:r>
    </w:p>
    <w:p w14:paraId="3D173CCF" w14:textId="77777777" w:rsidR="00D740B8" w:rsidRPr="0038259E" w:rsidRDefault="00D740B8" w:rsidP="00D740B8">
      <w:pPr>
        <w:ind w:left="360"/>
        <w:jc w:val="both"/>
        <w:rPr>
          <w:rFonts w:ascii="Times New Roman" w:hAnsi="Times New Roman" w:cs="Times New Roman"/>
          <w:bCs/>
          <w:sz w:val="24"/>
        </w:rPr>
      </w:pPr>
    </w:p>
    <w:p w14:paraId="3F849430" w14:textId="414C531B"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Die Institute haben die im Meldebogen EU OR2 verlangten Angaben gemäß Artikel 446 Absatz 1 Buchstaben c und d der Verordnung (EU) Nr. 575/2013 offenzulegen. Dieser Meldebogen liefert Informationen zur Berechnung der Geschäftsindikatorkomponente (BIC) gemäß Artikel 313 der Verordnung (EU) Nr. 575/2013 sowie zur Berechnung von Geschäftsindikator (BI), Komponenten und Unterkomponenten gemäß Artikel 314 der Verordnung (EU) Nr. 575/2013. Darüber hinaus liefert dieser Meldebogen auch Informationen zu den Beträgen, die sich auf veräußerte Unternehmen oder Geschäftsbereiche beziehen und gemäß Artikel 315 Absatz 2 vom Geschäftsindikator ausgenommen werden.</w:t>
      </w:r>
    </w:p>
    <w:p w14:paraId="5C35CEC0" w14:textId="77777777" w:rsidR="00D740B8" w:rsidRPr="0038259E" w:rsidRDefault="00D740B8" w:rsidP="00D740B8">
      <w:pPr>
        <w:ind w:left="360"/>
        <w:jc w:val="both"/>
        <w:rPr>
          <w:rFonts w:ascii="Times New Roman" w:hAnsi="Times New Roman" w:cs="Times New Roman"/>
          <w:bCs/>
          <w:sz w:val="24"/>
        </w:rPr>
      </w:pPr>
    </w:p>
    <w:p w14:paraId="1749895F" w14:textId="07869965"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Die Institute haben für die letzten drei Geschäftsjahre Informationen über den Betrag der entsprechenden Liste der Posten offenzulegen, die für die Berechnung der Unterkomponenten des Geschäftsindikators (BI) erforderlich sind, die zur Berechnung der Eigenmittelanforderungen für operationelle Risiken herangezogen werden.</w:t>
      </w:r>
    </w:p>
    <w:p w14:paraId="7B27D162" w14:textId="77777777" w:rsidR="00D740B8" w:rsidRPr="0038259E" w:rsidRDefault="00D740B8" w:rsidP="00D740B8">
      <w:pPr>
        <w:pStyle w:val="ListParagraph"/>
        <w:rPr>
          <w:rFonts w:ascii="Times New Roman" w:hAnsi="Times New Roman"/>
          <w:bCs/>
          <w:sz w:val="24"/>
        </w:rPr>
      </w:pPr>
    </w:p>
    <w:p w14:paraId="41988E91" w14:textId="281D16EA"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Gemäß Artikel 314 Absatz 8 der Verordnung (EU) Nr. 575/2013 haben die Institute, wenn keine historischen Daten verfügbar sind, zukunftsgerichtete Schätzungen zu melden.</w:t>
      </w:r>
    </w:p>
    <w:p w14:paraId="14A23528" w14:textId="485ED75C" w:rsidR="00D740B8" w:rsidRPr="0038259E" w:rsidRDefault="00D740B8" w:rsidP="00D740B8">
      <w:pPr>
        <w:pStyle w:val="numberedparagraph"/>
        <w:numPr>
          <w:ilvl w:val="0"/>
          <w:numId w:val="1"/>
        </w:numPr>
        <w:rPr>
          <w:rFonts w:ascii="Times New Roman" w:hAnsi="Times New Roman" w:cs="Times New Roman"/>
          <w:sz w:val="24"/>
        </w:rPr>
      </w:pPr>
      <w:r w:rsidRPr="0038259E">
        <w:rPr>
          <w:rFonts w:ascii="Times New Roman" w:hAnsi="Times New Roman"/>
          <w:sz w:val="24"/>
        </w:rPr>
        <w:t>Wenn Instituten für einen Zeitraum von weniger als drei Jahren Daten zu den detaillierten Posten, die in die Komponenten des Geschäftsindikators (BI) einfließen, zur Verfügung stehen, sind die verfügbaren historischen Daten nach Priorität den entsprechenden Spalten des Meldebogens zuzuweisen. Verfügen Institute nur über historische Daten zu den Komponenten des Geschäftsindikators (BI) für ein Jahr, sind die Werte in der Spalte für das letzte Jahr (z. B. „letztes Jahr“) zu melden. Sofern dies angemessen erscheint, sind die zukunftsgerichteten Schätzungen in die Spalten für das Jahr -2 bzw. das Jahr -3 aufzunehmen, bis diese Daten verfügbar sind.</w:t>
      </w:r>
    </w:p>
    <w:p w14:paraId="2DDE0943" w14:textId="7F04DC41" w:rsidR="00D740B8" w:rsidRPr="0038259E" w:rsidRDefault="00D740B8" w:rsidP="00D740B8">
      <w:pPr>
        <w:pStyle w:val="numberedparagraph"/>
        <w:numPr>
          <w:ilvl w:val="0"/>
          <w:numId w:val="1"/>
        </w:numPr>
        <w:rPr>
          <w:rFonts w:ascii="Times New Roman" w:hAnsi="Times New Roman" w:cs="Times New Roman"/>
          <w:sz w:val="24"/>
        </w:rPr>
      </w:pPr>
      <w:r w:rsidRPr="0038259E">
        <w:rPr>
          <w:rFonts w:ascii="Times New Roman" w:hAnsi="Times New Roman"/>
          <w:sz w:val="24"/>
        </w:rPr>
        <w:t>Die Institute dürfen in die Unterposten, die Teil der Berechnung der Zins-, Leasing- und Dividendenkomponente (ILDC) sind, keine Zahlenangaben zu den spezifischen Tochterinstituten aufnehmen, deren ILDC gemäß Artikel 314 Absatz 3 der Verordnung (EU) Nr. 575/2013 gesondert zu berechnen ist.</w:t>
      </w:r>
    </w:p>
    <w:p w14:paraId="3512454B" w14:textId="27224DC8" w:rsidR="00841A0D"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Die Institute dürfen in die Unterposten, die Teil der Berechnung der Zins-, Leasing- und Dividendenkomponente (ILDC) sind, keine Werte aus den Geschäftsfeldern Privatkundengeschäft bzw. Firmenkundengeschäft aufnehmen, wenn das Institut die Erlaubnis zur Anwendung von Artikel 314 Absatz 4 der Verordnung (EU) Nr. 575/2013 erhalten hat.</w:t>
      </w:r>
    </w:p>
    <w:p w14:paraId="22AE3E22" w14:textId="77777777" w:rsidR="00841A0D" w:rsidRPr="0038259E" w:rsidRDefault="00841A0D" w:rsidP="00841A0D">
      <w:pPr>
        <w:ind w:left="360"/>
        <w:jc w:val="both"/>
        <w:rPr>
          <w:rFonts w:ascii="Times New Roman" w:hAnsi="Times New Roman" w:cs="Times New Roman"/>
          <w:bCs/>
          <w:sz w:val="24"/>
        </w:rPr>
      </w:pPr>
    </w:p>
    <w:p w14:paraId="3A161EFD" w14:textId="7882B43A" w:rsidR="00D740B8" w:rsidRPr="0038259E" w:rsidRDefault="003826D3" w:rsidP="00D740B8">
      <w:pPr>
        <w:numPr>
          <w:ilvl w:val="0"/>
          <w:numId w:val="1"/>
        </w:numPr>
        <w:jc w:val="both"/>
        <w:rPr>
          <w:rFonts w:ascii="Times New Roman" w:hAnsi="Times New Roman" w:cs="Times New Roman"/>
          <w:bCs/>
          <w:sz w:val="24"/>
        </w:rPr>
      </w:pPr>
      <w:r w:rsidRPr="0038259E">
        <w:rPr>
          <w:rFonts w:ascii="Times New Roman" w:hAnsi="Times New Roman"/>
          <w:sz w:val="24"/>
        </w:rPr>
        <w:lastRenderedPageBreak/>
        <w:t>Die Institute müssen jedoch in Zeile 1 den Gesamtbetrag der ILDC einschließlich der gemäß Artikel 314 Absatz 3 der Verordnung (EU) Nr. 575/2013 berechneten Beträge angeben. In Zeile EU 1 wird auch die ILDC ohne die in Artikel 314 Absatz 3 genannten Unternehmen ausgewiesen.</w:t>
      </w:r>
    </w:p>
    <w:p w14:paraId="7DAFACF8" w14:textId="77777777" w:rsidR="00D740B8" w:rsidRPr="0038259E" w:rsidRDefault="00D740B8" w:rsidP="00D740B8">
      <w:pPr>
        <w:ind w:left="360"/>
        <w:jc w:val="both"/>
        <w:rPr>
          <w:rFonts w:ascii="Times New Roman" w:hAnsi="Times New Roman" w:cs="Times New Roman"/>
          <w:bCs/>
          <w:sz w:val="24"/>
        </w:rPr>
      </w:pPr>
    </w:p>
    <w:p w14:paraId="578B96DC" w14:textId="494916C5" w:rsidR="00D740B8" w:rsidRPr="0038259E" w:rsidRDefault="00D740B8" w:rsidP="00D740B8">
      <w:pPr>
        <w:numPr>
          <w:ilvl w:val="0"/>
          <w:numId w:val="1"/>
        </w:numPr>
        <w:jc w:val="both"/>
        <w:rPr>
          <w:rFonts w:ascii="Times New Roman" w:hAnsi="Times New Roman" w:cs="Times New Roman"/>
          <w:bCs/>
          <w:sz w:val="24"/>
        </w:rPr>
      </w:pPr>
      <w:r w:rsidRPr="0038259E">
        <w:rPr>
          <w:rFonts w:ascii="Times New Roman" w:hAnsi="Times New Roman"/>
          <w:sz w:val="24"/>
        </w:rPr>
        <w:t>In den begleitenden Erläuterungen haben die Institute gemäß Artikel 446 Absatz 1 der Verordnung (EU) Nr. 575/2013 die Begründungen für die jeweiligen Beträge, die vom Geschäftsindikator ausgenommen werden, offenzulegen. Dies gilt nicht für die in Artikel 314 Absatz 4 vorgesehenen Ausnahmen für die Geschäftsfelder Privatkundengeschäft und Firmenkundengeschäft.</w:t>
      </w:r>
    </w:p>
    <w:p w14:paraId="22C673C4" w14:textId="77777777" w:rsidR="00393FEF" w:rsidRPr="0038259E" w:rsidRDefault="00393FEF" w:rsidP="00532CFA">
      <w:pPr>
        <w:pStyle w:val="ListParagraph"/>
        <w:rPr>
          <w:rFonts w:ascii="Times New Roman" w:hAnsi="Times New Roman"/>
          <w:bCs/>
          <w:sz w:val="24"/>
        </w:rPr>
      </w:pPr>
    </w:p>
    <w:p w14:paraId="7DD11602" w14:textId="2BC0B288" w:rsidR="00393FEF" w:rsidRPr="0038259E" w:rsidRDefault="006020C0" w:rsidP="00D740B8">
      <w:pPr>
        <w:numPr>
          <w:ilvl w:val="0"/>
          <w:numId w:val="1"/>
        </w:numPr>
        <w:jc w:val="both"/>
        <w:rPr>
          <w:rFonts w:ascii="Times New Roman" w:hAnsi="Times New Roman" w:cs="Times New Roman"/>
          <w:bCs/>
          <w:sz w:val="24"/>
        </w:rPr>
      </w:pPr>
      <w:r w:rsidRPr="0038259E">
        <w:rPr>
          <w:rFonts w:ascii="Times New Roman" w:hAnsi="Times New Roman"/>
          <w:sz w:val="24"/>
        </w:rPr>
        <w:t xml:space="preserve">Aufgrund der engen Verbindung zwischen den Pflichten zur Offenlegung operationeller Risiken und den Jahresabschlüssen des Instituts werden Verweise auf die Meldepflichten gemäß Anhang V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FINREP der EBA in den Erläuterungen durchgängig wiedergegeben.</w:t>
      </w:r>
    </w:p>
    <w:p w14:paraId="1D4913E2" w14:textId="77777777" w:rsidR="00DD1D82" w:rsidRPr="0038259E" w:rsidRDefault="00DD1D82" w:rsidP="00DD1D82">
      <w:pPr>
        <w:pStyle w:val="ListParagraph"/>
        <w:rPr>
          <w:rFonts w:ascii="Times New Roman" w:hAnsi="Times New Roman"/>
          <w:bCs/>
          <w:sz w:val="24"/>
        </w:rPr>
      </w:pPr>
    </w:p>
    <w:p w14:paraId="11E51AFD" w14:textId="3D720718" w:rsidR="00DD1D82" w:rsidRPr="0038259E" w:rsidRDefault="00050ABA" w:rsidP="001257B6">
      <w:pPr>
        <w:numPr>
          <w:ilvl w:val="0"/>
          <w:numId w:val="1"/>
        </w:numPr>
        <w:jc w:val="both"/>
        <w:rPr>
          <w:rFonts w:ascii="Times New Roman" w:hAnsi="Times New Roman" w:cs="Times New Roman"/>
          <w:bCs/>
          <w:sz w:val="24"/>
        </w:rPr>
      </w:pPr>
      <w:r w:rsidRPr="0038259E">
        <w:rPr>
          <w:rFonts w:ascii="Times New Roman" w:hAnsi="Times New Roman"/>
          <w:sz w:val="24"/>
        </w:rPr>
        <w:t xml:space="preserve">Die für das Ausfüllen dieses Meldebogens zu verwendenden Vorzeichenkonventionen haben im Einklang mit den in Anhang V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aufgeführten Konventionen zu stehen.</w:t>
      </w:r>
    </w:p>
    <w:p w14:paraId="21275E00" w14:textId="77777777" w:rsidR="00D740B8" w:rsidRPr="0038259E"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38259E" w14:paraId="069EA903" w14:textId="77777777">
        <w:trPr>
          <w:trHeight w:val="300"/>
        </w:trPr>
        <w:tc>
          <w:tcPr>
            <w:tcW w:w="1260" w:type="dxa"/>
            <w:shd w:val="clear" w:color="auto" w:fill="BFBFBF" w:themeFill="background1" w:themeFillShade="BF"/>
          </w:tcPr>
          <w:p w14:paraId="7E4DE4F0" w14:textId="77777777" w:rsidR="00D740B8" w:rsidRPr="0038259E" w:rsidRDefault="00D740B8">
            <w:pPr>
              <w:autoSpaceDE w:val="0"/>
              <w:autoSpaceDN w:val="0"/>
              <w:adjustRightInd w:val="0"/>
              <w:rPr>
                <w:rFonts w:ascii="Times New Roman" w:hAnsi="Times New Roman" w:cs="Times New Roman"/>
                <w:b/>
                <w:sz w:val="24"/>
              </w:rPr>
            </w:pPr>
            <w:r w:rsidRPr="0038259E">
              <w:rPr>
                <w:rFonts w:ascii="Times New Roman" w:hAnsi="Times New Roman"/>
                <w:b/>
                <w:sz w:val="24"/>
              </w:rPr>
              <w:t>Spalte</w:t>
            </w:r>
          </w:p>
        </w:tc>
        <w:tc>
          <w:tcPr>
            <w:tcW w:w="7756" w:type="dxa"/>
            <w:shd w:val="clear" w:color="auto" w:fill="BFBFBF" w:themeFill="background1" w:themeFillShade="BF"/>
          </w:tcPr>
          <w:p w14:paraId="0D54BB35" w14:textId="77777777" w:rsidR="00D740B8" w:rsidRPr="0038259E" w:rsidDel="00B46ADB" w:rsidRDefault="00D740B8">
            <w:pPr>
              <w:autoSpaceDE w:val="0"/>
              <w:autoSpaceDN w:val="0"/>
              <w:adjustRightInd w:val="0"/>
              <w:rPr>
                <w:bCs/>
              </w:rPr>
            </w:pPr>
            <w:r w:rsidRPr="0038259E">
              <w:rPr>
                <w:rFonts w:ascii="Times New Roman" w:hAnsi="Times New Roman"/>
                <w:b/>
                <w:sz w:val="24"/>
              </w:rPr>
              <w:t>Rechtsgrundlagen und Erläuterungen</w:t>
            </w:r>
          </w:p>
        </w:tc>
      </w:tr>
      <w:tr w:rsidR="00D740B8" w:rsidRPr="0038259E" w14:paraId="7AE7216D" w14:textId="77777777">
        <w:trPr>
          <w:trHeight w:val="300"/>
        </w:trPr>
        <w:tc>
          <w:tcPr>
            <w:tcW w:w="1260" w:type="dxa"/>
          </w:tcPr>
          <w:p w14:paraId="0FC699E1" w14:textId="0D76C831" w:rsidR="00D740B8" w:rsidRPr="0038259E" w:rsidRDefault="00D740B8" w:rsidP="00165BEF">
            <w:pPr>
              <w:autoSpaceDE w:val="0"/>
              <w:autoSpaceDN w:val="0"/>
              <w:adjustRightInd w:val="0"/>
              <w:jc w:val="center"/>
              <w:rPr>
                <w:rFonts w:ascii="Times New Roman" w:hAnsi="Times New Roman"/>
                <w:bCs/>
                <w:sz w:val="24"/>
              </w:rPr>
            </w:pPr>
            <w:r w:rsidRPr="0038259E">
              <w:rPr>
                <w:rFonts w:ascii="Times New Roman" w:hAnsi="Times New Roman"/>
                <w:sz w:val="24"/>
              </w:rPr>
              <w:t>a, b, c</w:t>
            </w:r>
          </w:p>
        </w:tc>
        <w:tc>
          <w:tcPr>
            <w:tcW w:w="7756" w:type="dxa"/>
          </w:tcPr>
          <w:p w14:paraId="510A12A5" w14:textId="13FB6D98" w:rsidR="00D740B8" w:rsidRPr="0038259E" w:rsidRDefault="00D740B8">
            <w:pPr>
              <w:autoSpaceDE w:val="0"/>
              <w:autoSpaceDN w:val="0"/>
              <w:adjustRightInd w:val="0"/>
              <w:rPr>
                <w:rStyle w:val="InstructionsTabelleberschrift"/>
                <w:rFonts w:ascii="Times New Roman" w:hAnsi="Times New Roman"/>
                <w:sz w:val="24"/>
                <w:u w:val="none"/>
              </w:rPr>
            </w:pPr>
            <w:r w:rsidRPr="0038259E">
              <w:rPr>
                <w:rStyle w:val="InstructionsTabelleberschrift"/>
                <w:rFonts w:ascii="Times New Roman" w:hAnsi="Times New Roman"/>
                <w:sz w:val="24"/>
                <w:u w:val="none"/>
              </w:rPr>
              <w:t>Wert</w:t>
            </w:r>
          </w:p>
          <w:p w14:paraId="0A7A2FD7" w14:textId="77777777" w:rsidR="00D740B8" w:rsidRPr="0038259E" w:rsidRDefault="00D740B8">
            <w:pPr>
              <w:rPr>
                <w:rFonts w:ascii="Times New Roman" w:hAnsi="Times New Roman"/>
                <w:sz w:val="24"/>
                <w:lang w:eastAsia="de-DE"/>
              </w:rPr>
            </w:pPr>
          </w:p>
          <w:p w14:paraId="0C8A142A" w14:textId="4CAB13C5" w:rsidR="00D740B8" w:rsidRPr="0038259E" w:rsidRDefault="00D740B8">
            <w:pPr>
              <w:autoSpaceDE w:val="0"/>
              <w:autoSpaceDN w:val="0"/>
              <w:adjustRightInd w:val="0"/>
              <w:rPr>
                <w:rFonts w:ascii="Times New Roman" w:hAnsi="Times New Roman" w:cs="Times New Roman"/>
                <w:bCs/>
                <w:sz w:val="24"/>
              </w:rPr>
            </w:pPr>
            <w:r w:rsidRPr="0038259E">
              <w:rPr>
                <w:rFonts w:ascii="Times New Roman" w:hAnsi="Times New Roman"/>
                <w:sz w:val="24"/>
              </w:rPr>
              <w:t>Artikel 446 Absatz 1 Buchstabe d und Artikel 314 Absatz 1 der Verordnung (EU) Nr. 575/2013.</w:t>
            </w:r>
          </w:p>
          <w:p w14:paraId="7883915F" w14:textId="77777777" w:rsidR="00D740B8" w:rsidRPr="0038259E" w:rsidRDefault="00D740B8">
            <w:pPr>
              <w:autoSpaceDE w:val="0"/>
              <w:autoSpaceDN w:val="0"/>
              <w:adjustRightInd w:val="0"/>
              <w:rPr>
                <w:rFonts w:ascii="Times New Roman" w:hAnsi="Times New Roman"/>
                <w:bCs/>
                <w:sz w:val="24"/>
                <w:lang w:eastAsia="nl-BE"/>
              </w:rPr>
            </w:pPr>
          </w:p>
          <w:p w14:paraId="558CD9DA" w14:textId="2FA81485" w:rsidR="00EA10B1" w:rsidRPr="0038259E" w:rsidRDefault="002F3CFA">
            <w:pPr>
              <w:pStyle w:val="paragraph"/>
              <w:spacing w:before="0" w:beforeAutospacing="0" w:after="0" w:afterAutospacing="0"/>
              <w:textAlignment w:val="baseline"/>
            </w:pPr>
            <w:r w:rsidRPr="0038259E">
              <w:t>Der Wert für die Liste der Posten, die in die Berechnung des Geschäftsindikators (BI) und seiner Komponenten (Zins-, Leasing- und Dividendenkomponente (ILDC), Dienstleistungskomponente (SC) und Finanzkomponente (FC)) einfließen, gemäß den für jedes der letzten drei Geschäftsjahre geltenden Rechnungslegungsstandards.</w:t>
            </w:r>
          </w:p>
          <w:p w14:paraId="3414DDFE" w14:textId="77777777" w:rsidR="007B3E62" w:rsidRPr="0038259E" w:rsidRDefault="007B3E62">
            <w:pPr>
              <w:pStyle w:val="paragraph"/>
              <w:spacing w:before="0" w:beforeAutospacing="0" w:after="0" w:afterAutospacing="0"/>
              <w:textAlignment w:val="baseline"/>
              <w:rPr>
                <w:lang w:eastAsia="de-DE"/>
              </w:rPr>
            </w:pPr>
          </w:p>
          <w:p w14:paraId="374E1BCA" w14:textId="5E2803E9" w:rsidR="007B3E62" w:rsidRPr="0038259E" w:rsidRDefault="00B76B25">
            <w:pPr>
              <w:pStyle w:val="paragraph"/>
              <w:spacing w:before="0" w:beforeAutospacing="0" w:after="0" w:afterAutospacing="0"/>
              <w:textAlignment w:val="baseline"/>
            </w:pPr>
            <w:r w:rsidRPr="0038259E">
              <w:t>Die Beträge sind nach Anwendung der Anpassungen im Zusammenhang mit Verschmelzungen, Übernahmen und veräußerten Geschäftsbereichen anzugeben.</w:t>
            </w:r>
          </w:p>
          <w:p w14:paraId="00BACA37" w14:textId="77777777" w:rsidR="00EA10B1" w:rsidRPr="0038259E" w:rsidRDefault="00EA10B1">
            <w:pPr>
              <w:pStyle w:val="paragraph"/>
              <w:spacing w:before="0" w:beforeAutospacing="0" w:after="0" w:afterAutospacing="0"/>
              <w:textAlignment w:val="baseline"/>
              <w:rPr>
                <w:lang w:eastAsia="de-DE"/>
              </w:rPr>
            </w:pPr>
          </w:p>
          <w:p w14:paraId="21635601" w14:textId="1A8DE566" w:rsidR="00D740B8" w:rsidRPr="0038259E" w:rsidRDefault="00D740B8" w:rsidP="000F6C61">
            <w:pPr>
              <w:pStyle w:val="paragraph"/>
              <w:spacing w:before="0" w:beforeAutospacing="0" w:after="0" w:afterAutospacing="0"/>
              <w:textAlignment w:val="baseline"/>
            </w:pPr>
            <w:r w:rsidRPr="0038259E">
              <w:t>Im Falle der Finanzkomponente (FC) spiegelt der Wert entweder den nach dem Rechnungslegungsansatz ermittelten Buchwert oder den Buchwert bei Anwendung der aufsichtsrechtlichen Abgrenzung (Prudential Boundary Approach – PBA) zur Ermittlung der Posten des Handels- und des Anlagebuchs für die letzten drei Geschäftsjahre gemäß Artikel 314 Absatz 6 der Verordnung (EU) Nr. 575/2013 wider.</w:t>
            </w:r>
          </w:p>
        </w:tc>
      </w:tr>
      <w:tr w:rsidR="00D740B8" w:rsidRPr="0038259E" w14:paraId="3103AD05" w14:textId="77777777">
        <w:trPr>
          <w:trHeight w:val="300"/>
        </w:trPr>
        <w:tc>
          <w:tcPr>
            <w:tcW w:w="1260" w:type="dxa"/>
          </w:tcPr>
          <w:p w14:paraId="0FFA543A" w14:textId="77777777" w:rsidR="00D740B8" w:rsidRPr="0038259E" w:rsidRDefault="00D740B8" w:rsidP="00165BEF">
            <w:pPr>
              <w:autoSpaceDE w:val="0"/>
              <w:autoSpaceDN w:val="0"/>
              <w:adjustRightInd w:val="0"/>
              <w:jc w:val="center"/>
              <w:rPr>
                <w:rFonts w:ascii="Times New Roman" w:hAnsi="Times New Roman"/>
                <w:bCs/>
                <w:sz w:val="24"/>
              </w:rPr>
            </w:pPr>
            <w:r w:rsidRPr="0038259E">
              <w:rPr>
                <w:rFonts w:ascii="Times New Roman" w:hAnsi="Times New Roman"/>
                <w:sz w:val="24"/>
              </w:rPr>
              <w:t>d</w:t>
            </w:r>
          </w:p>
        </w:tc>
        <w:tc>
          <w:tcPr>
            <w:tcW w:w="7756" w:type="dxa"/>
          </w:tcPr>
          <w:p w14:paraId="117DF1D7" w14:textId="77777777" w:rsidR="00D740B8" w:rsidRPr="0038259E" w:rsidRDefault="00D740B8">
            <w:pPr>
              <w:autoSpaceDE w:val="0"/>
              <w:autoSpaceDN w:val="0"/>
              <w:adjustRightInd w:val="0"/>
              <w:rPr>
                <w:rStyle w:val="InstructionsTabelleberschrift"/>
                <w:rFonts w:ascii="Times New Roman" w:hAnsi="Times New Roman"/>
                <w:sz w:val="24"/>
                <w:u w:val="none"/>
              </w:rPr>
            </w:pPr>
            <w:r w:rsidRPr="0038259E">
              <w:rPr>
                <w:rStyle w:val="InstructionsTabelleberschrift"/>
                <w:rFonts w:ascii="Times New Roman" w:hAnsi="Times New Roman"/>
                <w:sz w:val="24"/>
                <w:u w:val="none"/>
              </w:rPr>
              <w:t>Durchschnittswerte</w:t>
            </w:r>
          </w:p>
          <w:p w14:paraId="27B3847F" w14:textId="77777777" w:rsidR="00D740B8" w:rsidRPr="0038259E" w:rsidRDefault="00D740B8">
            <w:pPr>
              <w:autoSpaceDE w:val="0"/>
              <w:autoSpaceDN w:val="0"/>
              <w:adjustRightInd w:val="0"/>
              <w:rPr>
                <w:rFonts w:ascii="Times New Roman" w:hAnsi="Times New Roman"/>
                <w:sz w:val="24"/>
                <w:lang w:eastAsia="de-DE"/>
              </w:rPr>
            </w:pPr>
          </w:p>
          <w:p w14:paraId="2CEEC93D" w14:textId="277817D6" w:rsidR="00D740B8" w:rsidRPr="0038259E" w:rsidRDefault="00D740B8">
            <w:pPr>
              <w:autoSpaceDE w:val="0"/>
              <w:autoSpaceDN w:val="0"/>
              <w:adjustRightInd w:val="0"/>
              <w:rPr>
                <w:rFonts w:ascii="Times New Roman" w:hAnsi="Times New Roman" w:cs="Times New Roman"/>
                <w:bCs/>
                <w:sz w:val="24"/>
              </w:rPr>
            </w:pPr>
            <w:r w:rsidRPr="0038259E">
              <w:rPr>
                <w:rFonts w:ascii="Times New Roman" w:hAnsi="Times New Roman"/>
                <w:sz w:val="24"/>
              </w:rPr>
              <w:t>Artikel 314 Absätze 2, 5 und 6 der Verordnung (EU) Nr. 575/2013.</w:t>
            </w:r>
          </w:p>
          <w:p w14:paraId="5FAAFF7A" w14:textId="77777777" w:rsidR="00D740B8" w:rsidRPr="0038259E" w:rsidRDefault="00D740B8">
            <w:pPr>
              <w:autoSpaceDE w:val="0"/>
              <w:autoSpaceDN w:val="0"/>
              <w:adjustRightInd w:val="0"/>
              <w:rPr>
                <w:rStyle w:val="InstructionsTabelleberschrift"/>
                <w:rFonts w:ascii="Times New Roman" w:hAnsi="Times New Roman"/>
                <w:sz w:val="24"/>
              </w:rPr>
            </w:pPr>
          </w:p>
          <w:p w14:paraId="3E17CEC0" w14:textId="402AFA6E" w:rsidR="00D740B8" w:rsidRPr="0038259E" w:rsidRDefault="00D740B8">
            <w:pPr>
              <w:pStyle w:val="paragraph"/>
              <w:spacing w:before="0" w:beforeAutospacing="0" w:after="0" w:afterAutospacing="0"/>
              <w:textAlignment w:val="baseline"/>
              <w:rPr>
                <w:rStyle w:val="normaltextrun"/>
              </w:rPr>
            </w:pPr>
            <w:r w:rsidRPr="0038259E">
              <w:rPr>
                <w:rStyle w:val="normaltextrun"/>
              </w:rPr>
              <w:t>Die berechneten Werte der Komponenten ILDC, SC und FC und der Durchschnittswert ihrer zugehörigen Unterkomponenten, berechnet über die letzten drei Geschäftsjahre und bezogen auf das Jahr T.</w:t>
            </w:r>
          </w:p>
          <w:p w14:paraId="32637704" w14:textId="35682543" w:rsidR="00D740B8" w:rsidRPr="0038259E" w:rsidRDefault="00D740B8">
            <w:pPr>
              <w:pStyle w:val="paragraph"/>
              <w:spacing w:before="0" w:beforeAutospacing="0" w:after="0" w:afterAutospacing="0"/>
              <w:textAlignment w:val="baseline"/>
              <w:rPr>
                <w:rStyle w:val="normaltextrun"/>
              </w:rPr>
            </w:pPr>
          </w:p>
          <w:p w14:paraId="6C270BFC" w14:textId="453723AA" w:rsidR="00D740B8" w:rsidRPr="0038259E"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38259E">
              <w:rPr>
                <w:rStyle w:val="normaltextrun"/>
              </w:rPr>
              <w:lastRenderedPageBreak/>
              <w:t xml:space="preserve">Der Durchschnitt wird unter Berücksichtigung der Buchwerte für jedes der letzten drei Jahre berechnet. </w:t>
            </w:r>
          </w:p>
        </w:tc>
      </w:tr>
    </w:tbl>
    <w:p w14:paraId="75117700" w14:textId="77777777" w:rsidR="00D740B8" w:rsidRPr="0038259E"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38259E"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38259E" w:rsidRDefault="00D740B8">
            <w:pPr>
              <w:autoSpaceDE w:val="0"/>
              <w:autoSpaceDN w:val="0"/>
              <w:adjustRightInd w:val="0"/>
              <w:rPr>
                <w:rFonts w:ascii="Times New Roman" w:hAnsi="Times New Roman" w:cs="Times New Roman"/>
                <w:b/>
                <w:sz w:val="24"/>
              </w:rPr>
            </w:pPr>
            <w:r w:rsidRPr="0038259E">
              <w:rPr>
                <w:rFonts w:ascii="Times New Roman" w:hAnsi="Times New Roman"/>
                <w:b/>
                <w:sz w:val="24"/>
              </w:rPr>
              <w:t>Zeile</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38259E" w:rsidRDefault="00D740B8">
            <w:pPr>
              <w:rPr>
                <w:rFonts w:ascii="Times New Roman" w:hAnsi="Times New Roman" w:cs="Times New Roman"/>
                <w:b/>
                <w:sz w:val="24"/>
              </w:rPr>
            </w:pPr>
            <w:r w:rsidRPr="0038259E">
              <w:rPr>
                <w:rFonts w:ascii="Times New Roman" w:hAnsi="Times New Roman"/>
                <w:b/>
                <w:sz w:val="24"/>
              </w:rPr>
              <w:t>Rechtsgrundlagen und Erläuterungen</w:t>
            </w:r>
          </w:p>
        </w:tc>
      </w:tr>
      <w:tr w:rsidR="00D740B8" w:rsidRPr="0038259E"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38259E" w:rsidRDefault="00D740B8">
            <w:pPr>
              <w:spacing w:before="60" w:after="120"/>
              <w:jc w:val="both"/>
              <w:rPr>
                <w:rFonts w:ascii="Times New Roman" w:eastAsia="Times New Roman" w:hAnsi="Times New Roman" w:cs="Times New Roman"/>
                <w:b/>
                <w:sz w:val="24"/>
              </w:rPr>
            </w:pPr>
            <w:r w:rsidRPr="0038259E">
              <w:rPr>
                <w:rFonts w:ascii="Times New Roman" w:hAnsi="Times New Roman"/>
                <w:b/>
                <w:sz w:val="24"/>
              </w:rPr>
              <w:t>Zins-, Leasing- und Dividendenkomponente (ILDC)</w:t>
            </w:r>
          </w:p>
          <w:p w14:paraId="78381763" w14:textId="2625CE0B" w:rsidR="00D740B8" w:rsidRPr="0038259E" w:rsidRDefault="00D740B8">
            <w:pPr>
              <w:spacing w:before="60" w:after="120"/>
              <w:jc w:val="both"/>
              <w:rPr>
                <w:rFonts w:ascii="Times New Roman" w:eastAsia="Times New Roman" w:hAnsi="Times New Roman" w:cs="Times New Roman"/>
                <w:b/>
                <w:sz w:val="24"/>
              </w:rPr>
            </w:pPr>
            <w:r w:rsidRPr="0038259E">
              <w:rPr>
                <w:rFonts w:ascii="Times New Roman" w:hAnsi="Times New Roman"/>
                <w:sz w:val="24"/>
              </w:rPr>
              <w:t xml:space="preserve">Die Zins-, Leasing- und Dividendenkomponente (Interest, Lease and Dividend </w:t>
            </w:r>
            <w:proofErr w:type="spellStart"/>
            <w:r w:rsidRPr="0038259E">
              <w:rPr>
                <w:rFonts w:ascii="Times New Roman" w:hAnsi="Times New Roman"/>
                <w:sz w:val="24"/>
              </w:rPr>
              <w:t>component</w:t>
            </w:r>
            <w:proofErr w:type="spellEnd"/>
            <w:r w:rsidRPr="0038259E">
              <w:rPr>
                <w:rFonts w:ascii="Times New Roman" w:hAnsi="Times New Roman"/>
                <w:sz w:val="24"/>
              </w:rPr>
              <w:t>, ILDC) ist nach Artikel 314 Absatz 2 der Verordnung (EU) Nr. 575/2013 zu berechnen, gegebenenfalls einschließlich der gemäß Artikel 314 Absatz 3 der Verordnung (EU) Nr. 575/2013 berechneten Beträge. Findet für ein Institut die Ausnahmeregelung gemäß Artikel 314 Absatz 4 der Verordnung (EU) Nr. 575/2013 Anwendung, darf das Institut keine Werte aus den Geschäftsfeldern Privatkundengeschäft und Firmenkundengeschäft aufnehmen.</w:t>
            </w:r>
          </w:p>
        </w:tc>
      </w:tr>
      <w:tr w:rsidR="00456F97" w:rsidRPr="0038259E"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38259E" w:rsidRDefault="00E03FA1">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38259E" w:rsidRDefault="00E2624F">
            <w:pPr>
              <w:spacing w:before="60" w:after="120"/>
              <w:jc w:val="both"/>
              <w:rPr>
                <w:rFonts w:ascii="Times New Roman" w:eastAsia="Times New Roman" w:hAnsi="Times New Roman" w:cs="Times New Roman"/>
                <w:b/>
                <w:sz w:val="24"/>
              </w:rPr>
            </w:pPr>
            <w:r w:rsidRPr="0038259E">
              <w:rPr>
                <w:rFonts w:ascii="Times New Roman" w:hAnsi="Times New Roman"/>
                <w:b/>
                <w:sz w:val="24"/>
              </w:rPr>
              <w:t>ILDC für das einzelne Institut/die konsolidierte Gruppe (ohne die in Artikel 314 Absatz 3 genannten Unternehmen)</w:t>
            </w:r>
          </w:p>
          <w:p w14:paraId="3B4A0231" w14:textId="6A33703B" w:rsidR="00E2624F" w:rsidRPr="0038259E" w:rsidRDefault="00E2624F" w:rsidP="00413B96">
            <w:pPr>
              <w:rPr>
                <w:rFonts w:ascii="Times New Roman" w:hAnsi="Times New Roman"/>
                <w:color w:val="000000" w:themeColor="text1"/>
                <w:sz w:val="24"/>
              </w:rPr>
            </w:pPr>
            <w:r w:rsidRPr="0038259E">
              <w:rPr>
                <w:rFonts w:ascii="Times New Roman" w:hAnsi="Times New Roman"/>
                <w:sz w:val="24"/>
              </w:rPr>
              <w:t>Die gemäß Artikel 314 Absatz 2 der Verordnung (EU) Nr. 575/2013 berechnete Zins-, Leasing- und Dividendenkomponente (ILDC) ohne Berücksichtigung von Zahlen, die in den Fällen, in denen das Institut die Ausnahmeregelung nach Artikel 314 Absatz 3 der Verordnung (EU) Nr. 575/2013 anwendet, in die Berechnung der ILDC einfließen.</w:t>
            </w:r>
          </w:p>
        </w:tc>
      </w:tr>
      <w:tr w:rsidR="00D740B8" w:rsidRPr="0038259E"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38259E" w:rsidRDefault="00D740B8">
            <w:pPr>
              <w:spacing w:before="60" w:after="120"/>
              <w:jc w:val="both"/>
              <w:rPr>
                <w:rFonts w:ascii="Times New Roman" w:eastAsia="Times New Roman" w:hAnsi="Times New Roman" w:cs="Times New Roman"/>
                <w:b/>
                <w:sz w:val="24"/>
              </w:rPr>
            </w:pPr>
            <w:r w:rsidRPr="0038259E">
              <w:rPr>
                <w:rFonts w:ascii="Times New Roman" w:hAnsi="Times New Roman"/>
                <w:b/>
                <w:sz w:val="24"/>
              </w:rPr>
              <w:t>Zins- und Leasingerträge</w:t>
            </w:r>
          </w:p>
          <w:p w14:paraId="33CCD1CB" w14:textId="130AE220" w:rsidR="00BD248A" w:rsidRPr="0038259E" w:rsidRDefault="00D740B8">
            <w:pPr>
              <w:rPr>
                <w:rFonts w:ascii="Times New Roman" w:eastAsia="Times New Roman" w:hAnsi="Times New Roman" w:cs="Times New Roman"/>
                <w:sz w:val="24"/>
              </w:rPr>
            </w:pPr>
            <w:r w:rsidRPr="0038259E">
              <w:rPr>
                <w:rFonts w:ascii="Times New Roman" w:hAnsi="Times New Roman"/>
                <w:sz w:val="24"/>
              </w:rPr>
              <w:t xml:space="preserve">Summe aus Zinserträgen aus allen finanziellen Vermögenswerten, sonstigen Erträgen aus geleasten Vermögenswerten und Gewinnen aus geleasten Vermögenswerten gemäß Anhang V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w:t>
            </w:r>
          </w:p>
          <w:p w14:paraId="76D4A1E7" w14:textId="77777777" w:rsidR="00BD248A" w:rsidRPr="0038259E" w:rsidRDefault="00BD248A">
            <w:pPr>
              <w:rPr>
                <w:rFonts w:ascii="Times New Roman" w:eastAsia="Times New Roman" w:hAnsi="Times New Roman" w:cs="Times New Roman"/>
                <w:sz w:val="24"/>
              </w:rPr>
            </w:pPr>
          </w:p>
          <w:p w14:paraId="19841383" w14:textId="08257E38" w:rsidR="00F5221D" w:rsidRPr="0038259E" w:rsidRDefault="004F220F">
            <w:pPr>
              <w:rPr>
                <w:rFonts w:ascii="Times New Roman" w:eastAsia="Times New Roman" w:hAnsi="Times New Roman" w:cs="Times New Roman"/>
                <w:sz w:val="24"/>
              </w:rPr>
            </w:pPr>
            <w:r w:rsidRPr="0038259E">
              <w:rPr>
                <w:rFonts w:ascii="Times New Roman" w:hAnsi="Times New Roman"/>
                <w:sz w:val="24"/>
              </w:rPr>
              <w:t xml:space="preserve">Die Zinserträge aus allen finanziellen Vermögenswerten sind zu berechnen gemäß Anhang V Teil 2 Absatz 31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und unter Beachtung der weiteren Vorgaben aus Anhang V Teil 2 Absätze 187, 189 und 194ii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w:t>
            </w:r>
          </w:p>
          <w:p w14:paraId="55B6FFE6" w14:textId="77777777" w:rsidR="00F5221D" w:rsidRPr="0038259E" w:rsidRDefault="00F5221D">
            <w:pPr>
              <w:rPr>
                <w:rFonts w:ascii="Times New Roman" w:eastAsia="Times New Roman" w:hAnsi="Times New Roman" w:cs="Times New Roman"/>
                <w:sz w:val="24"/>
              </w:rPr>
            </w:pPr>
          </w:p>
          <w:p w14:paraId="00ED9136" w14:textId="12CD18AE" w:rsidR="00E76AA5" w:rsidRPr="0038259E" w:rsidRDefault="00F5221D" w:rsidP="007535CB">
            <w:pPr>
              <w:rPr>
                <w:rFonts w:ascii="Times New Roman" w:eastAsia="Times New Roman" w:hAnsi="Times New Roman" w:cs="Times New Roman"/>
                <w:sz w:val="24"/>
              </w:rPr>
            </w:pPr>
            <w:r w:rsidRPr="0038259E">
              <w:rPr>
                <w:rFonts w:ascii="Times New Roman" w:hAnsi="Times New Roman"/>
                <w:sz w:val="24"/>
              </w:rPr>
              <w:t xml:space="preserve">Sonstige Erträge aus geleasten Vermögenswerten (Finanzierungs- und Operating-Leasingverhältnisse) dürfen keine Zinserträge umfassen. Dieser Betrag ist gemäß Anhang V Teil 2 Absätze 314 und 315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zu berechnen und umfasst Folgendes: i) Erträge aus Änderungen des beizulegenden Zeitwerts von als Finanzinvestition gehaltenen Immobilien, die Mieteinnahmen generieren und nach dem Modell des beizulegenden Zeitwertes bewertet werden; und/oder ii) Einnahmen aus Operating-Leasingverhältnissen, einschließlich Mieteinnahmen aus als Finanzinvestition gehaltenen Immobilien;</w:t>
            </w:r>
          </w:p>
          <w:p w14:paraId="6C1BE770" w14:textId="77777777" w:rsidR="007535CB" w:rsidRPr="0038259E" w:rsidRDefault="007535CB" w:rsidP="007535CB">
            <w:pPr>
              <w:rPr>
                <w:rFonts w:ascii="Times New Roman" w:eastAsia="Times New Roman" w:hAnsi="Times New Roman" w:cs="Times New Roman"/>
                <w:sz w:val="24"/>
              </w:rPr>
            </w:pPr>
          </w:p>
          <w:p w14:paraId="742C7468" w14:textId="3A50C109" w:rsidR="00D740B8" w:rsidRPr="0038259E" w:rsidRDefault="00BB0B3D" w:rsidP="004F34D4">
            <w:pPr>
              <w:rPr>
                <w:rFonts w:ascii="Times New Roman" w:eastAsia="Times New Roman" w:hAnsi="Times New Roman" w:cs="Times New Roman"/>
                <w:sz w:val="24"/>
              </w:rPr>
            </w:pPr>
            <w:r w:rsidRPr="0038259E">
              <w:rPr>
                <w:rFonts w:ascii="Times New Roman" w:hAnsi="Times New Roman"/>
                <w:sz w:val="24"/>
              </w:rPr>
              <w:t xml:space="preserve">Gewinne aus geleasten Vermögenswerten (Finanzierungs- und Operating-Leasingverhältnisse) umfassen: i) die Gewinne aus Änderungen von Leasingverhältnissen gemäß Anhang V Teil 2 Absatz 49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ii) die übrigen sonstigen betrieblichen Erträge (Sonstige betriebliche Erträge) gemäß Anhang V Teil 2 Absätze 314 und 316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w:t>
            </w:r>
            <w:r w:rsidRPr="0038259E">
              <w:rPr>
                <w:rFonts w:ascii="Times New Roman" w:hAnsi="Times New Roman"/>
                <w:sz w:val="24"/>
              </w:rPr>
              <w:lastRenderedPageBreak/>
              <w:t>EBA, wenn sie mit geleasten Vermögenswerten (Finanzierungs- und Operating-Leasingverhältnisse) in Zusammenhang stehen.</w:t>
            </w:r>
          </w:p>
        </w:tc>
      </w:tr>
      <w:tr w:rsidR="00D740B8" w:rsidRPr="0038259E"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38259E" w:rsidRDefault="00D740B8">
            <w:pPr>
              <w:spacing w:before="60" w:after="120"/>
              <w:jc w:val="both"/>
              <w:rPr>
                <w:rFonts w:ascii="Times New Roman" w:eastAsia="Times New Roman" w:hAnsi="Times New Roman" w:cs="Times New Roman"/>
                <w:b/>
                <w:sz w:val="24"/>
              </w:rPr>
            </w:pPr>
            <w:r w:rsidRPr="0038259E">
              <w:rPr>
                <w:rFonts w:ascii="Times New Roman" w:hAnsi="Times New Roman"/>
                <w:b/>
                <w:sz w:val="24"/>
              </w:rPr>
              <w:t>Zins- und Leasingaufwendungen</w:t>
            </w:r>
          </w:p>
          <w:p w14:paraId="65B73157" w14:textId="72BA8427" w:rsidR="00EC1398" w:rsidRPr="0038259E" w:rsidRDefault="00D740B8">
            <w:pPr>
              <w:rPr>
                <w:rFonts w:ascii="Times New Roman" w:eastAsia="Times New Roman" w:hAnsi="Times New Roman" w:cs="Times New Roman"/>
                <w:sz w:val="24"/>
              </w:rPr>
            </w:pPr>
            <w:r w:rsidRPr="0038259E">
              <w:rPr>
                <w:rFonts w:ascii="Times New Roman" w:hAnsi="Times New Roman"/>
                <w:sz w:val="24"/>
              </w:rPr>
              <w:t xml:space="preserve">Summe aus Zinsaufwendungen für alle finanziellen Verbindlichkeiten, Aufwendungen für geleaste Vermögenswerte und Abschreibungen, Wertminderungen und Verluste von geleasten Vermögenswerten gemäß Anhang V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w:t>
            </w:r>
          </w:p>
          <w:p w14:paraId="06CEDDA9" w14:textId="77777777" w:rsidR="00BA33C3" w:rsidRPr="0038259E" w:rsidRDefault="00BA33C3">
            <w:pPr>
              <w:rPr>
                <w:rFonts w:ascii="Times New Roman" w:eastAsia="Times New Roman" w:hAnsi="Times New Roman" w:cs="Times New Roman"/>
                <w:sz w:val="24"/>
              </w:rPr>
            </w:pPr>
          </w:p>
          <w:p w14:paraId="3ACFF991" w14:textId="1BCDC8C4" w:rsidR="00BA33C3" w:rsidRPr="0038259E" w:rsidRDefault="00BA33C3">
            <w:pPr>
              <w:rPr>
                <w:rFonts w:ascii="Times New Roman" w:eastAsia="Times New Roman" w:hAnsi="Times New Roman" w:cs="Times New Roman"/>
                <w:sz w:val="24"/>
              </w:rPr>
            </w:pPr>
            <w:r w:rsidRPr="0038259E">
              <w:rPr>
                <w:rFonts w:ascii="Times New Roman" w:hAnsi="Times New Roman"/>
                <w:sz w:val="24"/>
              </w:rPr>
              <w:t xml:space="preserve">Die Zinsaufwendungen für alle finanziellen Verbindlichkeiten sind zu berechnen gemäß Anhang V Teil 2 Absatz 31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und unter Beachtung der weiteren Vorgaben aus Anhang V Teil 2 Absätze 188, 190 und 194ii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Zinsaufwendungen, die sich aus durch operationelle Risiken bedingten Ereignissen ergeben, sind hier nicht auszuweisen. Stattdessen sind sie gemäß Artikel 314 Absatz 5 der Verordnung (EU) Nr. 575/2013 in der Dienstleistungskomponente zu berücksichtigen.</w:t>
            </w:r>
          </w:p>
          <w:p w14:paraId="2D079DF5" w14:textId="77777777" w:rsidR="003D0A4B" w:rsidRPr="0038259E" w:rsidRDefault="003D0A4B">
            <w:pPr>
              <w:rPr>
                <w:rFonts w:ascii="Times New Roman" w:eastAsia="Times New Roman" w:hAnsi="Times New Roman" w:cs="Times New Roman"/>
                <w:sz w:val="24"/>
              </w:rPr>
            </w:pPr>
          </w:p>
          <w:p w14:paraId="08A94531" w14:textId="1EA15404" w:rsidR="003D0A4B" w:rsidRPr="0038259E" w:rsidRDefault="003D0A4B" w:rsidP="00D136A0">
            <w:pPr>
              <w:rPr>
                <w:rFonts w:ascii="Times New Roman" w:eastAsia="Times New Roman" w:hAnsi="Times New Roman" w:cs="Times New Roman"/>
                <w:sz w:val="24"/>
              </w:rPr>
            </w:pPr>
            <w:r w:rsidRPr="0038259E">
              <w:rPr>
                <w:rFonts w:ascii="Times New Roman" w:hAnsi="Times New Roman"/>
                <w:sz w:val="24"/>
              </w:rPr>
              <w:t xml:space="preserve">Die Aufwendungen für geleaste Vermögenswerte (Operating-Leasingverhältnisse) umfassen die Aufwendungen gemäß Anhang V Teil 2 Absätze 314 und 315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im Zusammenhang mit Operating-Leasingverhältnissen. Dazu gehören: i) Aufwendungen für Änderungen des beizulegenden Zeitwerts von als Finanzinvestition gehaltenen Immobilien, die Mieteinnahmen generieren und nach dem Modell des beizulegenden Zeitwerts für operativ geleaste Vermögenswerten bewertet werden; und ii) Aufwendungen für Operating-Leasingverhältnisse, einschließlich direkter betrieblicher Aufwendungen für als Finanzinvestition gehaltene Immobilien, die Mieteinnahmen generieren. Darüber hinaus sollten die Institute hier auch sonstige Verwaltungsaufwendungen für operativ geleaste Vermögenswerte gemäß Anhang V Teil 2 Absatz 208ix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berücksichtigen. Aufwendungen, die sich aus durch operationelle Risiken bedingten Ereignissen ergeben, sind hier nicht auszuweisen. Stattdessen sind sie gemäß Artikel 314 Absatz 5 der Verordnung (EU) Nr. 575/2013 in der Dienstleistungskomponente zu berücksichtigen.</w:t>
            </w:r>
          </w:p>
          <w:p w14:paraId="61020FEC" w14:textId="77777777" w:rsidR="00376B14" w:rsidRPr="0038259E" w:rsidRDefault="00376B14">
            <w:pPr>
              <w:rPr>
                <w:rFonts w:ascii="Times New Roman" w:eastAsia="Times New Roman" w:hAnsi="Times New Roman" w:cs="Times New Roman"/>
                <w:sz w:val="24"/>
              </w:rPr>
            </w:pPr>
          </w:p>
          <w:p w14:paraId="5D976FDD" w14:textId="0FB08478" w:rsidR="00376B14" w:rsidRPr="0038259E" w:rsidRDefault="00376B14">
            <w:pPr>
              <w:rPr>
                <w:rFonts w:ascii="Times New Roman" w:eastAsia="Times New Roman" w:hAnsi="Times New Roman" w:cs="Times New Roman"/>
                <w:sz w:val="24"/>
              </w:rPr>
            </w:pPr>
            <w:r w:rsidRPr="0038259E">
              <w:rPr>
                <w:rFonts w:ascii="Times New Roman" w:hAnsi="Times New Roman"/>
                <w:sz w:val="24"/>
              </w:rPr>
              <w:t>Die Abschreibung für geleaste Vermögenswerte entspricht den Abschreibungsaufwendungen wie gemäß den International Accounting Standard (IAS) 1 Paragrafen 102 und 104 gemeldet, jedoch nur für operativ geleaste Vermögenswerte, deren Erträge oder Aufwendungen in die Berechnung der Zinserträge/-aufwendungen einbezogen werden.</w:t>
            </w:r>
          </w:p>
          <w:p w14:paraId="5D82FC67" w14:textId="77777777" w:rsidR="00DA24A2" w:rsidRPr="0038259E" w:rsidRDefault="00DA24A2">
            <w:pPr>
              <w:rPr>
                <w:rFonts w:ascii="Times New Roman" w:eastAsia="Times New Roman" w:hAnsi="Times New Roman" w:cs="Times New Roman"/>
                <w:sz w:val="24"/>
              </w:rPr>
            </w:pPr>
          </w:p>
          <w:p w14:paraId="1D89DE9C" w14:textId="6D7B59E2" w:rsidR="00DA24A2" w:rsidRPr="0038259E" w:rsidRDefault="00DA24A2">
            <w:pPr>
              <w:rPr>
                <w:rFonts w:ascii="Times New Roman" w:eastAsia="Times New Roman" w:hAnsi="Times New Roman" w:cs="Times New Roman"/>
                <w:sz w:val="24"/>
              </w:rPr>
            </w:pPr>
            <w:r w:rsidRPr="0038259E">
              <w:rPr>
                <w:rFonts w:ascii="Times New Roman" w:hAnsi="Times New Roman"/>
                <w:sz w:val="24"/>
              </w:rPr>
              <w:t>Die Wertminderung geleaster Vermögenswerte entspricht den Aufwendungen für operativ geleaste Vermögenswerte, die eine Wertminderung oder Wertaufholung gemäß IAS 36 Paragraf 126 Buchstaben a und b aus operativ geleasten Vermögenswerten darstellen.</w:t>
            </w:r>
          </w:p>
          <w:p w14:paraId="11B36ACB" w14:textId="77777777" w:rsidR="00DA24A2" w:rsidRPr="0038259E" w:rsidRDefault="00DA24A2">
            <w:pPr>
              <w:rPr>
                <w:rFonts w:ascii="Times New Roman" w:eastAsia="Times New Roman" w:hAnsi="Times New Roman" w:cs="Times New Roman"/>
                <w:sz w:val="24"/>
              </w:rPr>
            </w:pPr>
          </w:p>
          <w:p w14:paraId="0FA351B6" w14:textId="470A5833" w:rsidR="00D740B8" w:rsidRPr="0038259E" w:rsidRDefault="00DA24A2" w:rsidP="004F34D4">
            <w:pPr>
              <w:rPr>
                <w:rFonts w:ascii="Times New Roman" w:hAnsi="Times New Roman"/>
                <w:sz w:val="24"/>
              </w:rPr>
            </w:pPr>
            <w:r w:rsidRPr="0038259E">
              <w:rPr>
                <w:rFonts w:ascii="Times New Roman" w:hAnsi="Times New Roman"/>
                <w:sz w:val="24"/>
              </w:rPr>
              <w:t xml:space="preserve">Verluste aus geleasten Vermögenswerten entsprechen gemäß Anhang V Teil 2 Abschnitt 29.3 Absatz 316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den übrigen sonstigen betrieblichen Aufwendungen (Sonstige betriebliche Aufwendungen), wenn sie mit operativ geleasten Vermögenswerten in Zusammenhang stehen. Verluste, die sich aus durch operationelle Risiken bedingten Ereignissen ergeben, sind </w:t>
            </w:r>
            <w:r w:rsidRPr="0038259E">
              <w:rPr>
                <w:rFonts w:ascii="Times New Roman" w:hAnsi="Times New Roman"/>
                <w:sz w:val="24"/>
              </w:rPr>
              <w:lastRenderedPageBreak/>
              <w:t>hier nicht auszuweisen. Stattdessen sind sie gemäß Artikel 314 Absatz 5 der Verordnung (EU) Nr. 575/2013 in der Dienstleistungskomponente zu berücksichtigen.</w:t>
            </w:r>
          </w:p>
        </w:tc>
      </w:tr>
      <w:tr w:rsidR="00D740B8" w:rsidRPr="0038259E"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38259E" w:rsidRDefault="00B76736">
            <w:pPr>
              <w:spacing w:before="60" w:after="120"/>
              <w:jc w:val="both"/>
              <w:rPr>
                <w:rStyle w:val="InstructionsTabelleberschrift"/>
                <w:rFonts w:ascii="Times New Roman" w:eastAsia="Times New Roman" w:hAnsi="Times New Roman"/>
                <w:sz w:val="24"/>
                <w:u w:val="none"/>
              </w:rPr>
            </w:pPr>
            <w:r w:rsidRPr="0038259E">
              <w:rPr>
                <w:rStyle w:val="InstructionsTabelleberschrift"/>
                <w:rFonts w:ascii="Times New Roman" w:hAnsi="Times New Roman"/>
                <w:sz w:val="24"/>
                <w:u w:val="none"/>
              </w:rPr>
              <w:t>Gesamtvermögenswerte/</w:t>
            </w:r>
            <w:proofErr w:type="spellStart"/>
            <w:r w:rsidRPr="0038259E">
              <w:rPr>
                <w:rStyle w:val="InstructionsTabelleberschrift"/>
                <w:rFonts w:ascii="Times New Roman" w:hAnsi="Times New Roman"/>
                <w:sz w:val="24"/>
                <w:u w:val="none"/>
              </w:rPr>
              <w:t>Aktivakomponente</w:t>
            </w:r>
            <w:proofErr w:type="spellEnd"/>
          </w:p>
          <w:p w14:paraId="15501679" w14:textId="3EB04379" w:rsidR="00D740B8" w:rsidRPr="0038259E" w:rsidRDefault="00B76736">
            <w:pPr>
              <w:spacing w:before="60" w:after="120"/>
              <w:jc w:val="both"/>
              <w:rPr>
                <w:rFonts w:ascii="Times New Roman" w:eastAsia="Times New Roman" w:hAnsi="Times New Roman" w:cs="Times New Roman"/>
                <w:sz w:val="24"/>
              </w:rPr>
            </w:pPr>
            <w:r w:rsidRPr="0038259E">
              <w:rPr>
                <w:rFonts w:ascii="Times New Roman" w:hAnsi="Times New Roman"/>
                <w:sz w:val="24"/>
              </w:rPr>
              <w:t xml:space="preserve">In Spalte d die </w:t>
            </w:r>
            <w:proofErr w:type="spellStart"/>
            <w:r w:rsidRPr="0038259E">
              <w:rPr>
                <w:rFonts w:ascii="Times New Roman" w:hAnsi="Times New Roman"/>
                <w:sz w:val="24"/>
              </w:rPr>
              <w:t>Aktivakomponente</w:t>
            </w:r>
            <w:proofErr w:type="spellEnd"/>
            <w:r w:rsidRPr="0038259E">
              <w:rPr>
                <w:rFonts w:ascii="Times New Roman" w:hAnsi="Times New Roman"/>
                <w:sz w:val="24"/>
              </w:rPr>
              <w:t xml:space="preserve"> wie gemäß Artikel 314 Absatz 2 der Verordnung (EU) Nr. 575/2013 berechnet.</w:t>
            </w:r>
          </w:p>
          <w:p w14:paraId="65FF56C9" w14:textId="24401D0D" w:rsidR="004E3E86" w:rsidRPr="0038259E" w:rsidRDefault="003E3201" w:rsidP="00373F9D">
            <w:pPr>
              <w:rPr>
                <w:rFonts w:ascii="Times New Roman" w:hAnsi="Times New Roman"/>
                <w:sz w:val="24"/>
              </w:rPr>
            </w:pPr>
            <w:r w:rsidRPr="0038259E">
              <w:rPr>
                <w:rFonts w:ascii="Times New Roman" w:hAnsi="Times New Roman"/>
                <w:sz w:val="24"/>
              </w:rPr>
              <w:t xml:space="preserve">In den anderen Spalten entsprechen die Gesamtvermögenswerte der Summe aus dem Bruttobuchwert der Guthaben bei Zentralbanken und Sichtguthaben, Schuldverschreibungen, Darlehen und Krediten sowie dem Buchwert von Derivaten (zu Handelszwecken und zur wirtschaftlichen Absicherung gehaltene Derivate und Derivate zur Bilanzierung von Sicherungsgeschäften) und Vermögenswerten, die Gegenstand von Leasingverhältnissen sind (materielle und immaterielle Vermögenswerte). Diese Posten beziehen sich auf Anhang V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w:t>
            </w:r>
          </w:p>
          <w:p w14:paraId="2655EEC4" w14:textId="6116BB66" w:rsidR="00BC1F18" w:rsidRPr="0038259E" w:rsidRDefault="00BC1F18" w:rsidP="00BC1F18">
            <w:pPr>
              <w:rPr>
                <w:rFonts w:ascii="Times New Roman" w:hAnsi="Times New Roman"/>
                <w:sz w:val="24"/>
              </w:rPr>
            </w:pPr>
          </w:p>
        </w:tc>
      </w:tr>
      <w:tr w:rsidR="00D740B8" w:rsidRPr="0038259E"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38259E" w:rsidRDefault="00B76736">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Dividendenerträge/Dividendenkomponente</w:t>
            </w:r>
          </w:p>
          <w:p w14:paraId="1A066B7B" w14:textId="4AA7538A" w:rsidR="00D740B8" w:rsidRPr="0038259E" w:rsidRDefault="00B76736" w:rsidP="004E3E86">
            <w:pPr>
              <w:spacing w:before="60" w:after="120"/>
              <w:jc w:val="both"/>
              <w:rPr>
                <w:rFonts w:ascii="Times New Roman" w:eastAsia="Times New Roman" w:hAnsi="Times New Roman" w:cs="Times New Roman"/>
                <w:sz w:val="24"/>
              </w:rPr>
            </w:pPr>
            <w:r w:rsidRPr="0038259E">
              <w:rPr>
                <w:rFonts w:ascii="Times New Roman" w:hAnsi="Times New Roman"/>
                <w:sz w:val="24"/>
              </w:rPr>
              <w:t>In Spalte d die Dividendenkomponente wie gemäß Artikel 314 Absatz 2 der Verordnung (EU) Nr. 575/2013 berechnet.</w:t>
            </w:r>
          </w:p>
          <w:p w14:paraId="3F4B342E" w14:textId="23DB8876" w:rsidR="004E3E86" w:rsidRPr="0038259E" w:rsidRDefault="004E3E86" w:rsidP="004E3E86">
            <w:pPr>
              <w:rPr>
                <w:rFonts w:ascii="Times New Roman" w:hAnsi="Times New Roman"/>
                <w:sz w:val="24"/>
              </w:rPr>
            </w:pPr>
            <w:r w:rsidRPr="0038259E">
              <w:rPr>
                <w:rFonts w:ascii="Times New Roman" w:hAnsi="Times New Roman"/>
                <w:sz w:val="24"/>
              </w:rPr>
              <w:t xml:space="preserve">Die Institute haben Dividendenerträge gemäß Anhang V Teil 2 Absätze 40 bis 42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zu melden.</w:t>
            </w:r>
          </w:p>
        </w:tc>
      </w:tr>
      <w:tr w:rsidR="003826D3" w:rsidRPr="0038259E"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38259E" w:rsidRDefault="003826D3" w:rsidP="003826D3">
            <w:pPr>
              <w:spacing w:before="60" w:after="120"/>
              <w:jc w:val="both"/>
              <w:rPr>
                <w:rFonts w:ascii="Times New Roman" w:eastAsia="Times New Roman" w:hAnsi="Times New Roman" w:cs="Times New Roman"/>
                <w:b/>
                <w:sz w:val="24"/>
              </w:rPr>
            </w:pPr>
            <w:r w:rsidRPr="0038259E">
              <w:rPr>
                <w:rFonts w:ascii="Times New Roman" w:hAnsi="Times New Roman"/>
                <w:b/>
                <w:sz w:val="24"/>
              </w:rPr>
              <w:t>Dienstleistungskomponente (SC)</w:t>
            </w:r>
          </w:p>
          <w:p w14:paraId="2D48B659" w14:textId="0264DFE4" w:rsidR="00080F37" w:rsidRPr="0038259E" w:rsidRDefault="005E7C4C"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Die nach Artikel 314 Absatz 5 der Verordnung (EU) Nr. 575/2013 berechnete Dienstleistungskomponente (SC).</w:t>
            </w:r>
          </w:p>
          <w:p w14:paraId="2EFCFDAF" w14:textId="3F07E77F" w:rsidR="003826D3" w:rsidRPr="0038259E" w:rsidRDefault="0094124B" w:rsidP="003826D3">
            <w:pPr>
              <w:spacing w:before="60" w:after="120"/>
              <w:jc w:val="both"/>
              <w:rPr>
                <w:rStyle w:val="InstructionsTabelleberschrift"/>
                <w:rFonts w:ascii="Times New Roman" w:eastAsia="Times New Roman" w:hAnsi="Times New Roman"/>
                <w:bCs w:val="0"/>
                <w:sz w:val="24"/>
              </w:rPr>
            </w:pPr>
            <w:r w:rsidRPr="0038259E">
              <w:rPr>
                <w:rFonts w:ascii="Times New Roman" w:hAnsi="Times New Roman"/>
                <w:sz w:val="24"/>
              </w:rPr>
              <w:t xml:space="preserve">Findet für ein Institut die Ausnahmeregelung gemäß Artikel 314 Absatz 4 der Verordnung (EU) Nr. 575/2013 Anwendung, darf das Institut keine Werte aus den Geschäftsfeldern Privatkundengeschäft und Firmenkundengeschäft aufnehmen. </w:t>
            </w:r>
          </w:p>
        </w:tc>
      </w:tr>
      <w:tr w:rsidR="003826D3" w:rsidRPr="0038259E"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38259E" w:rsidRDefault="003826D3" w:rsidP="003826D3">
            <w:pPr>
              <w:spacing w:before="60" w:after="120"/>
              <w:jc w:val="both"/>
              <w:rPr>
                <w:rFonts w:ascii="Times New Roman" w:eastAsia="Times New Roman" w:hAnsi="Times New Roman" w:cs="Times New Roman"/>
                <w:b/>
                <w:sz w:val="24"/>
              </w:rPr>
            </w:pPr>
            <w:r w:rsidRPr="0038259E">
              <w:rPr>
                <w:rFonts w:ascii="Times New Roman" w:hAnsi="Times New Roman"/>
                <w:b/>
                <w:sz w:val="24"/>
              </w:rPr>
              <w:t>Entgelt- und Kommissionserträge</w:t>
            </w:r>
          </w:p>
          <w:p w14:paraId="1394D6AF" w14:textId="06AD3617" w:rsidR="003826D3" w:rsidRPr="0038259E" w:rsidRDefault="009816D6"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 xml:space="preserve">Die Entgelt- und Kommissionserträge, auf die in Anhang V Teil 2 Absätze 281 bis 284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Bezug genommen wird, berechnet gemäß Artikel 314 Absatz 5 der Verordnung (EU) Nr. 575/2013.</w:t>
            </w:r>
          </w:p>
          <w:p w14:paraId="0EA5E8EE" w14:textId="07382D3A" w:rsidR="008D318E" w:rsidRPr="0038259E" w:rsidRDefault="008D318E"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Erträge aus Nebentätigkeiten wie IT-Tätigkeiten, die für die Erbringung einer Finanzdienstleistung erforderlich sind, sollten im Einklang mit Artikel 7 der gemäß Artikel 314 Absatz 9 der Verordnung (EU) Nr. 575/2013 auszuarbeitenden technischen Regulierungsstandards ebenfalls in diesen Posten aufgenommen werden.</w:t>
            </w:r>
          </w:p>
          <w:p w14:paraId="388F841F" w14:textId="1B0267DB" w:rsidR="00D91B18" w:rsidRPr="0038259E" w:rsidRDefault="007D3710" w:rsidP="003826D3">
            <w:pPr>
              <w:spacing w:before="60" w:after="120"/>
              <w:jc w:val="both"/>
              <w:rPr>
                <w:rStyle w:val="InstructionsTabelleberschrift"/>
                <w:rFonts w:ascii="Times New Roman" w:eastAsia="Times New Roman" w:hAnsi="Times New Roman"/>
                <w:b w:val="0"/>
                <w:bCs w:val="0"/>
                <w:sz w:val="24"/>
                <w:u w:val="none"/>
              </w:rPr>
            </w:pPr>
            <w:r w:rsidRPr="0038259E">
              <w:rPr>
                <w:rStyle w:val="InstructionsTabelleberschrift"/>
                <w:rFonts w:ascii="Times New Roman" w:hAnsi="Times New Roman"/>
                <w:b w:val="0"/>
                <w:sz w:val="24"/>
                <w:u w:val="none"/>
              </w:rPr>
              <w:t>Auszunehmen ist der Teil der Entgelt- und Kommissionserträge, der von Instituten erzielt wird, die Mitglieder desselben institutsbezogenen Sicherungssystems gemäß Artikel 314 Absatz 5 der Verordnung (EU) Nr. 575/2013 sind.</w:t>
            </w:r>
          </w:p>
        </w:tc>
      </w:tr>
      <w:tr w:rsidR="003826D3" w:rsidRPr="0038259E"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17F9F487" w:rsidR="003826D3" w:rsidRPr="0038259E" w:rsidRDefault="003826D3" w:rsidP="00AD4245">
            <w:pPr>
              <w:keepNext/>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2b</w:t>
            </w:r>
            <w:r w:rsidR="00AD4245">
              <w:rPr>
                <w:rFonts w:ascii="Times New Roman" w:hAnsi="Times New Roman"/>
                <w:b/>
                <w:sz w:val="24"/>
              </w:rPr>
              <w:t xml:space="preserve"> </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38259E" w:rsidRDefault="003826D3" w:rsidP="003826D3">
            <w:pPr>
              <w:spacing w:before="60" w:after="120"/>
              <w:jc w:val="both"/>
              <w:rPr>
                <w:rFonts w:ascii="Times New Roman" w:eastAsia="Times New Roman" w:hAnsi="Times New Roman" w:cs="Times New Roman"/>
                <w:b/>
                <w:sz w:val="24"/>
              </w:rPr>
            </w:pPr>
            <w:r w:rsidRPr="0038259E">
              <w:rPr>
                <w:rFonts w:ascii="Times New Roman" w:hAnsi="Times New Roman"/>
                <w:b/>
                <w:sz w:val="24"/>
              </w:rPr>
              <w:t>Entgelt- und Kommissionsaufwand</w:t>
            </w:r>
          </w:p>
          <w:p w14:paraId="241530E4" w14:textId="72E685E0" w:rsidR="003826D3" w:rsidRPr="0038259E" w:rsidRDefault="009816D6"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 xml:space="preserve">Der Entgelt- und Kommissionsaufwand, auf den in Anhang V Teil 2 Absätze 281 bis 284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Bezug genommen wird, berechnet gemäß Artikel 314 Absatz 5 der Verordnung (EU) Nr. 575/2013.</w:t>
            </w:r>
          </w:p>
          <w:p w14:paraId="03E34B08" w14:textId="2D67624D" w:rsidR="00126683" w:rsidRPr="0038259E" w:rsidRDefault="00126683"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In dieser Zeile sind die Entgelte offenzulegen, die für die Bereitstellung externer Finanzdienstleistungen entrichtet werden, die in der Liste der Tätigkeiten in Artikel 8 der gemäß Artikel 314 Absatz 9 der Verordnung (EU) Nr. 575/2013 auszuarbeitenden technischen Regulierungsstandards aufgeführt sind, sofern sie gemäß Artikel 16 der genannten technischen Regulierungsstandards nach dem angewandten Rechnungslegungsrahmen unter den Verwaltungsaufwendungen erfasst sind. Aufwendungen für Nebentätigkeiten wie etwa IT-Tätigkeiten, die für die Erbringung einer Finanzdienstleistung erforderlich sind, sollten ebenfalls unter diesem Posten erfasst werden.</w:t>
            </w:r>
          </w:p>
          <w:p w14:paraId="37B7C759" w14:textId="401F429B" w:rsidR="00A87543" w:rsidRPr="0038259E" w:rsidRDefault="00A87543" w:rsidP="003826D3">
            <w:pPr>
              <w:spacing w:before="60" w:after="120"/>
              <w:jc w:val="both"/>
              <w:rPr>
                <w:rStyle w:val="InstructionsTabelleberschrift"/>
                <w:rFonts w:ascii="Times New Roman" w:eastAsia="Times New Roman" w:hAnsi="Times New Roman"/>
                <w:b w:val="0"/>
                <w:sz w:val="24"/>
              </w:rPr>
            </w:pPr>
            <w:r w:rsidRPr="0038259E">
              <w:rPr>
                <w:rFonts w:ascii="Times New Roman" w:hAnsi="Times New Roman"/>
                <w:sz w:val="24"/>
              </w:rPr>
              <w:t>Auszunehmen ist der Teil der Entgelt- und Kommissionsaufwendungen, der an Institute gezahlt wird, die Mitglieder desselben institutsbezogenen Sicherungssystems gemäß Artikel 314 Absatz 5 der Verordnung (EU) Nr. 575/2013 sind.</w:t>
            </w:r>
          </w:p>
        </w:tc>
      </w:tr>
      <w:tr w:rsidR="003826D3" w:rsidRPr="0038259E"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38259E" w:rsidRDefault="003826D3" w:rsidP="003826D3">
            <w:pPr>
              <w:spacing w:before="60" w:after="120"/>
              <w:jc w:val="both"/>
              <w:rPr>
                <w:rStyle w:val="InstructionsTabelleberschrift"/>
                <w:rFonts w:ascii="Times New Roman" w:eastAsia="Times New Roman" w:hAnsi="Times New Roman"/>
                <w:sz w:val="24"/>
                <w:u w:val="none"/>
              </w:rPr>
            </w:pPr>
            <w:r w:rsidRPr="0038259E">
              <w:rPr>
                <w:rStyle w:val="InstructionsTabelleberschrift"/>
                <w:rFonts w:ascii="Times New Roman" w:hAnsi="Times New Roman"/>
                <w:sz w:val="24"/>
                <w:u w:val="none"/>
              </w:rPr>
              <w:t>Sonstige betriebliche Erträge</w:t>
            </w:r>
          </w:p>
          <w:p w14:paraId="035A399D" w14:textId="7232F3EB" w:rsidR="00671F1C" w:rsidRPr="0038259E" w:rsidRDefault="009816D6"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 xml:space="preserve">Sonstige betriebliche Erträge, einschließlich: Gewinne aus als zur Veräußerung gehalten eingestuften langfristigen Vermögenswerten und Veräußerungsgruppen, die nicht die Voraussetzungen für eine Einstufung als aufgegebene Geschäftsbereiche (im Falle eines Verlusts ist der Wert mit Null anzusetzen) erfüllen, gemäß Anhang V Teil 2 Absatz 55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und sonstige betriebliche Erträge gemäß Anhang V Teil 2 Absätze 314 und 316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Ausgenommen sind Erträge aus Operating-Leasingverhältnissen und Posten, die gemäß Artikel 314 Absatz 7 der Verordnung (EU) Nr. 575/2013 ermittelt werden.</w:t>
            </w:r>
          </w:p>
          <w:p w14:paraId="39451B35" w14:textId="17278A47" w:rsidR="00A471E8" w:rsidRPr="0038259E" w:rsidRDefault="007863F3"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Eine Rückerstattung von Verwaltungsaufwendungen sollte nicht als mit Artikel 5 der technischen Regulierungsstandards über die Komponenten des Geschäftsindikators, die nach Artikel 314 Absatz 9 der Verordnung (EU) Nr. 575/2013 auszuarbeiten sind, vereinbar betrachtet werden.</w:t>
            </w:r>
          </w:p>
          <w:p w14:paraId="0B35E56E" w14:textId="27C4774F" w:rsidR="00695D35" w:rsidRPr="0038259E" w:rsidRDefault="00695D35"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Auszunehmen ist der Betrag der sonstigen betrieblichen Erträge von Instituten, die Mitglieder desselben institutsbezogenen Sicherungssystems gemäß Artikel 314 Absatz 5 der Verordnung (EU) Nr. 575/2013 sind.</w:t>
            </w:r>
          </w:p>
          <w:p w14:paraId="685D1BC1" w14:textId="04DD0137" w:rsidR="00695D35" w:rsidRPr="0038259E" w:rsidRDefault="00695D35" w:rsidP="003826D3">
            <w:pPr>
              <w:spacing w:before="60" w:after="120"/>
              <w:jc w:val="both"/>
              <w:rPr>
                <w:rStyle w:val="InstructionsTabelleberschrift"/>
                <w:rFonts w:ascii="Times New Roman" w:eastAsia="Times New Roman" w:hAnsi="Times New Roman"/>
                <w:b w:val="0"/>
                <w:bCs w:val="0"/>
                <w:sz w:val="24"/>
                <w:u w:val="none"/>
              </w:rPr>
            </w:pPr>
            <w:r w:rsidRPr="0038259E">
              <w:rPr>
                <w:rFonts w:ascii="Times New Roman" w:hAnsi="Times New Roman"/>
                <w:sz w:val="24"/>
              </w:rPr>
              <w:t>Der Betrag in dieser Zeile ist nach Artikel 314 Absatz 5 der Verordnung (EU) Nr. 575/2013 zu berechnen.</w:t>
            </w:r>
          </w:p>
        </w:tc>
      </w:tr>
      <w:tr w:rsidR="003826D3" w:rsidRPr="0038259E"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38259E" w:rsidRDefault="003826D3" w:rsidP="003826D3">
            <w:pPr>
              <w:spacing w:before="60" w:after="120"/>
              <w:jc w:val="both"/>
              <w:rPr>
                <w:rStyle w:val="InstructionsTabelleberschrift"/>
                <w:rFonts w:ascii="Times New Roman" w:eastAsia="Times New Roman" w:hAnsi="Times New Roman"/>
                <w:sz w:val="24"/>
                <w:u w:val="none"/>
              </w:rPr>
            </w:pPr>
            <w:r w:rsidRPr="0038259E">
              <w:rPr>
                <w:rStyle w:val="InstructionsTabelleberschrift"/>
                <w:rFonts w:ascii="Times New Roman" w:hAnsi="Times New Roman"/>
                <w:sz w:val="24"/>
                <w:u w:val="none"/>
              </w:rPr>
              <w:t>Sonstige betriebliche Aufwendungen</w:t>
            </w:r>
          </w:p>
          <w:p w14:paraId="13FCDFA5" w14:textId="269315A4" w:rsidR="00B722D0" w:rsidRPr="0038259E" w:rsidRDefault="009816D6" w:rsidP="003826D3">
            <w:pPr>
              <w:spacing w:before="60" w:after="120"/>
              <w:jc w:val="both"/>
              <w:rPr>
                <w:rFonts w:ascii="Times New Roman" w:eastAsia="Times New Roman" w:hAnsi="Times New Roman" w:cs="Times New Roman"/>
                <w:sz w:val="24"/>
              </w:rPr>
            </w:pPr>
            <w:r w:rsidRPr="0038259E">
              <w:rPr>
                <w:rFonts w:ascii="Times New Roman" w:hAnsi="Times New Roman"/>
                <w:sz w:val="24"/>
              </w:rPr>
              <w:t>Sonstige betriebliche Aufwendungen, einschließlich:</w:t>
            </w:r>
          </w:p>
          <w:p w14:paraId="0E760CEE" w14:textId="74A56BE8" w:rsidR="00643568" w:rsidRPr="0038259E" w:rsidRDefault="004D0A0E" w:rsidP="002A26E9">
            <w:pPr>
              <w:pStyle w:val="ListParagraph"/>
              <w:numPr>
                <w:ilvl w:val="0"/>
                <w:numId w:val="9"/>
              </w:numPr>
              <w:spacing w:before="60" w:after="120"/>
              <w:jc w:val="both"/>
              <w:rPr>
                <w:rFonts w:ascii="Times New Roman" w:eastAsia="Times New Roman" w:hAnsi="Times New Roman"/>
                <w:sz w:val="24"/>
              </w:rPr>
            </w:pPr>
            <w:r w:rsidRPr="0038259E">
              <w:rPr>
                <w:rFonts w:ascii="Times New Roman" w:hAnsi="Times New Roman"/>
                <w:sz w:val="24"/>
              </w:rPr>
              <w:t xml:space="preserve">Verluste aus als zur Veräußerung gehalten eingestuften langfristigen Vermögenswerten und Veräußerungsgruppen, die nicht die Voraussetzungen für eine Einstufung als aufgegebene Geschäftsbereiche erfüllen: nicht auf durch operationelle Risiken bedingte Ereignisse zurückzuführende Verluste aus als zur </w:t>
            </w:r>
            <w:r w:rsidRPr="0038259E">
              <w:rPr>
                <w:rFonts w:ascii="Times New Roman" w:hAnsi="Times New Roman"/>
                <w:sz w:val="24"/>
              </w:rPr>
              <w:lastRenderedPageBreak/>
              <w:t xml:space="preserve">Veräußerung gehalten eingestuften langfristigen Vermögenswerten und Veräußerungsgruppen, die nicht die Voraussetzungen für eine Einstufung als aufgegebene Geschäftsbereiche erfüllen, gemäß Anhang V Teil 2 Absatz 55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Es sind nur Verluste zu melden; im Falle eines Gewinns ist der Wert für diese Zeile mit Null anzusetzen.</w:t>
            </w:r>
          </w:p>
          <w:p w14:paraId="0334035E" w14:textId="19D6E763" w:rsidR="00EE7608" w:rsidRPr="0038259E" w:rsidRDefault="004D0A0E" w:rsidP="00EE7608">
            <w:pPr>
              <w:pStyle w:val="ListParagraph"/>
              <w:numPr>
                <w:ilvl w:val="0"/>
                <w:numId w:val="9"/>
              </w:numPr>
              <w:spacing w:before="60" w:after="120"/>
              <w:jc w:val="both"/>
              <w:rPr>
                <w:rFonts w:ascii="Times New Roman" w:eastAsia="Times New Roman" w:hAnsi="Times New Roman"/>
                <w:sz w:val="24"/>
              </w:rPr>
            </w:pPr>
            <w:r w:rsidRPr="0038259E">
              <w:rPr>
                <w:rFonts w:ascii="Times New Roman" w:hAnsi="Times New Roman"/>
                <w:sz w:val="24"/>
              </w:rPr>
              <w:t xml:space="preserve">Gesamtverluste, Aufwendungen, Rückstellungen und sonstige finanzielle Auswirkungen, die sich aus durch operationelle Risiken bedingten Ereignissen ergeben: Summe aller Verluste, Aufwendungen, Rückstellungen und sonstigen finanziellen Auswirkungen im Zusammenhang mit durch operationelle Risiken bedingten Ereignissen, wie in Zeile 0080 des Meldebogens C.16.03 in Anhang I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angegeben.</w:t>
            </w:r>
          </w:p>
          <w:p w14:paraId="2C93E8CD" w14:textId="64776E12" w:rsidR="004D0A0E" w:rsidRPr="0038259E" w:rsidRDefault="00A37C45" w:rsidP="00EE7608">
            <w:pPr>
              <w:pStyle w:val="ListParagraph"/>
              <w:numPr>
                <w:ilvl w:val="0"/>
                <w:numId w:val="9"/>
              </w:numPr>
              <w:spacing w:before="60" w:after="120"/>
              <w:jc w:val="both"/>
              <w:rPr>
                <w:rFonts w:ascii="Times New Roman" w:eastAsia="Times New Roman" w:hAnsi="Times New Roman"/>
                <w:sz w:val="24"/>
              </w:rPr>
            </w:pPr>
            <w:r w:rsidRPr="0038259E">
              <w:rPr>
                <w:rFonts w:ascii="Times New Roman" w:hAnsi="Times New Roman"/>
                <w:sz w:val="24"/>
              </w:rPr>
              <w:t xml:space="preserve">Sonstige betriebliche Aufwendungen, die nicht auf durch operationelle Risiken bedingte Ereignisse zurückzuführen sind, gemäß Anhang V Teil 2 Absätze 314 und 316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Diese umfassen Folgendes:</w:t>
            </w:r>
          </w:p>
          <w:p w14:paraId="01D56412" w14:textId="77777777" w:rsidR="004A5BBA" w:rsidRPr="0038259E" w:rsidRDefault="004A5BBA" w:rsidP="004A5BBA">
            <w:pPr>
              <w:pStyle w:val="ListParagraph"/>
              <w:numPr>
                <w:ilvl w:val="1"/>
                <w:numId w:val="10"/>
              </w:numPr>
              <w:spacing w:before="60" w:after="120"/>
              <w:jc w:val="both"/>
              <w:rPr>
                <w:rFonts w:ascii="Times New Roman" w:eastAsia="Times New Roman" w:hAnsi="Times New Roman"/>
                <w:sz w:val="24"/>
              </w:rPr>
            </w:pPr>
            <w:r w:rsidRPr="0038259E">
              <w:rPr>
                <w:rFonts w:ascii="Times New Roman" w:hAnsi="Times New Roman"/>
                <w:sz w:val="24"/>
              </w:rPr>
              <w:t>Aufwendungen aufgrund von Änderungen beim beizulegenden Zeitwert von materiellen Vermögenswerten, die nach dem Modell des beizulegenden Zeitwertes bewertet werden, mit Ausnahme von Aufwendungen aufgrund von Änderungen beim beizulegenden Zeitwert von als Finanzinvestition gehaltenen Immobilien, die Mieteinnahmen generieren und nach dem Modell des beizulegenden Zeitwertes von operativ geleasten Vermögenswerten bewertet werden;</w:t>
            </w:r>
          </w:p>
          <w:p w14:paraId="726CB5AB" w14:textId="426E3DFA" w:rsidR="004A5BBA" w:rsidRPr="0038259E"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38259E" w:rsidRDefault="004A5BBA" w:rsidP="004A5BBA">
            <w:pPr>
              <w:pStyle w:val="ListParagraph"/>
              <w:numPr>
                <w:ilvl w:val="1"/>
                <w:numId w:val="10"/>
              </w:numPr>
              <w:spacing w:before="60" w:after="120"/>
              <w:jc w:val="both"/>
              <w:rPr>
                <w:rFonts w:ascii="Times New Roman" w:eastAsia="Times New Roman" w:hAnsi="Times New Roman"/>
                <w:sz w:val="24"/>
              </w:rPr>
            </w:pPr>
            <w:r w:rsidRPr="0038259E">
              <w:rPr>
                <w:rFonts w:ascii="Times New Roman" w:hAnsi="Times New Roman"/>
                <w:sz w:val="24"/>
              </w:rPr>
              <w:t xml:space="preserve">die übrigen sonstigen betrieblichen Aufwendungen (Sonstige betriebliche Aufwendungen) gemäß Anhang V Teil 2 Absätze 314 und 316 der IT </w:t>
            </w:r>
            <w:proofErr w:type="spellStart"/>
            <w:r w:rsidRPr="0038259E">
              <w:rPr>
                <w:rFonts w:ascii="Times New Roman" w:hAnsi="Times New Roman"/>
                <w:sz w:val="24"/>
              </w:rPr>
              <w:t>solutions</w:t>
            </w:r>
            <w:proofErr w:type="spellEnd"/>
            <w:r w:rsidRPr="0038259E">
              <w:rPr>
                <w:rFonts w:ascii="Times New Roman" w:hAnsi="Times New Roman"/>
                <w:sz w:val="24"/>
              </w:rPr>
              <w:t xml:space="preserve"> der EBA, sofern sie nicht mit geleasten Vermögenswerten in Zusammenhang stehen.</w:t>
            </w:r>
          </w:p>
          <w:p w14:paraId="6CDC5FBE" w14:textId="54C68FB7" w:rsidR="004A3C86" w:rsidRPr="0038259E" w:rsidRDefault="004A3C86" w:rsidP="00EE7608">
            <w:pPr>
              <w:spacing w:before="60" w:after="120"/>
              <w:jc w:val="both"/>
              <w:rPr>
                <w:rStyle w:val="InstructionsTabelleberschrift"/>
                <w:rFonts w:ascii="Times New Roman" w:eastAsia="Times New Roman" w:hAnsi="Times New Roman"/>
                <w:b w:val="0"/>
                <w:bCs w:val="0"/>
                <w:sz w:val="24"/>
                <w:u w:val="none"/>
              </w:rPr>
            </w:pPr>
            <w:r w:rsidRPr="0038259E">
              <w:rPr>
                <w:rStyle w:val="InstructionsTabelleberschrift"/>
                <w:rFonts w:ascii="Times New Roman" w:hAnsi="Times New Roman"/>
                <w:b w:val="0"/>
                <w:sz w:val="24"/>
                <w:u w:val="none"/>
              </w:rPr>
              <w:t>Auszunehmen ist der Betrag der sonstigen betrieblichen Aufwendungen, die gemäß Artikel 314 Absatz 5 der Verordnung (EU) Nr. 575/2013 an Institute gezahlt werden, die Mitglieder desselben institutsbezogenen Sicherungssystems sind</w:t>
            </w:r>
          </w:p>
          <w:p w14:paraId="6F1C30F0" w14:textId="3B05E985" w:rsidR="003826D3" w:rsidRPr="0038259E" w:rsidRDefault="00DE3384" w:rsidP="003826D3">
            <w:pPr>
              <w:spacing w:before="60" w:after="120"/>
              <w:jc w:val="both"/>
              <w:rPr>
                <w:rStyle w:val="InstructionsTabelleberschrift"/>
                <w:rFonts w:ascii="Times New Roman" w:eastAsia="Times New Roman" w:hAnsi="Times New Roman"/>
                <w:sz w:val="24"/>
              </w:rPr>
            </w:pPr>
            <w:r w:rsidRPr="0038259E">
              <w:rPr>
                <w:rFonts w:ascii="Times New Roman" w:hAnsi="Times New Roman"/>
                <w:sz w:val="24"/>
              </w:rPr>
              <w:t>Der Betrag in dieser Zeile ist nach Artikel 314 Absatz 5 der Verordnung (EU) Nr. 575/2013 zu berechnen.</w:t>
            </w:r>
          </w:p>
        </w:tc>
      </w:tr>
      <w:tr w:rsidR="003826D3" w:rsidRPr="0038259E"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Finanzkomponente (FC)</w:t>
            </w:r>
          </w:p>
          <w:p w14:paraId="1C2CD9AE" w14:textId="16B8F7FC" w:rsidR="003826D3" w:rsidRPr="0038259E" w:rsidRDefault="00DE3384" w:rsidP="003826D3">
            <w:pPr>
              <w:spacing w:before="60" w:after="120"/>
              <w:jc w:val="both"/>
              <w:rPr>
                <w:rStyle w:val="InstructionsTabelleberschrift"/>
                <w:rFonts w:ascii="Times New Roman" w:eastAsia="Times New Roman" w:hAnsi="Times New Roman"/>
                <w:b w:val="0"/>
                <w:bCs w:val="0"/>
                <w:sz w:val="24"/>
                <w:u w:val="none"/>
              </w:rPr>
            </w:pPr>
            <w:r w:rsidRPr="0038259E">
              <w:rPr>
                <w:rStyle w:val="InstructionsTabelleberschrift"/>
                <w:rFonts w:ascii="Times New Roman" w:hAnsi="Times New Roman"/>
                <w:b w:val="0"/>
                <w:sz w:val="24"/>
                <w:u w:val="none"/>
              </w:rPr>
              <w:t xml:space="preserve">Die Finanzkomponente (FC) ist nach Artikel 314 Absatz 6 der Verordnung (EU) Nr. 575/2013 zu berechnen. </w:t>
            </w:r>
            <w:r w:rsidRPr="0038259E">
              <w:rPr>
                <w:rFonts w:ascii="Times New Roman" w:hAnsi="Times New Roman"/>
                <w:sz w:val="24"/>
              </w:rPr>
              <w:t>Findet für ein Institut die Ausnahmeregelung gemäß Artikel 314 Absatz 4 der Verordnung (EU) Nr. 575/2013 Anwendung, darf das Institut keine Werte aus den Geschäftsfeldern Privatkundengeschäft und Firmenkundengeschäft aufnehmen.</w:t>
            </w:r>
          </w:p>
        </w:tc>
      </w:tr>
      <w:tr w:rsidR="003826D3" w:rsidRPr="0038259E"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38259E" w:rsidRDefault="003826D3" w:rsidP="00AD4245">
            <w:pPr>
              <w:pageBreakBefore/>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Auf das Handelsbuch entfallender Nettogewinn oder -verlust</w:t>
            </w:r>
          </w:p>
          <w:p w14:paraId="4E177CA3" w14:textId="4C472892" w:rsidR="003826D3" w:rsidRPr="0038259E" w:rsidRDefault="003826D3" w:rsidP="003826D3">
            <w:pPr>
              <w:spacing w:before="60" w:after="120"/>
              <w:jc w:val="both"/>
              <w:rPr>
                <w:rStyle w:val="InstructionsTabelleberschrift"/>
                <w:rFonts w:ascii="Times New Roman" w:hAnsi="Times New Roman"/>
                <w:b w:val="0"/>
                <w:bCs w:val="0"/>
                <w:sz w:val="24"/>
                <w:u w:val="none"/>
              </w:rPr>
            </w:pPr>
            <w:r w:rsidRPr="0038259E">
              <w:rPr>
                <w:rStyle w:val="InstructionsTabelleberschrift"/>
                <w:rFonts w:ascii="Times New Roman" w:hAnsi="Times New Roman"/>
                <w:b w:val="0"/>
                <w:sz w:val="24"/>
                <w:u w:val="none"/>
              </w:rPr>
              <w:t>Der auf das Handelsbuch entfallende Nettogewinn oder -verlust ist als Summe folgender Posten zu berechnen:</w:t>
            </w:r>
          </w:p>
          <w:p w14:paraId="6324889B" w14:textId="380EDA28" w:rsidR="008A379C" w:rsidRPr="0038259E" w:rsidRDefault="008A379C" w:rsidP="00232265">
            <w:pPr>
              <w:pStyle w:val="Style1"/>
              <w:rPr>
                <w:rStyle w:val="InstructionsTabelleberschrift"/>
                <w:rFonts w:ascii="Times New Roman" w:hAnsi="Times New Roman"/>
                <w:b w:val="0"/>
                <w:bCs w:val="0"/>
                <w:sz w:val="24"/>
                <w:u w:val="none"/>
              </w:rPr>
            </w:pPr>
            <w:r w:rsidRPr="0038259E">
              <w:rPr>
                <w:u w:val="single"/>
              </w:rPr>
              <w:t>Gewinne oder (–) Verluste aus zu Handelszwecken gehaltenen oder zum Handelsbestand gehörenden finanziellen Vermögenswerten oder Verbindlichkeiten, netto;</w:t>
            </w:r>
            <w:r w:rsidRPr="0038259E">
              <w:t xml:space="preserve">: Gewinne oder (–) Verluste aus zu Handelszwecken gehaltenen oder zum Handelsbestand gehörenden finanziellen Vermögenswerten oder Verbindlichkeiten gemäß Anhang V Teil 2 Absätze 43 und 46 der IT </w:t>
            </w:r>
            <w:proofErr w:type="spellStart"/>
            <w:r w:rsidRPr="0038259E">
              <w:t>solutions</w:t>
            </w:r>
            <w:proofErr w:type="spellEnd"/>
            <w:r w:rsidRPr="0038259E">
              <w:t xml:space="preserve"> der EBA oder aus zum Handelsbestand gehörenden finanziellen Vermögenswerten und Verbindlichkeiten gemäß Artikel 27 der Richtlinie 86/635/EWG des Rates (Bankbilanzrichtlinie) (vertikale Gliederung, Nr. 6);</w:t>
            </w:r>
          </w:p>
          <w:p w14:paraId="0B998657" w14:textId="654F8692" w:rsidR="008A379C" w:rsidRPr="0038259E" w:rsidRDefault="008A379C" w:rsidP="00232265">
            <w:pPr>
              <w:pStyle w:val="Style1"/>
              <w:rPr>
                <w:rStyle w:val="InstructionsTabelleberschrift"/>
                <w:rFonts w:ascii="Times New Roman" w:hAnsi="Times New Roman"/>
                <w:b w:val="0"/>
                <w:bCs w:val="0"/>
                <w:sz w:val="24"/>
                <w:u w:val="none"/>
              </w:rPr>
            </w:pPr>
            <w:r w:rsidRPr="0038259E">
              <w:rPr>
                <w:u w:val="single"/>
              </w:rPr>
              <w:t>Gewinne oder (–) Verluste aus der Bilanzierung von Sicherungsgeschäften, netto,</w:t>
            </w:r>
            <w:r w:rsidRPr="0038259E">
              <w:t xml:space="preserve"> Gewinne oder (–) Verluste aus der Bilanzierung von Sicherungsgeschäften, netto, nur in den Ausnahmefällen unter der Handelsbuchkomponente, in denen die Bilanzierung von Sicherungsgeschäften – berechnet gemäß Anhang V Teil 2 Absatz 47 der IT </w:t>
            </w:r>
            <w:proofErr w:type="spellStart"/>
            <w:r w:rsidRPr="0038259E">
              <w:t>solutions</w:t>
            </w:r>
            <w:proofErr w:type="spellEnd"/>
            <w:r w:rsidRPr="0038259E">
              <w:t xml:space="preserve"> der EBA oder gemäß Artikel 8 Absatz 1 Buchstabe a und Absätze 6 und 8 der Rechnungslegungsrichtlinie – zur Absicherung von zu Handelszwecken gehaltenen finanziellen Vermögenswerten und Verbindlichkeiten oder zum Handelsbestand gehörenden finanziellen Vermögenswerten und Verbindlichkeiten eingesetzt wird; und</w:t>
            </w:r>
          </w:p>
          <w:p w14:paraId="1BC37DE4" w14:textId="36EA6A27" w:rsidR="008A379C" w:rsidRPr="0038259E" w:rsidRDefault="008A379C" w:rsidP="00232265">
            <w:pPr>
              <w:pStyle w:val="Style1"/>
              <w:rPr>
                <w:rStyle w:val="InstructionsTabelleberschrift"/>
                <w:rFonts w:ascii="Times New Roman" w:hAnsi="Times New Roman"/>
                <w:b w:val="0"/>
                <w:bCs w:val="0"/>
                <w:sz w:val="24"/>
                <w:u w:val="none"/>
              </w:rPr>
            </w:pPr>
            <w:r w:rsidRPr="0038259E">
              <w:rPr>
                <w:u w:val="single"/>
              </w:rPr>
              <w:t>Wechselkursdifferenzen [Gewinn oder (–) Verlust], netto, im Zusammenhang mit dem Handelsbuch</w:t>
            </w:r>
            <w:r w:rsidRPr="0038259E">
              <w:t>: Wechselkursdifferenzen [Gewinn oder (–) Verlust], netto, nur dann, wenn diese Differenzen, die gemäß IAS 21.28, Paragraf 52 Buchstabe a oder gemäß Artikel 39 der Bankbilanzrichtlinie berechnet werden, aus zu Handelszwecken gehaltenen finanziellen Vermögenswerten und Verbindlichkeiten oder aus zum Handelsbestand gehörenden finanziellen Vermögenswerten und Verbindlichkeiten herrühren.</w:t>
            </w:r>
          </w:p>
          <w:p w14:paraId="761552C0" w14:textId="5BF82331" w:rsidR="001E5563" w:rsidRPr="0038259E" w:rsidRDefault="001E5563" w:rsidP="00C65626">
            <w:pPr>
              <w:pStyle w:val="paragraph"/>
              <w:textAlignment w:val="baseline"/>
              <w:rPr>
                <w:rStyle w:val="InstructionsTabelleberschrift"/>
                <w:rFonts w:ascii="Segoe UI" w:hAnsi="Segoe UI" w:cs="Segoe UI"/>
              </w:rPr>
            </w:pPr>
            <w:r w:rsidRPr="0038259E">
              <w:t>Die offenzulegenden Werte spiegeln entweder den nach dem Rechnungslegungsansatz ermittelten Buchwert oder den Buchwert bei Anwendung der aufsichtsrechtlichen Abgrenzung (Prudential Boundary Approach – PBA) zur Ermittlung der Posten des Handels- und des Anlagebuchs für die letzten drei Geschäftsjahre gemäß Artikel 314 Absatz 6 der Verordnung (EU) Nr. 575/2013 wider.</w:t>
            </w:r>
          </w:p>
        </w:tc>
      </w:tr>
      <w:tr w:rsidR="003826D3" w:rsidRPr="0038259E"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Auf das Anlagebuch entfallender Nettogewinn oder -verlust</w:t>
            </w:r>
          </w:p>
          <w:p w14:paraId="16F13570" w14:textId="0B537F1A" w:rsidR="003826D3" w:rsidRPr="0038259E" w:rsidRDefault="003826D3" w:rsidP="003826D3">
            <w:pPr>
              <w:spacing w:before="60" w:after="120"/>
              <w:jc w:val="both"/>
              <w:rPr>
                <w:rStyle w:val="InstructionsTabelleberschrift"/>
                <w:rFonts w:ascii="Times New Roman" w:eastAsia="Times New Roman" w:hAnsi="Times New Roman"/>
                <w:b w:val="0"/>
                <w:bCs w:val="0"/>
                <w:sz w:val="24"/>
                <w:u w:val="none"/>
              </w:rPr>
            </w:pPr>
            <w:r w:rsidRPr="0038259E">
              <w:rPr>
                <w:rStyle w:val="InstructionsTabelleberschrift"/>
                <w:rFonts w:ascii="Times New Roman" w:hAnsi="Times New Roman"/>
                <w:b w:val="0"/>
                <w:sz w:val="24"/>
                <w:u w:val="none"/>
              </w:rPr>
              <w:t xml:space="preserve">Der auf das Anlagebuch entfallende Nettogewinn oder </w:t>
            </w:r>
            <w:r w:rsidRPr="0038259E">
              <w:rPr>
                <w:rStyle w:val="InstructionsTabelleberschrift"/>
                <w:rFonts w:ascii="Times New Roman" w:hAnsi="Times New Roman"/>
                <w:b w:val="0"/>
                <w:sz w:val="24"/>
                <w:u w:val="none"/>
              </w:rPr>
              <w:noBreakHyphen/>
            </w:r>
            <w:proofErr w:type="spellStart"/>
            <w:r w:rsidRPr="0038259E">
              <w:rPr>
                <w:rStyle w:val="InstructionsTabelleberschrift"/>
                <w:rFonts w:ascii="Times New Roman" w:hAnsi="Times New Roman"/>
                <w:b w:val="0"/>
                <w:sz w:val="24"/>
                <w:u w:val="none"/>
              </w:rPr>
              <w:t>verlust</w:t>
            </w:r>
            <w:proofErr w:type="spellEnd"/>
            <w:r w:rsidRPr="0038259E">
              <w:rPr>
                <w:rStyle w:val="InstructionsTabelleberschrift"/>
                <w:rFonts w:ascii="Times New Roman" w:hAnsi="Times New Roman"/>
                <w:b w:val="0"/>
                <w:sz w:val="24"/>
                <w:u w:val="none"/>
              </w:rPr>
              <w:t xml:space="preserve"> ist als Summe folgender Posten zu berechnen:</w:t>
            </w:r>
          </w:p>
          <w:p w14:paraId="4816B36A" w14:textId="59F72F36" w:rsidR="008F0781" w:rsidRPr="0038259E" w:rsidRDefault="008F0781" w:rsidP="00232265">
            <w:pPr>
              <w:pStyle w:val="Style1"/>
            </w:pPr>
            <w:r w:rsidRPr="0038259E">
              <w:rPr>
                <w:u w:val="single"/>
              </w:rPr>
              <w:t>Gewinne oder (-) Verluste bei der Ausbuchung von nicht erfolgswirksam zum beizulegenden Zeitwert bewerteten finanziellen Vermögenswerten und Verbindlichkeiten, netto</w:t>
            </w:r>
            <w:r w:rsidRPr="0038259E">
              <w:t xml:space="preserve">: </w:t>
            </w:r>
            <w:r w:rsidRPr="0038259E">
              <w:br/>
              <w:t xml:space="preserve">Gewinne oder (–) Verluste bei der Ausbuchung von nicht erfolgswirksam zum beizulegenden Zeitwert bewerteten finanziellen Vermögenswerten und Verbindlichkeiten, netto, gemäß Anhang V </w:t>
            </w:r>
            <w:r w:rsidRPr="0038259E">
              <w:lastRenderedPageBreak/>
              <w:t xml:space="preserve">Teil 2 Absatz 45 der IT </w:t>
            </w:r>
            <w:proofErr w:type="spellStart"/>
            <w:r w:rsidRPr="0038259E">
              <w:t>solutions</w:t>
            </w:r>
            <w:proofErr w:type="spellEnd"/>
            <w:r w:rsidRPr="0038259E">
              <w:t xml:space="preserve"> der EBA oder gemäß Artikel 27 der Bankbilanzrichtlinie (vertikale Gliederung, Nr. 6);</w:t>
            </w:r>
          </w:p>
          <w:p w14:paraId="29EDCF43" w14:textId="7ADB0AAC" w:rsidR="008F0781" w:rsidRPr="0038259E" w:rsidRDefault="008F0781" w:rsidP="00232265">
            <w:pPr>
              <w:pStyle w:val="Style1"/>
            </w:pPr>
            <w:r w:rsidRPr="0038259E">
              <w:rPr>
                <w:u w:val="single"/>
              </w:rPr>
              <w:t>Gewinne oder (–) Verluste aus nicht zum Handelsbestand gehörenden, erfolgswirksam zum beizulegenden Zeitwert zu bewertenden finanziellen Vermögenswerten, netto</w:t>
            </w:r>
            <w:r w:rsidRPr="0038259E">
              <w:t xml:space="preserve">: Gewinne oder (–) Verluste aus nicht zum Handelsbestand gehörenden, erfolgswirksam zum beizulegenden Zeitwert zu bewertenden finanziellen Vermögenswerten, netto, gemäß Anhang V Teil 2 Absatz 46 der IT </w:t>
            </w:r>
            <w:proofErr w:type="spellStart"/>
            <w:r w:rsidRPr="0038259E">
              <w:t>solutions</w:t>
            </w:r>
            <w:proofErr w:type="spellEnd"/>
            <w:r w:rsidRPr="0038259E">
              <w:t xml:space="preserve"> der EBA;</w:t>
            </w:r>
          </w:p>
          <w:p w14:paraId="23350A71" w14:textId="40356371" w:rsidR="008F0781" w:rsidRPr="0038259E" w:rsidRDefault="008F0781" w:rsidP="00232265">
            <w:pPr>
              <w:pStyle w:val="Style1"/>
            </w:pPr>
            <w:r w:rsidRPr="0038259E">
              <w:rPr>
                <w:u w:val="single"/>
              </w:rPr>
              <w:t>Gewinne oder (–) Verluste aus als erfolgswirksam zum beizulegenden Zeitwert bewertet designierten finanziellen Vermögenswerten und Verbindlichkeiten, netto</w:t>
            </w:r>
            <w:r w:rsidRPr="0038259E">
              <w:t xml:space="preserve">: Gewinne oder (–) Verluste aus als erfolgswirksam zum beizulegenden Zeitwert bewertet designierten finanziellen Vermögenswerten und Verbindlichkeiten, netto, gemäß Anhang V Teil 2 Absatz 44 der IT </w:t>
            </w:r>
            <w:proofErr w:type="spellStart"/>
            <w:r w:rsidRPr="0038259E">
              <w:t>solutions</w:t>
            </w:r>
            <w:proofErr w:type="spellEnd"/>
            <w:r w:rsidRPr="0038259E">
              <w:t xml:space="preserve"> der EBA;</w:t>
            </w:r>
          </w:p>
          <w:p w14:paraId="44DE675E" w14:textId="5B34C2BC" w:rsidR="008F0781" w:rsidRPr="0038259E" w:rsidRDefault="008F0781" w:rsidP="00232265">
            <w:pPr>
              <w:pStyle w:val="Style1"/>
            </w:pPr>
            <w:r w:rsidRPr="0038259E">
              <w:rPr>
                <w:u w:val="single"/>
              </w:rPr>
              <w:t>Gewinne oder (–) Verluste aus der Bilanzierung von Sicherungsgeschäften, netto, im Zusammenhang mit dem Anlagebuch</w:t>
            </w:r>
            <w:r w:rsidRPr="0038259E">
              <w:t xml:space="preserve">: Gewinne oder (–) Verluste aus der Bilanzierung von Sicherungsgeschäften, netto, gemäß Anhang V Teil 2 Absatz 47 der IT </w:t>
            </w:r>
            <w:proofErr w:type="spellStart"/>
            <w:r w:rsidRPr="0038259E">
              <w:t>solutions</w:t>
            </w:r>
            <w:proofErr w:type="spellEnd"/>
            <w:r w:rsidRPr="0038259E">
              <w:t xml:space="preserve"> der EBA oder gemäß Artikel 8 Absatz 1 Buchstabe a und Absätze 6 und 8 der Rechnungslegungsrichtlinie, sofern diese Gewinne oder Verluste aus im Anlagebuch gehaltenen finanziellen Vermögenswerten und Verbindlichkeiten herrühren.</w:t>
            </w:r>
          </w:p>
          <w:p w14:paraId="23306495" w14:textId="6A259674" w:rsidR="008F0781" w:rsidRPr="0038259E" w:rsidRDefault="008F0781" w:rsidP="00232265">
            <w:pPr>
              <w:pStyle w:val="Style1"/>
            </w:pPr>
            <w:r w:rsidRPr="0038259E">
              <w:rPr>
                <w:u w:val="single"/>
              </w:rPr>
              <w:t>Wechselkursdifferenzen [Gewinn oder (–) Verlust], netto, im Zusammenhang mit dem Anlagebuch</w:t>
            </w:r>
            <w:r w:rsidRPr="0038259E">
              <w:t>: Wechselkursdifferenzen [Gewinn oder (–) Verlust], netto, gemäß IAS 21.28, Paragraf 52 Buchstabe a oder gemäß Artikel 39 der Bankbilanzrichtlinie, wenn diese Differenzen aus im Anlagebuch gehaltenen finanziellen Vermögenswerten und Verbindlichkeiten herrühren.</w:t>
            </w:r>
          </w:p>
          <w:p w14:paraId="3E9BB5BF" w14:textId="1D3FC8A9" w:rsidR="00F26A2D" w:rsidRPr="0038259E" w:rsidRDefault="001E5563" w:rsidP="00F26A2D">
            <w:pPr>
              <w:spacing w:before="60" w:after="120"/>
              <w:jc w:val="both"/>
              <w:rPr>
                <w:rStyle w:val="InstructionsTabelleberschrift"/>
                <w:rFonts w:asciiTheme="majorBidi" w:hAnsiTheme="majorBidi" w:cstheme="majorBidi"/>
                <w:sz w:val="24"/>
                <w:u w:val="none"/>
              </w:rPr>
            </w:pPr>
            <w:r w:rsidRPr="0038259E">
              <w:rPr>
                <w:rFonts w:asciiTheme="majorBidi" w:hAnsiTheme="majorBidi"/>
                <w:sz w:val="24"/>
              </w:rPr>
              <w:t>Die offenzulegenden Werte spiegeln entweder den nach dem Rechnungslegungsansatz ermittelten Buchwert oder den Buchwert bei Anwendung der aufsichtsrechtlichen Abgrenzung (Prudential Boundary Approach – PBA) zur Ermittlung der Posten des Handels- und des Anlagebuchs für die letzten drei Geschäftsjahre gemäß Artikel 314 Absatz 6 der Verordnung (EU) Nr. 575/2013 wider.</w:t>
            </w:r>
          </w:p>
        </w:tc>
      </w:tr>
      <w:tr w:rsidR="003826D3" w:rsidRPr="0038259E"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38259E" w:rsidRDefault="008C3E6A"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Ansatz zur Abgrenzung der Posten des Handels- und des Anlagebuchs (PBA oder Rechnungslegungsansatz)</w:t>
            </w:r>
          </w:p>
          <w:p w14:paraId="00A81A34" w14:textId="0A7D6D1A" w:rsidR="003826D3" w:rsidRPr="0038259E" w:rsidRDefault="003826D3" w:rsidP="003826D3">
            <w:pPr>
              <w:spacing w:before="60" w:after="120"/>
              <w:jc w:val="both"/>
              <w:rPr>
                <w:rStyle w:val="InstructionsTabelleberschrift"/>
                <w:rFonts w:ascii="Times New Roman" w:eastAsia="Times New Roman" w:hAnsi="Times New Roman"/>
                <w:b w:val="0"/>
                <w:bCs w:val="0"/>
                <w:sz w:val="24"/>
                <w:u w:val="none"/>
              </w:rPr>
            </w:pPr>
            <w:r w:rsidRPr="0038259E">
              <w:rPr>
                <w:rStyle w:val="InstructionsTabelleberschrift"/>
                <w:rFonts w:ascii="Times New Roman" w:hAnsi="Times New Roman"/>
                <w:b w:val="0"/>
                <w:sz w:val="24"/>
                <w:u w:val="none"/>
              </w:rPr>
              <w:t>Der zum Stichtag verfolgte Ansatz zur Bestimmung der Finanzkomponente (FC): Rechnungslegungsansatz oder aufsichtsrechtliche Abgrenzung (PBA). Der Ansatz ist einheitlich für die Beträge anzuwenden, die für jedes der letzten drei Geschäftsjahre offengelegt werden.</w:t>
            </w:r>
          </w:p>
        </w:tc>
      </w:tr>
      <w:tr w:rsidR="003826D3" w:rsidRPr="0038259E"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Geschäftsindikator (BI)</w:t>
            </w:r>
          </w:p>
          <w:p w14:paraId="35C99FE1" w14:textId="0AFECB29" w:rsidR="003826D3" w:rsidRPr="0038259E"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38259E">
              <w:rPr>
                <w:rFonts w:asciiTheme="majorBidi" w:hAnsiTheme="majorBidi"/>
                <w:sz w:val="24"/>
              </w:rPr>
              <w:t>Der gemäß Artikel 314 Absatz 1 der Verordnung (EU) Nr. 575/2013 berechnete Geschäftsindikator, der die Summe der folgenden drei Komponenten darstellt: Zins-, Leasing- und Dividendenkomponente (ILDC), Dienstleistungskomponente (SC) und Finanzkomponente (FC).</w:t>
            </w:r>
          </w:p>
        </w:tc>
      </w:tr>
      <w:tr w:rsidR="003826D3" w:rsidRPr="0038259E"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38259E" w:rsidRDefault="003826D3" w:rsidP="003826D3">
            <w:pPr>
              <w:spacing w:before="60" w:after="120"/>
              <w:jc w:val="both"/>
              <w:rPr>
                <w:rStyle w:val="InstructionsTabelleberschrift"/>
                <w:rFonts w:ascii="Times New Roman" w:eastAsia="Times New Roman" w:hAnsi="Times New Roman"/>
                <w:sz w:val="24"/>
                <w:u w:val="none"/>
              </w:rPr>
            </w:pPr>
            <w:r w:rsidRPr="0038259E">
              <w:rPr>
                <w:rStyle w:val="InstructionsTabelleberschrift"/>
                <w:rFonts w:ascii="Times New Roman" w:hAnsi="Times New Roman"/>
                <w:sz w:val="24"/>
                <w:u w:val="none"/>
              </w:rPr>
              <w:t>Geschäftsindikatorkomponente (BIC)</w:t>
            </w:r>
          </w:p>
          <w:p w14:paraId="4AC6BDA5" w14:textId="5507A684" w:rsidR="003826D3" w:rsidRPr="0038259E" w:rsidRDefault="003826D3" w:rsidP="003826D3">
            <w:pPr>
              <w:spacing w:before="60" w:after="120"/>
              <w:jc w:val="both"/>
              <w:rPr>
                <w:rStyle w:val="InstructionsTabelleberschrift"/>
                <w:rFonts w:ascii="Times New Roman" w:eastAsia="Times New Roman" w:hAnsi="Times New Roman"/>
                <w:b w:val="0"/>
                <w:bCs w:val="0"/>
                <w:sz w:val="24"/>
                <w:u w:val="none"/>
              </w:rPr>
            </w:pPr>
            <w:r w:rsidRPr="0038259E">
              <w:rPr>
                <w:rFonts w:ascii="Times New Roman" w:hAnsi="Times New Roman"/>
                <w:sz w:val="24"/>
              </w:rPr>
              <w:t xml:space="preserve">Die gemäß Artikel 313 der Verordnung (EU) Nr. 575/2013 berechnete BIC. </w:t>
            </w:r>
          </w:p>
        </w:tc>
      </w:tr>
      <w:tr w:rsidR="003826D3" w:rsidRPr="0038259E"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BI vor Abzug ausgenommener veräußerter Geschäftsbereiche</w:t>
            </w:r>
          </w:p>
          <w:p w14:paraId="4B01F051" w14:textId="678BE249" w:rsidR="003826D3" w:rsidRPr="0038259E"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38259E">
              <w:rPr>
                <w:rFonts w:asciiTheme="majorBidi" w:hAnsiTheme="majorBidi"/>
                <w:sz w:val="24"/>
              </w:rPr>
              <w:t>Der Betrag des Geschäftsindikators (BI) einschließlich der veräußerten Geschäftsbereiche, die gemäß Artikel 315 Absatz 2 der Verordnung (EU) Nr. 575/2013 ausgenommen sind.</w:t>
            </w:r>
          </w:p>
        </w:tc>
      </w:tr>
      <w:tr w:rsidR="003826D3" w:rsidRPr="0038259E"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Verringerung des BI aufgrund der ausgenommenen veräußerten Geschäftsbereiche</w:t>
            </w:r>
          </w:p>
          <w:p w14:paraId="100A0132" w14:textId="636B5EF6" w:rsidR="003826D3" w:rsidRPr="0038259E"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38259E">
              <w:rPr>
                <w:rFonts w:asciiTheme="majorBidi" w:hAnsiTheme="majorBidi"/>
                <w:sz w:val="24"/>
              </w:rPr>
              <w:t xml:space="preserve">Die Differenz zwischen dem Geschäftsindikator vor Abzug veräußerter Geschäftsbereiche (Zeile 6a) und dem Gesamtgeschäftsindikator (Zeile 4). </w:t>
            </w:r>
          </w:p>
        </w:tc>
      </w:tr>
      <w:tr w:rsidR="003826D3" w:rsidRPr="0038259E"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38259E" w:rsidRDefault="003826D3" w:rsidP="003826D3">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38259E" w:rsidRDefault="003826D3" w:rsidP="003826D3">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Auswirkungen von Verschmelzungen/Übernahmen auf den BI</w:t>
            </w:r>
          </w:p>
          <w:p w14:paraId="68B0EB8C" w14:textId="39D74825" w:rsidR="003826D3" w:rsidRPr="0038259E"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38259E">
              <w:rPr>
                <w:rFonts w:asciiTheme="majorBidi" w:hAnsiTheme="majorBidi"/>
                <w:sz w:val="24"/>
              </w:rPr>
              <w:t>Der im Geschäftsindikator enthaltene Betrag, der den Komponenten des Geschäftsindikators entspricht, die auf Verschmelzungen oder Übernahmen von Unternehmen oder Geschäftsbereichen zurückzuführen sind, berechnet gemäß Artikel 315 Absatz 1 der Verordnung (EU) Nr. 575/2013.</w:t>
            </w:r>
          </w:p>
        </w:tc>
      </w:tr>
    </w:tbl>
    <w:p w14:paraId="2517003F" w14:textId="77777777" w:rsidR="00D740B8" w:rsidRPr="0038259E"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38259E" w:rsidRDefault="00D740B8" w:rsidP="00D740B8">
      <w:pPr>
        <w:jc w:val="both"/>
        <w:rPr>
          <w:rFonts w:ascii="Times New Roman" w:hAnsi="Times New Roman" w:cs="Times New Roman"/>
          <w:bCs/>
          <w:sz w:val="24"/>
        </w:rPr>
      </w:pPr>
      <w:r w:rsidRPr="0038259E">
        <w:rPr>
          <w:rFonts w:ascii="Times New Roman" w:hAnsi="Times New Roman"/>
          <w:b/>
          <w:sz w:val="24"/>
        </w:rPr>
        <w:t xml:space="preserve">Meldebogen EU OR3 – Eigenmittelanforderungen für das operationelle Risiko und Risikopositionsbeträge. </w:t>
      </w:r>
      <w:r w:rsidRPr="0038259E">
        <w:rPr>
          <w:rFonts w:ascii="Times New Roman" w:hAnsi="Times New Roman"/>
          <w:sz w:val="24"/>
        </w:rPr>
        <w:t>Format: Unveränderlich</w:t>
      </w:r>
    </w:p>
    <w:p w14:paraId="5AB15A39" w14:textId="77777777" w:rsidR="00D740B8" w:rsidRPr="0038259E" w:rsidRDefault="00D740B8" w:rsidP="00D740B8">
      <w:pPr>
        <w:ind w:left="360"/>
        <w:jc w:val="both"/>
        <w:rPr>
          <w:rFonts w:ascii="Times New Roman" w:hAnsi="Times New Roman" w:cs="Times New Roman"/>
          <w:bCs/>
          <w:sz w:val="24"/>
        </w:rPr>
      </w:pPr>
    </w:p>
    <w:p w14:paraId="60DF34D1" w14:textId="121F9A97" w:rsidR="00D740B8" w:rsidRPr="0038259E" w:rsidRDefault="00D740B8" w:rsidP="00D740B8">
      <w:pPr>
        <w:numPr>
          <w:ilvl w:val="0"/>
          <w:numId w:val="1"/>
        </w:numPr>
        <w:jc w:val="both"/>
        <w:rPr>
          <w:rFonts w:ascii="Times New Roman" w:hAnsi="Times New Roman" w:cs="Times New Roman"/>
          <w:sz w:val="24"/>
        </w:rPr>
      </w:pPr>
      <w:r w:rsidRPr="0038259E">
        <w:rPr>
          <w:rFonts w:ascii="Times New Roman" w:hAnsi="Times New Roman"/>
          <w:sz w:val="24"/>
        </w:rPr>
        <w:t>Die Institute haben die im Meldebogen EU OR3 verlangten Angaben gemäß Artikel 446 Absatz 1 Buchstabe b der Verordnung (EU) Nr. 575/2013 offenzulegen. Dieser Meldebogen liefert Informationen zur Berechnung der Eigenmittelanforderungen für das operationelle Risiko gemäß den Artikeln 312 bis 315 der Verordnung (EU) Nr. 575/2013.</w:t>
      </w:r>
    </w:p>
    <w:p w14:paraId="6DFA1648" w14:textId="77777777" w:rsidR="00D740B8" w:rsidRPr="0038259E" w:rsidRDefault="00D740B8" w:rsidP="00D740B8">
      <w:pPr>
        <w:ind w:left="360"/>
        <w:jc w:val="both"/>
        <w:rPr>
          <w:rFonts w:ascii="Times New Roman" w:hAnsi="Times New Roman" w:cs="Times New Roman"/>
          <w:bCs/>
          <w:sz w:val="24"/>
        </w:rPr>
      </w:pPr>
    </w:p>
    <w:p w14:paraId="2E35B8A0" w14:textId="77777777" w:rsidR="00D740B8" w:rsidRPr="0038259E"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38259E"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38259E" w:rsidRDefault="00D740B8">
            <w:pPr>
              <w:autoSpaceDE w:val="0"/>
              <w:autoSpaceDN w:val="0"/>
              <w:adjustRightInd w:val="0"/>
              <w:rPr>
                <w:rFonts w:ascii="Times New Roman" w:hAnsi="Times New Roman" w:cs="Times New Roman"/>
                <w:b/>
                <w:sz w:val="24"/>
              </w:rPr>
            </w:pPr>
            <w:r w:rsidRPr="0038259E">
              <w:rPr>
                <w:rFonts w:ascii="Times New Roman" w:hAnsi="Times New Roman"/>
                <w:b/>
                <w:sz w:val="24"/>
              </w:rPr>
              <w:t xml:space="preserve">Zeile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38259E" w:rsidRDefault="00D740B8">
            <w:pPr>
              <w:rPr>
                <w:rFonts w:ascii="Times New Roman" w:hAnsi="Times New Roman" w:cs="Times New Roman"/>
                <w:b/>
                <w:sz w:val="24"/>
              </w:rPr>
            </w:pPr>
            <w:r w:rsidRPr="0038259E">
              <w:rPr>
                <w:rFonts w:ascii="Times New Roman" w:hAnsi="Times New Roman"/>
                <w:b/>
                <w:sz w:val="24"/>
              </w:rPr>
              <w:t>Erläuterung</w:t>
            </w:r>
          </w:p>
        </w:tc>
      </w:tr>
      <w:tr w:rsidR="00D740B8" w:rsidRPr="0038259E"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38259E" w:rsidRDefault="00D740B8">
            <w:pPr>
              <w:spacing w:before="60" w:after="120"/>
              <w:jc w:val="both"/>
              <w:rPr>
                <w:rFonts w:ascii="Times New Roman" w:eastAsia="Times New Roman" w:hAnsi="Times New Roman" w:cs="Times New Roman"/>
                <w:b/>
                <w:sz w:val="24"/>
              </w:rPr>
            </w:pPr>
            <w:r w:rsidRPr="0038259E">
              <w:rPr>
                <w:rFonts w:ascii="Times New Roman" w:hAnsi="Times New Roman"/>
                <w:b/>
                <w:sz w:val="24"/>
              </w:rPr>
              <w:t>Geschäftsindikatorkomponente (BIC)</w:t>
            </w:r>
          </w:p>
          <w:p w14:paraId="1B10BB72" w14:textId="77777777" w:rsidR="00D740B8" w:rsidRPr="0038259E" w:rsidRDefault="00D740B8">
            <w:pPr>
              <w:spacing w:before="60" w:after="120"/>
              <w:jc w:val="both"/>
              <w:rPr>
                <w:rFonts w:ascii="Times New Roman" w:eastAsia="Times New Roman" w:hAnsi="Times New Roman" w:cs="Times New Roman"/>
                <w:sz w:val="24"/>
              </w:rPr>
            </w:pPr>
            <w:r w:rsidRPr="0038259E">
              <w:rPr>
                <w:rFonts w:ascii="Times New Roman" w:hAnsi="Times New Roman"/>
                <w:sz w:val="24"/>
              </w:rPr>
              <w:t>In dieser Zeile ist die gemäß Artikel 313 der Verordnung (EU) Nr. 575/2013 berechnete Geschäftsindikatorkomponente anzugeben.</w:t>
            </w:r>
          </w:p>
        </w:tc>
      </w:tr>
      <w:tr w:rsidR="00CA794A" w:rsidRPr="0038259E"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38259E" w:rsidRDefault="004A58B5">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38259E" w:rsidRDefault="004A58B5">
            <w:pPr>
              <w:spacing w:before="60" w:after="120"/>
              <w:jc w:val="both"/>
              <w:rPr>
                <w:rFonts w:ascii="Times New Roman" w:eastAsia="Times New Roman" w:hAnsi="Times New Roman" w:cs="Times New Roman"/>
                <w:b/>
                <w:sz w:val="24"/>
              </w:rPr>
            </w:pPr>
            <w:r w:rsidRPr="0038259E">
              <w:rPr>
                <w:rFonts w:ascii="Times New Roman" w:hAnsi="Times New Roman"/>
                <w:b/>
                <w:sz w:val="24"/>
              </w:rPr>
              <w:t>Alternativer Standardansatz für die Eigenmittelanforderungen nach Artikel 314 Absatz 4</w:t>
            </w:r>
          </w:p>
          <w:p w14:paraId="7762DF0B" w14:textId="6E2ACCB9" w:rsidR="004A58B5" w:rsidRPr="0038259E" w:rsidRDefault="005B4907">
            <w:pPr>
              <w:spacing w:before="60" w:after="120"/>
              <w:jc w:val="both"/>
              <w:rPr>
                <w:rFonts w:ascii="Times New Roman" w:eastAsia="Times New Roman" w:hAnsi="Times New Roman" w:cs="Times New Roman"/>
                <w:b/>
                <w:sz w:val="24"/>
              </w:rPr>
            </w:pPr>
            <w:r w:rsidRPr="0038259E">
              <w:rPr>
                <w:rFonts w:ascii="Times New Roman" w:hAnsi="Times New Roman"/>
                <w:sz w:val="24"/>
              </w:rPr>
              <w:t>Diese Zeile umfasst die Eigenmittelanforderungen für die Geschäftsfelder gemäß Artikel 314 Absatz 4, soweit zutreffend, bis zum 31. Dezember 2027 oder bis die konsolidierende Aufsichtsbehörde eine Erlaubnis gemäß Artikel 314 Absatz 3 erteilt, je nachdem, welcher Zeitpunkt früher liegt.</w:t>
            </w:r>
          </w:p>
        </w:tc>
      </w:tr>
      <w:tr w:rsidR="00D740B8" w:rsidRPr="0038259E"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38259E" w:rsidRDefault="001918A2">
            <w:pPr>
              <w:spacing w:before="60" w:after="120"/>
              <w:jc w:val="both"/>
              <w:rPr>
                <w:rFonts w:ascii="Times New Roman" w:eastAsia="Times New Roman" w:hAnsi="Times New Roman" w:cs="Times New Roman"/>
                <w:sz w:val="24"/>
              </w:rPr>
            </w:pPr>
            <w:proofErr w:type="gramStart"/>
            <w:r w:rsidRPr="0038259E">
              <w:rPr>
                <w:rFonts w:ascii="Times New Roman" w:hAnsi="Times New Roman"/>
                <w:sz w:val="24"/>
              </w:rPr>
              <w:t>Nicht zutreffend</w:t>
            </w:r>
            <w:proofErr w:type="gramEnd"/>
            <w:r w:rsidRPr="0038259E">
              <w:rPr>
                <w:rFonts w:ascii="Times New Roman" w:hAnsi="Times New Roman"/>
                <w:sz w:val="24"/>
              </w:rPr>
              <w:t>.</w:t>
            </w:r>
          </w:p>
        </w:tc>
      </w:tr>
      <w:tr w:rsidR="00D740B8" w:rsidRPr="0038259E"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38259E" w:rsidRDefault="00D740B8">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Mindest-Eigenmittelanforderungen für das operationelle Risiko</w:t>
            </w:r>
          </w:p>
          <w:p w14:paraId="2A7C24D0" w14:textId="54D9C5FF" w:rsidR="00D740B8" w:rsidRPr="0038259E" w:rsidRDefault="00977842">
            <w:pPr>
              <w:spacing w:before="60" w:after="120"/>
              <w:jc w:val="both"/>
              <w:rPr>
                <w:rFonts w:ascii="Times New Roman" w:eastAsia="Times New Roman" w:hAnsi="Times New Roman" w:cs="Times New Roman"/>
                <w:sz w:val="24"/>
              </w:rPr>
            </w:pPr>
            <w:r w:rsidRPr="0038259E">
              <w:rPr>
                <w:rFonts w:ascii="Times New Roman" w:hAnsi="Times New Roman"/>
                <w:sz w:val="24"/>
              </w:rPr>
              <w:t xml:space="preserve">Die Eigenmittelanforderungen sind nach Artikel 312 der Verordnung (EU) Nr. 575/2013 zu berechnen. In dieser Zeile sind die Eigenmittelanforderungen für das operationelle Risiko anzugeben, die der Summe der </w:t>
            </w:r>
            <w:r w:rsidRPr="0038259E">
              <w:rPr>
                <w:rFonts w:ascii="Times New Roman" w:hAnsi="Times New Roman"/>
                <w:sz w:val="24"/>
              </w:rPr>
              <w:lastRenderedPageBreak/>
              <w:t xml:space="preserve">Geschäftsindikatorkomponente und der Eigenmittelanforderungen für die in Artikel 314 Absatz 4 genannten Geschäftsfelder entsprechen, sofern zutreffend. </w:t>
            </w:r>
          </w:p>
        </w:tc>
      </w:tr>
      <w:tr w:rsidR="00D740B8" w:rsidRPr="0038259E"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38259E" w:rsidRDefault="00D740B8">
            <w:pPr>
              <w:autoSpaceDE w:val="0"/>
              <w:autoSpaceDN w:val="0"/>
              <w:adjustRightInd w:val="0"/>
              <w:spacing w:before="60" w:after="120"/>
              <w:jc w:val="center"/>
              <w:rPr>
                <w:rFonts w:ascii="Times New Roman" w:hAnsi="Times New Roman" w:cs="Times New Roman"/>
                <w:b/>
                <w:sz w:val="24"/>
              </w:rPr>
            </w:pPr>
            <w:r w:rsidRPr="0038259E">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38259E" w:rsidRDefault="00D740B8">
            <w:pPr>
              <w:spacing w:before="60" w:after="120"/>
              <w:jc w:val="both"/>
              <w:rPr>
                <w:rStyle w:val="InstructionsTabelleberschrift"/>
                <w:rFonts w:ascii="Times New Roman" w:eastAsia="Times New Roman" w:hAnsi="Times New Roman"/>
                <w:bCs w:val="0"/>
                <w:sz w:val="24"/>
                <w:u w:val="none"/>
              </w:rPr>
            </w:pPr>
            <w:r w:rsidRPr="0038259E">
              <w:rPr>
                <w:rStyle w:val="InstructionsTabelleberschrift"/>
                <w:rFonts w:ascii="Times New Roman" w:hAnsi="Times New Roman"/>
                <w:sz w:val="24"/>
                <w:u w:val="none"/>
              </w:rPr>
              <w:t>Beträge der Risikoposition operationellen Risiken</w:t>
            </w:r>
          </w:p>
          <w:p w14:paraId="317F9BDE" w14:textId="6672A695" w:rsidR="00D740B8" w:rsidRPr="0038259E" w:rsidRDefault="00D740B8">
            <w:pPr>
              <w:spacing w:before="60" w:after="120"/>
              <w:jc w:val="both"/>
              <w:rPr>
                <w:rFonts w:ascii="Times New Roman" w:eastAsia="Times New Roman" w:hAnsi="Times New Roman" w:cs="Times New Roman"/>
                <w:sz w:val="24"/>
              </w:rPr>
            </w:pPr>
            <w:r w:rsidRPr="0038259E">
              <w:rPr>
                <w:rFonts w:ascii="Times New Roman" w:hAnsi="Times New Roman"/>
                <w:sz w:val="24"/>
              </w:rPr>
              <w:t xml:space="preserve">Auf der Grundlage von Artikel 92 Absatz 3 Buchstabe e und Artikel 92 Absatz 4 der Verordnung (EU) Nr. 575/2013 sind in dieser Zeile die Eigenmittelanforderungen in Zeile 3 multipliziert mit 12,5 offenzulegen. </w:t>
            </w:r>
          </w:p>
        </w:tc>
      </w:tr>
    </w:tbl>
    <w:p w14:paraId="079B8CA0" w14:textId="77777777" w:rsidR="00D740B8" w:rsidRPr="0038259E" w:rsidRDefault="00D740B8" w:rsidP="00D740B8">
      <w:pPr>
        <w:rPr>
          <w:rFonts w:ascii="Times New Roman" w:hAnsi="Times New Roman" w:cs="Times New Roman"/>
          <w:sz w:val="24"/>
        </w:rPr>
      </w:pPr>
    </w:p>
    <w:p w14:paraId="41C8F396" w14:textId="77777777" w:rsidR="002C1404" w:rsidRPr="0038259E" w:rsidRDefault="002C1404"/>
    <w:sectPr w:rsidR="002C1404" w:rsidRPr="003825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38259E" w:rsidRDefault="00924970" w:rsidP="00E114F3">
      <w:r w:rsidRPr="0038259E">
        <w:separator/>
      </w:r>
    </w:p>
  </w:endnote>
  <w:endnote w:type="continuationSeparator" w:id="0">
    <w:p w14:paraId="6750FE16" w14:textId="77777777" w:rsidR="00924970" w:rsidRPr="0038259E" w:rsidRDefault="00924970" w:rsidP="00E114F3">
      <w:r w:rsidRPr="0038259E">
        <w:continuationSeparator/>
      </w:r>
    </w:p>
  </w:endnote>
  <w:endnote w:type="continuationNotice" w:id="1">
    <w:p w14:paraId="44EFD629" w14:textId="77777777" w:rsidR="00924970" w:rsidRPr="0038259E"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1688" w14:textId="77777777" w:rsidR="0038259E" w:rsidRPr="0038259E" w:rsidRDefault="0038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38259E" w:rsidRDefault="00E114F3">
        <w:pPr>
          <w:pStyle w:val="Footer"/>
          <w:jc w:val="right"/>
        </w:pPr>
        <w:r w:rsidRPr="0038259E">
          <w:fldChar w:fldCharType="begin"/>
        </w:r>
        <w:r w:rsidRPr="0038259E">
          <w:instrText xml:space="preserve"> PAGE   \* MERGEFORMAT </w:instrText>
        </w:r>
        <w:r w:rsidRPr="0038259E">
          <w:fldChar w:fldCharType="separate"/>
        </w:r>
        <w:r w:rsidR="00370155" w:rsidRPr="0038259E">
          <w:t>1</w:t>
        </w:r>
        <w:r w:rsidRPr="0038259E">
          <w:fldChar w:fldCharType="end"/>
        </w:r>
      </w:p>
    </w:sdtContent>
  </w:sdt>
  <w:p w14:paraId="049F31CB" w14:textId="77777777" w:rsidR="00E114F3" w:rsidRPr="0038259E"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01E7" w14:textId="77777777" w:rsidR="0038259E" w:rsidRPr="0038259E" w:rsidRDefault="00382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38259E" w:rsidRDefault="00924970" w:rsidP="00E114F3">
      <w:r w:rsidRPr="0038259E">
        <w:separator/>
      </w:r>
    </w:p>
  </w:footnote>
  <w:footnote w:type="continuationSeparator" w:id="0">
    <w:p w14:paraId="3D7D4E32" w14:textId="77777777" w:rsidR="00924970" w:rsidRPr="0038259E" w:rsidRDefault="00924970" w:rsidP="00E114F3">
      <w:r w:rsidRPr="0038259E">
        <w:continuationSeparator/>
      </w:r>
    </w:p>
  </w:footnote>
  <w:footnote w:type="continuationNotice" w:id="1">
    <w:p w14:paraId="6FCD0CD0" w14:textId="77777777" w:rsidR="00924970" w:rsidRPr="0038259E" w:rsidRDefault="00924970"/>
  </w:footnote>
  <w:footnote w:id="2">
    <w:p w14:paraId="3798489D" w14:textId="469FF1F7" w:rsidR="00E114F3" w:rsidRPr="0038259E" w:rsidRDefault="00E114F3" w:rsidP="003D3122">
      <w:pPr>
        <w:pStyle w:val="FootnoteText"/>
      </w:pPr>
      <w:r w:rsidRPr="0038259E">
        <w:rPr>
          <w:rStyle w:val="FootnoteReference"/>
          <w:rFonts w:cstheme="minorHAnsi"/>
        </w:rPr>
        <w:footnoteRef/>
      </w:r>
      <w:r w:rsidRPr="0038259E">
        <w:tab/>
        <w:t>Verordnung (EU) Nr. 575/2013 des Europäischen Parlaments und des Rates vom 26. Juni 2013 über Aufsichtsanforderungen an Kreditinstitute und Wertpapierfirmen und zur Änderung der Verordnung (EU) Nr. 648/2012 sowie Änderungsverordnung (EU) 2024/1623 (</w:t>
      </w:r>
      <w:hyperlink r:id="rId1" w:history="1">
        <w:r w:rsidRPr="0038259E">
          <w:rPr>
            <w:rStyle w:val="Hyperlink"/>
            <w:color w:val="800080"/>
          </w:rPr>
          <w:t xml:space="preserve">(ABl. L 176 vom 27.6.2013, S. 1); </w:t>
        </w:r>
      </w:hyperlink>
      <w:hyperlink r:id="rId2" w:history="1">
        <w:r w:rsidRPr="0038259E">
          <w:rPr>
            <w:rStyle w:val="Hyperlink"/>
          </w:rPr>
          <w:t>Verordnung (EU) 2024/1623 - DE - EUR-Lex (europa.eu)</w:t>
        </w:r>
      </w:hyperlink>
      <w:r w:rsidRPr="0038259E">
        <w:t>).</w:t>
      </w:r>
    </w:p>
    <w:p w14:paraId="45FB0818" w14:textId="77777777" w:rsidR="00E114F3" w:rsidRPr="0038259E"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38259E" w:rsidRDefault="00864ECA">
    <w:pPr>
      <w:pStyle w:val="Header"/>
    </w:pPr>
    <w:r w:rsidRPr="0038259E">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38259E" w:rsidRDefault="00864ECA" w:rsidP="00864ECA">
                          <w:pPr>
                            <w:rPr>
                              <w:rFonts w:ascii="Calibri" w:eastAsia="Calibri" w:hAnsi="Calibri" w:cs="Calibri"/>
                              <w:noProof/>
                              <w:color w:val="000000"/>
                              <w:sz w:val="24"/>
                            </w:rPr>
                          </w:pPr>
                          <w:r w:rsidRPr="0038259E">
                            <w:rPr>
                              <w:rFonts w:ascii="Calibri" w:hAnsi="Calibri"/>
                              <w:color w:val="000000"/>
                              <w:sz w:val="24"/>
                            </w:rPr>
                            <w:t>EBA Reguläre Verwendung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38259E" w:rsidRDefault="00864ECA" w:rsidP="00864ECA">
                    <w:pPr>
                      <w:rPr>
                        <w:rFonts w:ascii="Calibri" w:eastAsia="Calibri" w:hAnsi="Calibri" w:cs="Calibri"/>
                        <w:noProof/>
                        <w:color w:val="000000"/>
                        <w:sz w:val="24"/>
                      </w:rPr>
                    </w:pPr>
                    <w:r w:rsidRPr="0038259E">
                      <w:rPr>
                        <w:rFonts w:ascii="Calibri" w:hAnsi="Calibri"/>
                        <w:color w:val="000000"/>
                        <w:sz w:val="24"/>
                      </w:rPr>
                      <w:t>EBA Reguläre Verwendung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38259E" w:rsidRDefault="00864ECA">
    <w:pPr>
      <w:pStyle w:val="Header"/>
    </w:pPr>
    <w:r w:rsidRPr="0038259E">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38259E" w:rsidRDefault="00864ECA" w:rsidP="00864ECA">
                          <w:pPr>
                            <w:rPr>
                              <w:rFonts w:ascii="Calibri" w:eastAsia="Calibri" w:hAnsi="Calibri" w:cs="Calibri"/>
                              <w:noProof/>
                              <w:color w:val="000000"/>
                              <w:sz w:val="24"/>
                            </w:rPr>
                          </w:pPr>
                          <w:r w:rsidRPr="0038259E">
                            <w:rPr>
                              <w:rFonts w:ascii="Calibri" w:hAnsi="Calibri"/>
                              <w:color w:val="000000"/>
                              <w:sz w:val="24"/>
                            </w:rPr>
                            <w:t>EBA Reguläre Verwendung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38259E" w:rsidRDefault="00864ECA" w:rsidP="00864ECA">
                    <w:pPr>
                      <w:rPr>
                        <w:rFonts w:ascii="Calibri" w:eastAsia="Calibri" w:hAnsi="Calibri" w:cs="Calibri"/>
                        <w:noProof/>
                        <w:color w:val="000000"/>
                        <w:sz w:val="24"/>
                      </w:rPr>
                    </w:pPr>
                    <w:r w:rsidRPr="0038259E">
                      <w:rPr>
                        <w:rFonts w:ascii="Calibri" w:hAnsi="Calibri"/>
                        <w:color w:val="000000"/>
                        <w:sz w:val="24"/>
                      </w:rPr>
                      <w:t>EBA Reguläre Verwendung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38259E" w:rsidRDefault="00864ECA">
    <w:pPr>
      <w:pStyle w:val="Header"/>
    </w:pPr>
    <w:r w:rsidRPr="0038259E">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38259E" w:rsidRDefault="00864ECA" w:rsidP="00864ECA">
                          <w:pPr>
                            <w:rPr>
                              <w:rFonts w:ascii="Calibri" w:eastAsia="Calibri" w:hAnsi="Calibri" w:cs="Calibri"/>
                              <w:noProof/>
                              <w:color w:val="000000"/>
                              <w:sz w:val="24"/>
                            </w:rPr>
                          </w:pPr>
                          <w:r w:rsidRPr="0038259E">
                            <w:rPr>
                              <w:rFonts w:ascii="Calibri" w:hAnsi="Calibri"/>
                              <w:color w:val="000000"/>
                              <w:sz w:val="24"/>
                            </w:rPr>
                            <w:t>EBA Reguläre Verwendung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38259E" w:rsidRDefault="00864ECA" w:rsidP="00864ECA">
                    <w:pPr>
                      <w:rPr>
                        <w:rFonts w:ascii="Calibri" w:eastAsia="Calibri" w:hAnsi="Calibri" w:cs="Calibri"/>
                        <w:noProof/>
                        <w:color w:val="000000"/>
                        <w:sz w:val="24"/>
                      </w:rPr>
                    </w:pPr>
                    <w:r w:rsidRPr="0038259E">
                      <w:rPr>
                        <w:rFonts w:ascii="Calibri" w:hAnsi="Calibri"/>
                        <w:color w:val="000000"/>
                        <w:sz w:val="24"/>
                      </w:rPr>
                      <w:t>EBA Reguläre Verwendung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59E"/>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245"/>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de-DE"/>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de-DE"/>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3.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4.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5114</Words>
  <Characters>33492</Characters>
  <Application>Microsoft Office Word</Application>
  <DocSecurity>0</DocSecurity>
  <Lines>279</Lines>
  <Paragraphs>77</Paragraphs>
  <ScaleCrop>false</ScaleCrop>
  <Manager/>
  <Company/>
  <LinksUpToDate>false</LinksUpToDate>
  <CharactersWithSpaces>38529</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