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15CFB6EE" w:rsidR="00E114F3" w:rsidRPr="00265D59" w:rsidRDefault="009D2A25" w:rsidP="009D2A25">
      <w:pPr>
        <w:pStyle w:val="Annexetitre"/>
        <w:spacing w:before="0"/>
      </w:pPr>
      <w:r>
        <w:t xml:space="preserve"> </w:t>
      </w:r>
      <w:r w:rsidR="00E114F3" w:rsidRPr="00265D59">
        <w:t>BILAG XXXII – Instrukser for skemaer til offentliggørelse af operationel risiko</w:t>
      </w:r>
    </w:p>
    <w:p w14:paraId="672A6659" w14:textId="77777777" w:rsidR="00E114F3" w:rsidRPr="00265D59" w:rsidRDefault="00E114F3" w:rsidP="00E114F3">
      <w:pPr>
        <w:spacing w:after="120"/>
        <w:jc w:val="both"/>
        <w:rPr>
          <w:rFonts w:ascii="Times New Roman" w:hAnsi="Times New Roman"/>
          <w:b/>
          <w:bCs/>
          <w:sz w:val="24"/>
        </w:rPr>
      </w:pPr>
    </w:p>
    <w:p w14:paraId="384DD143" w14:textId="77777777" w:rsidR="00E114F3" w:rsidRPr="00265D59" w:rsidRDefault="00E114F3" w:rsidP="00E114F3">
      <w:pPr>
        <w:spacing w:after="120"/>
        <w:rPr>
          <w:rFonts w:ascii="Times New Roman" w:hAnsi="Times New Roman"/>
          <w:bCs/>
          <w:sz w:val="24"/>
        </w:rPr>
      </w:pPr>
      <w:r w:rsidRPr="00265D59">
        <w:rPr>
          <w:rFonts w:ascii="Times New Roman" w:hAnsi="Times New Roman"/>
          <w:b/>
          <w:sz w:val="24"/>
        </w:rPr>
        <w:t xml:space="preserve">Tabel EU ORA – Kvalitative oplysninger om operationel risiko. </w:t>
      </w:r>
      <w:r w:rsidRPr="00265D59">
        <w:rPr>
          <w:rFonts w:ascii="Times New Roman" w:hAnsi="Times New Roman"/>
          <w:sz w:val="24"/>
        </w:rPr>
        <w:t>Fleksibel tabel</w:t>
      </w:r>
    </w:p>
    <w:p w14:paraId="2E1E5572" w14:textId="6D56D6EF" w:rsidR="00E114F3" w:rsidRPr="00265D59" w:rsidRDefault="2A1FD4BE" w:rsidP="44B77564">
      <w:pPr>
        <w:numPr>
          <w:ilvl w:val="0"/>
          <w:numId w:val="1"/>
        </w:numPr>
        <w:spacing w:after="120"/>
        <w:jc w:val="both"/>
        <w:rPr>
          <w:rFonts w:ascii="Calibri" w:eastAsia="Times New Roman" w:hAnsi="Calibri" w:cs="Times New Roman"/>
          <w:color w:val="000000"/>
        </w:rPr>
      </w:pPr>
      <w:r w:rsidRPr="00265D59">
        <w:rPr>
          <w:rFonts w:ascii="Times New Roman" w:hAnsi="Times New Roman"/>
          <w:sz w:val="24"/>
        </w:rPr>
        <w:t>Institutterne offentliggør oplysningerne i denne tabel i henhold til artikel 435, stk. 1, og artikel 446, stk. 1, litra a), i forordning (EU) nr. 575/2013</w:t>
      </w:r>
      <w:r w:rsidR="00E114F3" w:rsidRPr="00265D59">
        <w:rPr>
          <w:rStyle w:val="FootnoteReference"/>
          <w:rFonts w:ascii="Times New Roman" w:hAnsi="Times New Roman"/>
          <w:sz w:val="24"/>
          <w:szCs w:val="24"/>
        </w:rPr>
        <w:footnoteReference w:id="2"/>
      </w:r>
      <w:r w:rsidRPr="00265D59">
        <w:rPr>
          <w:rFonts w:ascii="Times New Roman" w:hAnsi="Times New Roman"/>
          <w:sz w:val="24"/>
        </w:rPr>
        <w:t>.</w:t>
      </w:r>
    </w:p>
    <w:p w14:paraId="728254AD" w14:textId="52B3E768" w:rsidR="00E114F3" w:rsidRPr="00265D59" w:rsidRDefault="00E114F3" w:rsidP="00E114F3">
      <w:pPr>
        <w:numPr>
          <w:ilvl w:val="0"/>
          <w:numId w:val="1"/>
        </w:numPr>
        <w:spacing w:after="120"/>
        <w:jc w:val="both"/>
        <w:rPr>
          <w:rFonts w:ascii="Times New Roman" w:hAnsi="Times New Roman"/>
          <w:bCs/>
          <w:sz w:val="24"/>
        </w:rPr>
      </w:pPr>
      <w:r w:rsidRPr="00265D59">
        <w:rPr>
          <w:rFonts w:ascii="Times New Roman" w:hAnsi="Times New Roman"/>
          <w:sz w:val="24"/>
        </w:rPr>
        <w:t xml:space="preserve">Institutterne anvender nedenstående instrukser i dette bilag, når de skal udfylde EU ORA-tabellen om offentliggørelse af operationel risiko, som fremgår af bilag XXXI til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w:t>
      </w:r>
    </w:p>
    <w:tbl>
      <w:tblPr>
        <w:tblW w:w="8926" w:type="dxa"/>
        <w:tblLook w:val="04A0" w:firstRow="1" w:lastRow="0" w:firstColumn="1" w:lastColumn="0" w:noHBand="0" w:noVBand="1"/>
      </w:tblPr>
      <w:tblGrid>
        <w:gridCol w:w="1555"/>
        <w:gridCol w:w="7371"/>
      </w:tblGrid>
      <w:tr w:rsidR="00E114F3" w:rsidRPr="00265D59"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265D59" w:rsidRDefault="00E114F3">
            <w:pPr>
              <w:spacing w:after="120"/>
              <w:rPr>
                <w:rFonts w:ascii="Times New Roman" w:eastAsia="Times New Roman" w:hAnsi="Times New Roman" w:cs="Times New Roman"/>
                <w:b/>
                <w:bCs/>
                <w:color w:val="000000"/>
                <w:sz w:val="24"/>
              </w:rPr>
            </w:pPr>
            <w:r w:rsidRPr="00265D59">
              <w:rPr>
                <w:rFonts w:ascii="Times New Roman" w:hAnsi="Times New Roman"/>
                <w:b/>
                <w:color w:val="000000"/>
                <w:sz w:val="24"/>
              </w:rPr>
              <w:t>Henvisninger til retsakter og instrukser</w:t>
            </w:r>
          </w:p>
        </w:tc>
      </w:tr>
      <w:tr w:rsidR="00E114F3" w:rsidRPr="00265D59"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265D59" w:rsidRDefault="00E114F3">
            <w:pPr>
              <w:spacing w:after="120"/>
              <w:rPr>
                <w:rFonts w:ascii="Times New Roman" w:eastAsia="Times New Roman" w:hAnsi="Times New Roman" w:cs="Times New Roman"/>
                <w:b/>
                <w:bCs/>
                <w:color w:val="000000"/>
                <w:sz w:val="24"/>
              </w:rPr>
            </w:pPr>
            <w:r w:rsidRPr="00265D59">
              <w:rPr>
                <w:rFonts w:ascii="Times New Roman" w:hAnsi="Times New Roman"/>
                <w:b/>
                <w:color w:val="000000"/>
                <w:sz w:val="24"/>
              </w:rPr>
              <w:t>Række</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265D59" w:rsidRDefault="00E114F3">
            <w:pPr>
              <w:spacing w:after="120"/>
              <w:rPr>
                <w:rFonts w:ascii="Times New Roman" w:eastAsia="Times New Roman" w:hAnsi="Times New Roman" w:cs="Times New Roman"/>
                <w:b/>
                <w:bCs/>
                <w:color w:val="000000"/>
                <w:sz w:val="24"/>
              </w:rPr>
            </w:pPr>
            <w:r w:rsidRPr="00265D59">
              <w:rPr>
                <w:rFonts w:ascii="Times New Roman" w:hAnsi="Times New Roman"/>
                <w:b/>
                <w:color w:val="000000"/>
                <w:sz w:val="24"/>
              </w:rPr>
              <w:t>Forklaring</w:t>
            </w:r>
          </w:p>
        </w:tc>
      </w:tr>
      <w:tr w:rsidR="00E114F3" w:rsidRPr="00265D59"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265D59" w:rsidRDefault="00E114F3">
            <w:pPr>
              <w:spacing w:after="120"/>
              <w:jc w:val="center"/>
              <w:rPr>
                <w:rFonts w:ascii="Times New Roman" w:eastAsia="Times New Roman" w:hAnsi="Times New Roman" w:cs="Times New Roman"/>
                <w:color w:val="000000"/>
                <w:sz w:val="24"/>
              </w:rPr>
            </w:pPr>
            <w:r w:rsidRPr="00265D59">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265D59" w:rsidRDefault="00E114F3">
            <w:pPr>
              <w:spacing w:after="120"/>
              <w:jc w:val="both"/>
              <w:rPr>
                <w:rFonts w:ascii="Times New Roman" w:eastAsia="Times New Roman" w:hAnsi="Times New Roman" w:cs="Times New Roman"/>
                <w:b/>
                <w:color w:val="000000"/>
                <w:sz w:val="24"/>
              </w:rPr>
            </w:pPr>
            <w:r w:rsidRPr="00265D59">
              <w:rPr>
                <w:rFonts w:ascii="Times New Roman" w:hAnsi="Times New Roman"/>
                <w:b/>
                <w:color w:val="000000"/>
                <w:sz w:val="24"/>
              </w:rPr>
              <w:t>Offentliggørelse af risikostyringsmålsætninger og -politikker</w:t>
            </w:r>
          </w:p>
          <w:p w14:paraId="65684A44" w14:textId="36ED8962" w:rsidR="00E114F3" w:rsidRPr="00265D59" w:rsidRDefault="2A1FD4BE">
            <w:pPr>
              <w:spacing w:after="120"/>
              <w:rPr>
                <w:rFonts w:ascii="Times New Roman" w:eastAsia="Times New Roman" w:hAnsi="Times New Roman" w:cs="Times New Roman"/>
                <w:color w:val="000000"/>
                <w:sz w:val="24"/>
              </w:rPr>
            </w:pPr>
            <w:r w:rsidRPr="00265D59">
              <w:rPr>
                <w:rFonts w:ascii="Times New Roman" w:hAnsi="Times New Roman"/>
                <w:color w:val="000000" w:themeColor="text1"/>
                <w:sz w:val="24"/>
              </w:rPr>
              <w:t>I overensstemmelse med artikel 435, stk. 1, litra a), i forordning (EU) nr. 575/2013 offentliggør institutterne deres målsætninger, politikker, rammer og retningslinjer for styring af operationel risiko, herunder strategierne og processerne for styring af denne risiko.</w:t>
            </w:r>
          </w:p>
        </w:tc>
      </w:tr>
      <w:tr w:rsidR="00E114F3" w:rsidRPr="00265D59"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265D59" w:rsidRDefault="00E114F3">
            <w:pPr>
              <w:spacing w:after="120"/>
              <w:jc w:val="center"/>
              <w:rPr>
                <w:rFonts w:ascii="Times New Roman" w:eastAsia="Times New Roman" w:hAnsi="Times New Roman" w:cs="Times New Roman"/>
                <w:color w:val="000000"/>
                <w:sz w:val="24"/>
              </w:rPr>
            </w:pPr>
            <w:r w:rsidRPr="00265D59">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265D59" w:rsidRDefault="00885AC5" w:rsidP="00885AC5">
            <w:pPr>
              <w:spacing w:before="120" w:after="120"/>
              <w:jc w:val="both"/>
              <w:rPr>
                <w:rFonts w:ascii="Times New Roman" w:eastAsia="Times New Roman" w:hAnsi="Times New Roman" w:cs="Times New Roman"/>
                <w:b/>
                <w:color w:val="000000"/>
                <w:sz w:val="24"/>
              </w:rPr>
            </w:pPr>
            <w:r w:rsidRPr="00265D59">
              <w:rPr>
                <w:rFonts w:ascii="Times New Roman" w:hAnsi="Times New Roman"/>
                <w:b/>
                <w:color w:val="000000"/>
                <w:sz w:val="24"/>
              </w:rPr>
              <w:t>Offentliggørelse af strukturen i og tilrettelæggelsen af den operationelle risikostyringsfunktion</w:t>
            </w:r>
          </w:p>
          <w:p w14:paraId="739779F0" w14:textId="092C61F0" w:rsidR="00E114F3" w:rsidRPr="00265D59" w:rsidRDefault="00885AC5">
            <w:pPr>
              <w:spacing w:after="120"/>
              <w:jc w:val="both"/>
              <w:rPr>
                <w:rFonts w:ascii="Times New Roman" w:eastAsia="Times New Roman" w:hAnsi="Times New Roman" w:cs="Times New Roman"/>
                <w:color w:val="000000"/>
                <w:sz w:val="24"/>
              </w:rPr>
            </w:pPr>
            <w:r w:rsidRPr="00265D59">
              <w:rPr>
                <w:rFonts w:ascii="Times New Roman" w:hAnsi="Times New Roman"/>
                <w:color w:val="000000" w:themeColor="text1"/>
                <w:sz w:val="24"/>
              </w:rPr>
              <w:t>I overensstemmelse med artikel 435, stk. 1, litra b), i forordning (EU) nr. 575/2013 offentliggør institutterne strukturen i og tilrettelæggelsen af den operationelle risikostyringsfunktion, herunder oplysninger om den operationelle risikostyringsfunktions kompetence, beføjelser og ansvar i overensstemmelse med instituttets stiftelsesdokument og vedtægter samt kontrolfunktion.</w:t>
            </w:r>
          </w:p>
        </w:tc>
      </w:tr>
      <w:tr w:rsidR="00E114F3" w:rsidRPr="00265D59"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265D59" w:rsidRDefault="00E114F3">
            <w:pPr>
              <w:spacing w:after="120"/>
              <w:jc w:val="center"/>
              <w:rPr>
                <w:rFonts w:ascii="Times New Roman" w:eastAsia="Times New Roman" w:hAnsi="Times New Roman" w:cs="Times New Roman"/>
                <w:color w:val="000000"/>
                <w:sz w:val="24"/>
              </w:rPr>
            </w:pPr>
            <w:r w:rsidRPr="00265D59">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265D59" w:rsidRDefault="005129A3" w:rsidP="005129A3">
            <w:pPr>
              <w:spacing w:before="120" w:after="120"/>
              <w:jc w:val="both"/>
              <w:rPr>
                <w:rFonts w:ascii="Times New Roman" w:eastAsia="Times New Roman" w:hAnsi="Times New Roman" w:cs="Times New Roman"/>
                <w:b/>
                <w:color w:val="000000"/>
                <w:sz w:val="24"/>
              </w:rPr>
            </w:pPr>
            <w:r w:rsidRPr="00265D59">
              <w:rPr>
                <w:rFonts w:ascii="Times New Roman" w:hAnsi="Times New Roman"/>
                <w:b/>
                <w:color w:val="000000"/>
                <w:sz w:val="24"/>
              </w:rPr>
              <w:t>Beskrivelse af målesystemets omfang og art</w:t>
            </w:r>
          </w:p>
          <w:p w14:paraId="2426746E" w14:textId="624D178E" w:rsidR="00E114F3" w:rsidRPr="00265D59" w:rsidRDefault="005129A3">
            <w:pPr>
              <w:spacing w:after="120"/>
              <w:jc w:val="both"/>
              <w:rPr>
                <w:rFonts w:ascii="Times New Roman" w:eastAsia="Times New Roman" w:hAnsi="Times New Roman" w:cs="Times New Roman"/>
                <w:color w:val="000000"/>
                <w:sz w:val="24"/>
              </w:rPr>
            </w:pPr>
            <w:r w:rsidRPr="00265D59">
              <w:rPr>
                <w:rFonts w:ascii="Times New Roman" w:hAnsi="Times New Roman"/>
                <w:color w:val="000000" w:themeColor="text1"/>
                <w:sz w:val="24"/>
              </w:rPr>
              <w:t>I henhold til artikel 435, stk. 1, litra c), i forordning (EU) nr. 575/2013 offentliggør institutterne omfanget og arten af systemet til måling af operationel risiko (dvs. de systemer og data, der anvendes til at måle operationel risiko med henblik på at estimere kapitalkravet vedrørende operationel risiko).</w:t>
            </w:r>
          </w:p>
        </w:tc>
      </w:tr>
      <w:tr w:rsidR="00E114F3" w:rsidRPr="00265D59"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265D59" w:rsidRDefault="00E114F3">
            <w:pPr>
              <w:spacing w:after="120"/>
              <w:jc w:val="center"/>
              <w:rPr>
                <w:rFonts w:ascii="Times New Roman" w:eastAsia="Times New Roman" w:hAnsi="Times New Roman" w:cs="Times New Roman"/>
                <w:color w:val="000000"/>
                <w:sz w:val="24"/>
              </w:rPr>
            </w:pPr>
            <w:r w:rsidRPr="00265D59">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265D59" w:rsidRDefault="005D02AE" w:rsidP="005D02AE">
            <w:pPr>
              <w:spacing w:before="120" w:after="120"/>
              <w:jc w:val="both"/>
              <w:rPr>
                <w:rFonts w:ascii="Times New Roman" w:eastAsia="Times New Roman" w:hAnsi="Times New Roman" w:cs="Times New Roman"/>
                <w:b/>
                <w:color w:val="000000"/>
                <w:sz w:val="24"/>
              </w:rPr>
            </w:pPr>
            <w:r w:rsidRPr="00265D59">
              <w:rPr>
                <w:rFonts w:ascii="Times New Roman" w:hAnsi="Times New Roman"/>
                <w:b/>
                <w:color w:val="000000" w:themeColor="text1"/>
                <w:sz w:val="24"/>
              </w:rPr>
              <w:t>Beskrivelse af omfanget og arten af rammerne for indberetning af operationel risiko</w:t>
            </w:r>
          </w:p>
          <w:p w14:paraId="1EE9A69D" w14:textId="428D8604" w:rsidR="00E114F3" w:rsidRPr="00265D59" w:rsidRDefault="005D02AE">
            <w:pPr>
              <w:spacing w:after="120"/>
              <w:jc w:val="both"/>
              <w:rPr>
                <w:rFonts w:ascii="Times New Roman" w:eastAsia="Times New Roman" w:hAnsi="Times New Roman" w:cs="Times New Roman"/>
                <w:color w:val="000000"/>
                <w:sz w:val="24"/>
              </w:rPr>
            </w:pPr>
            <w:r w:rsidRPr="00265D59">
              <w:rPr>
                <w:rFonts w:ascii="Times New Roman" w:hAnsi="Times New Roman"/>
                <w:color w:val="000000" w:themeColor="text1"/>
                <w:sz w:val="24"/>
              </w:rPr>
              <w:t>I overensstemmelse med artikel 435, stk. 1, litra c), i forordning (EU) nr. 575/2013 offentliggør institutterne omfanget og arten af rammerne for indberetning af operationel risiko til direktionen og bestyrelsen.</w:t>
            </w:r>
          </w:p>
        </w:tc>
      </w:tr>
      <w:tr w:rsidR="00E5460F" w:rsidRPr="00265D59"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265D59" w:rsidRDefault="00E5460F">
            <w:pPr>
              <w:spacing w:after="120"/>
              <w:jc w:val="center"/>
              <w:rPr>
                <w:rFonts w:ascii="Times New Roman" w:eastAsia="Times New Roman" w:hAnsi="Times New Roman" w:cs="Times New Roman"/>
                <w:color w:val="000000"/>
                <w:sz w:val="24"/>
              </w:rPr>
            </w:pPr>
            <w:r w:rsidRPr="00265D59">
              <w:rPr>
                <w:rFonts w:ascii="Times New Roman" w:hAnsi="Times New Roman"/>
                <w:color w:val="000000"/>
                <w:sz w:val="24"/>
              </w:rPr>
              <w:lastRenderedPageBreak/>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265D59" w:rsidRDefault="00E25C0C" w:rsidP="00E25C0C">
            <w:pPr>
              <w:spacing w:before="120" w:after="120"/>
              <w:jc w:val="both"/>
              <w:rPr>
                <w:rFonts w:ascii="Times New Roman" w:eastAsia="Times New Roman" w:hAnsi="Times New Roman" w:cs="Times New Roman"/>
                <w:color w:val="000000"/>
                <w:sz w:val="24"/>
              </w:rPr>
            </w:pPr>
            <w:r w:rsidRPr="00265D59">
              <w:rPr>
                <w:rFonts w:ascii="Times New Roman" w:hAnsi="Times New Roman"/>
                <w:b/>
                <w:color w:val="000000" w:themeColor="text1"/>
                <w:sz w:val="24"/>
              </w:rPr>
              <w:t>Beskrivelse af politikkerne og strategierne for risikoreduktion og -afdækning</w:t>
            </w:r>
          </w:p>
          <w:p w14:paraId="443DC7A5" w14:textId="7D68A10D" w:rsidR="00E5460F" w:rsidRPr="00265D59" w:rsidDel="009A4E43" w:rsidRDefault="00E25C0C" w:rsidP="00E25C0C">
            <w:pPr>
              <w:spacing w:after="120"/>
              <w:jc w:val="both"/>
              <w:rPr>
                <w:rFonts w:ascii="Times New Roman" w:eastAsia="Times New Roman" w:hAnsi="Times New Roman" w:cs="Times New Roman"/>
                <w:b/>
                <w:color w:val="000000"/>
                <w:sz w:val="24"/>
              </w:rPr>
            </w:pPr>
            <w:r w:rsidRPr="00265D59">
              <w:rPr>
                <w:rFonts w:ascii="Times New Roman" w:hAnsi="Times New Roman"/>
                <w:color w:val="000000" w:themeColor="text1"/>
                <w:sz w:val="24"/>
              </w:rPr>
              <w:t>I overensstemmelse med artikel 435, stk. 1, litra d), i forordning (EU) nr. 575/2013 offentliggør institutterne deres politikker og strategier for risikoreduktion og risikoafdækning, der anvendes i forbindelse med styring af operationel risiko, herunder hvor reduktionen af den operationelle risiko opnås via politikker (i hvilket tilfælde de offentliggør politikkerne for risikokultur, risikovillighed og outsourcing), eller hvor den opnås via afhændelse af højrisikovirksomheder eller via etablering af kontrolforanstaltninger. Institutterne oplyser også de resterende eksponeringer, der absorberes af dem selv eller, hvis det er relevant, de resterende eksponeringer, der overføres på forskellige måder, herunder via forsikring.</w:t>
            </w:r>
          </w:p>
        </w:tc>
      </w:tr>
    </w:tbl>
    <w:p w14:paraId="0A37501D" w14:textId="77777777" w:rsidR="00E114F3" w:rsidRPr="00265D59" w:rsidRDefault="00E114F3" w:rsidP="00E114F3">
      <w:pPr>
        <w:spacing w:after="120"/>
        <w:jc w:val="both"/>
        <w:rPr>
          <w:rFonts w:ascii="Times New Roman" w:hAnsi="Times New Roman" w:cs="Times New Roman"/>
          <w:b/>
          <w:bCs/>
          <w:sz w:val="24"/>
        </w:rPr>
      </w:pPr>
    </w:p>
    <w:p w14:paraId="73228265" w14:textId="2825D40F" w:rsidR="00E114F3" w:rsidRPr="00265D59" w:rsidRDefault="00E114F3" w:rsidP="00E114F3">
      <w:pPr>
        <w:spacing w:after="120"/>
        <w:jc w:val="both"/>
        <w:rPr>
          <w:rFonts w:ascii="Times New Roman" w:hAnsi="Times New Roman" w:cs="Times New Roman"/>
          <w:bCs/>
          <w:sz w:val="24"/>
        </w:rPr>
      </w:pPr>
      <w:r w:rsidRPr="00265D59">
        <w:rPr>
          <w:rFonts w:ascii="Times New Roman" w:hAnsi="Times New Roman"/>
          <w:b/>
          <w:sz w:val="24"/>
        </w:rPr>
        <w:t xml:space="preserve">Skema EU OR1 – Tab som følge af operationel risiko. </w:t>
      </w:r>
      <w:r w:rsidRPr="00265D59">
        <w:rPr>
          <w:rFonts w:ascii="Times New Roman" w:hAnsi="Times New Roman"/>
          <w:sz w:val="24"/>
        </w:rPr>
        <w:t>Fast skema</w:t>
      </w:r>
    </w:p>
    <w:p w14:paraId="70B287DB" w14:textId="7164F419" w:rsidR="00D740B8" w:rsidRPr="00265D59" w:rsidRDefault="00D740B8" w:rsidP="00D740B8">
      <w:pPr>
        <w:numPr>
          <w:ilvl w:val="0"/>
          <w:numId w:val="1"/>
        </w:numPr>
        <w:jc w:val="both"/>
        <w:rPr>
          <w:rFonts w:ascii="Times New Roman" w:hAnsi="Times New Roman" w:cs="Times New Roman"/>
          <w:bCs/>
          <w:sz w:val="24"/>
        </w:rPr>
      </w:pPr>
      <w:r w:rsidRPr="00265D59">
        <w:rPr>
          <w:rFonts w:ascii="Times New Roman" w:hAnsi="Times New Roman"/>
          <w:sz w:val="24"/>
        </w:rPr>
        <w:t>Institutterne offentliggør de oplysninger, der er anført i skema EU OR1, under anvendelse af artikel 446, stk. 2, litra a) og b), i forordning (EU) nr. 575/2013. Dette skema indeholder oplysninger om de årlige tab som følge af operationel risiko, der er lidt i løbet af de seneste ti år, baseret på bogføringsdatoen for de lidte tab. Disse årlige tab som følge af operationel risiko beregnes i overensstemmelse med artikel 316, stk. 1, i forordning (EU) nr. 575/2013 og omfatter i overensstemmelse med artikel 317, stk. 2, i forordning (EU) nr. 575/2013 alle tab, der hidrører fra alle enheder, der er omfattet af konsolidering, herunder tab fra fusionerede/erhvervede virksomheder (jf. artikel 321, stk. 1, i forordning (EU) nr. 575/2013). Disse oplysninger gives for så vidt de er tilgængelige, og efter bedste evne, indtil artikel 316, stk. 3, artikel 317, stk. 9, artikel 320, stk. 3, og artikel 321, stk. 2, i forordning (EU) nr. 575/2013 finder anvendelse.</w:t>
      </w:r>
    </w:p>
    <w:p w14:paraId="0C12CA7B" w14:textId="77777777" w:rsidR="00D740B8" w:rsidRPr="00265D59" w:rsidRDefault="00D740B8" w:rsidP="00D740B8">
      <w:pPr>
        <w:ind w:left="360"/>
        <w:jc w:val="both"/>
        <w:rPr>
          <w:rFonts w:ascii="Times New Roman" w:hAnsi="Times New Roman" w:cs="Times New Roman"/>
          <w:bCs/>
          <w:sz w:val="24"/>
        </w:rPr>
      </w:pPr>
    </w:p>
    <w:p w14:paraId="47EE9624" w14:textId="4A5B22B7" w:rsidR="00D740B8" w:rsidRPr="00265D59" w:rsidRDefault="00D740B8" w:rsidP="00D740B8">
      <w:pPr>
        <w:numPr>
          <w:ilvl w:val="0"/>
          <w:numId w:val="1"/>
        </w:numPr>
        <w:jc w:val="both"/>
        <w:rPr>
          <w:rFonts w:ascii="Times New Roman" w:hAnsi="Times New Roman" w:cs="Times New Roman"/>
          <w:sz w:val="24"/>
        </w:rPr>
      </w:pPr>
      <w:r w:rsidRPr="00265D59">
        <w:rPr>
          <w:rFonts w:ascii="Times New Roman" w:hAnsi="Times New Roman"/>
          <w:sz w:val="24"/>
        </w:rPr>
        <w:t>Institutterne offentliggør for hvert af de seneste ti år data om antallet af tab som følge af operationel risiko og antallet af udelukkede tab som følge af operationel risiko, det samlede beløb for tab som følge af operationel risiko fratrukket inddrivelser og det samlede beløb for tab som følge af operationel risiko fratrukket inddrivelser og fratrukket udelukkede tab. Det samlede årlige beløb for tab som følge af operationel risiko beregnes som summen af alle nettotab i løbet af et givet regnskabsår beregnet i overensstemmelse med artikel 318, stk. 1, i forordning (EU) nr. 575/2013, som er lig med eller overstiger de tabsdatatærskler, der er fastsat i artikel 319, stk. 1 eller 2, i nævnte forordning (dvs. 20 000 EUR og 100 000 EUR). Tab, der skyldes en fælles hændelse knyttet til operationel risiko eller flere hændelser relateret til samme hændelse knyttet til operationel risiko ("grundhændelse"), og som er indregnet i forskellige regnskabsår, sammenlægges imidlertid for de seneste ti år med henblik på at fastslå, om tærsklen for offentliggørelse er overskredet eller ej. Tabene og justeringerne bør offentliggøres i overensstemmelse med bestemmelserne i artikel 317, stk. 3, litra c), og artikel 318 i forordning (EU) nr. 575/2013. Disse beløb offentliggøres i det år, hvor de blev registreret i årsregnskabet.</w:t>
      </w:r>
    </w:p>
    <w:p w14:paraId="2702CB88" w14:textId="77777777" w:rsidR="00D740B8" w:rsidRPr="00265D59" w:rsidRDefault="00D740B8" w:rsidP="00D740B8">
      <w:pPr>
        <w:pStyle w:val="ListParagraph"/>
        <w:rPr>
          <w:rFonts w:ascii="Times New Roman" w:hAnsi="Times New Roman"/>
          <w:bCs/>
          <w:sz w:val="24"/>
        </w:rPr>
      </w:pPr>
    </w:p>
    <w:p w14:paraId="3146DBD3" w14:textId="48F555B9" w:rsidR="00D740B8" w:rsidRPr="00265D59" w:rsidRDefault="00D740B8" w:rsidP="00D740B8">
      <w:pPr>
        <w:numPr>
          <w:ilvl w:val="0"/>
          <w:numId w:val="1"/>
        </w:numPr>
        <w:jc w:val="both"/>
        <w:rPr>
          <w:rFonts w:ascii="Times New Roman" w:hAnsi="Times New Roman" w:cs="Times New Roman"/>
          <w:bCs/>
          <w:sz w:val="24"/>
        </w:rPr>
      </w:pPr>
      <w:r w:rsidRPr="00265D59">
        <w:rPr>
          <w:rFonts w:ascii="Times New Roman" w:hAnsi="Times New Roman"/>
          <w:sz w:val="24"/>
        </w:rPr>
        <w:t xml:space="preserve"> I det ledsagende narrativ oplyser institutterne de samlede begrundelser for de ekstraordinære hændelser knyttet til operationel risiko, der blev udelukket fra beregningen af de årlige tab som følge af operationel risiko, i overensstemmelse med artikel 446, stk. 2, litra b), i forordning (EU) nr. 575/2013.</w:t>
      </w:r>
    </w:p>
    <w:p w14:paraId="066C0912" w14:textId="77777777" w:rsidR="00D740B8" w:rsidRPr="00265D59" w:rsidRDefault="00D740B8" w:rsidP="00D740B8">
      <w:pPr>
        <w:pStyle w:val="ListParagraph"/>
        <w:rPr>
          <w:rFonts w:ascii="Times New Roman" w:hAnsi="Times New Roman"/>
          <w:bCs/>
          <w:sz w:val="24"/>
        </w:rPr>
      </w:pPr>
    </w:p>
    <w:p w14:paraId="79A49BBA" w14:textId="5D2F1C9E" w:rsidR="00D740B8" w:rsidRPr="00265D59" w:rsidRDefault="00D740B8" w:rsidP="00D740B8">
      <w:pPr>
        <w:numPr>
          <w:ilvl w:val="0"/>
          <w:numId w:val="1"/>
        </w:numPr>
        <w:jc w:val="both"/>
        <w:rPr>
          <w:rFonts w:ascii="Times New Roman" w:hAnsi="Times New Roman" w:cs="Times New Roman"/>
          <w:bCs/>
          <w:sz w:val="24"/>
        </w:rPr>
      </w:pPr>
      <w:r w:rsidRPr="00265D59">
        <w:rPr>
          <w:rFonts w:ascii="Times New Roman" w:hAnsi="Times New Roman"/>
          <w:sz w:val="24"/>
        </w:rPr>
        <w:lastRenderedPageBreak/>
        <w:t xml:space="preserve"> Institutterne offentliggør desuden aggregeret alle væsentlige oplysninger, der kan hjælpe brugerne med at forstå institutternes historiske tab, inddrivelser og lovmæssige reserver, med undtagelse af fortrolige og private oplysninger.</w:t>
      </w:r>
    </w:p>
    <w:p w14:paraId="3AF72482" w14:textId="77777777" w:rsidR="00D740B8" w:rsidRPr="00265D59" w:rsidRDefault="00D740B8" w:rsidP="00D740B8">
      <w:pPr>
        <w:pStyle w:val="ListParagraph"/>
        <w:rPr>
          <w:rFonts w:ascii="Times New Roman" w:hAnsi="Times New Roman"/>
          <w:bCs/>
          <w:sz w:val="24"/>
        </w:rPr>
      </w:pPr>
    </w:p>
    <w:p w14:paraId="36406578" w14:textId="77777777" w:rsidR="00D740B8" w:rsidRPr="00265D59"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265D59" w14:paraId="7E388732" w14:textId="77777777">
        <w:tc>
          <w:tcPr>
            <w:tcW w:w="1271" w:type="dxa"/>
            <w:shd w:val="clear" w:color="auto" w:fill="BFBFBF" w:themeFill="background1" w:themeFillShade="BF"/>
          </w:tcPr>
          <w:p w14:paraId="5F81890E" w14:textId="77777777" w:rsidR="00D740B8" w:rsidRPr="00265D59" w:rsidRDefault="00D740B8">
            <w:pPr>
              <w:autoSpaceDE w:val="0"/>
              <w:autoSpaceDN w:val="0"/>
              <w:adjustRightInd w:val="0"/>
              <w:rPr>
                <w:rFonts w:ascii="Times New Roman" w:hAnsi="Times New Roman"/>
                <w:bCs/>
                <w:sz w:val="24"/>
              </w:rPr>
            </w:pPr>
            <w:r w:rsidRPr="00265D59">
              <w:rPr>
                <w:rFonts w:ascii="Times New Roman" w:hAnsi="Times New Roman"/>
                <w:b/>
                <w:sz w:val="24"/>
              </w:rPr>
              <w:t>Kolonne</w:t>
            </w:r>
          </w:p>
        </w:tc>
        <w:tc>
          <w:tcPr>
            <w:tcW w:w="7745" w:type="dxa"/>
            <w:shd w:val="clear" w:color="auto" w:fill="BFBFBF" w:themeFill="background1" w:themeFillShade="BF"/>
          </w:tcPr>
          <w:p w14:paraId="0773BD79" w14:textId="77777777" w:rsidR="00D740B8" w:rsidRPr="00265D59" w:rsidRDefault="00D740B8">
            <w:pPr>
              <w:spacing w:before="60" w:after="120"/>
              <w:jc w:val="both"/>
              <w:rPr>
                <w:rFonts w:ascii="Times New Roman" w:eastAsia="Times New Roman" w:hAnsi="Times New Roman" w:cs="Times New Roman"/>
                <w:b/>
                <w:sz w:val="24"/>
              </w:rPr>
            </w:pPr>
            <w:r w:rsidRPr="00265D59">
              <w:rPr>
                <w:rFonts w:ascii="Times New Roman" w:hAnsi="Times New Roman"/>
                <w:b/>
                <w:sz w:val="24"/>
              </w:rPr>
              <w:t>Henvisninger til retsakter og instrukser</w:t>
            </w:r>
          </w:p>
        </w:tc>
      </w:tr>
      <w:tr w:rsidR="00D740B8" w:rsidRPr="00265D59" w14:paraId="4A7B0862" w14:textId="77777777">
        <w:tc>
          <w:tcPr>
            <w:tcW w:w="1271" w:type="dxa"/>
          </w:tcPr>
          <w:p w14:paraId="59A78ADD" w14:textId="77777777" w:rsidR="00D740B8" w:rsidRPr="00265D59" w:rsidRDefault="00D740B8">
            <w:pPr>
              <w:autoSpaceDE w:val="0"/>
              <w:autoSpaceDN w:val="0"/>
              <w:adjustRightInd w:val="0"/>
              <w:jc w:val="center"/>
              <w:rPr>
                <w:rFonts w:ascii="Times New Roman" w:hAnsi="Times New Roman"/>
                <w:bCs/>
                <w:sz w:val="24"/>
              </w:rPr>
            </w:pPr>
            <w:r w:rsidRPr="00265D59">
              <w:rPr>
                <w:rFonts w:ascii="Times New Roman" w:hAnsi="Times New Roman"/>
                <w:sz w:val="24"/>
              </w:rPr>
              <w:t>a til j</w:t>
            </w:r>
          </w:p>
        </w:tc>
        <w:tc>
          <w:tcPr>
            <w:tcW w:w="7745" w:type="dxa"/>
          </w:tcPr>
          <w:p w14:paraId="0B872A50" w14:textId="77777777" w:rsidR="00D740B8" w:rsidRPr="00265D59" w:rsidRDefault="00D740B8">
            <w:pPr>
              <w:spacing w:before="120" w:after="120"/>
              <w:jc w:val="both"/>
              <w:rPr>
                <w:rFonts w:ascii="Times New Roman" w:eastAsia="Times New Roman" w:hAnsi="Times New Roman" w:cs="Times New Roman"/>
                <w:sz w:val="24"/>
              </w:rPr>
            </w:pPr>
            <w:r w:rsidRPr="00265D59">
              <w:rPr>
                <w:rFonts w:ascii="Times New Roman" w:hAnsi="Times New Roman"/>
                <w:b/>
                <w:sz w:val="24"/>
              </w:rPr>
              <w:t>År (T, T-1, T-2, T-3, T-4, T-5, T-6, T-7, T-8, T-9)</w:t>
            </w:r>
          </w:p>
          <w:p w14:paraId="5B6EF35C" w14:textId="3033D1CC" w:rsidR="00D740B8" w:rsidRPr="00265D59" w:rsidRDefault="00D740B8">
            <w:pPr>
              <w:spacing w:before="120" w:after="120"/>
              <w:rPr>
                <w:rFonts w:ascii="Times New Roman" w:hAnsi="Times New Roman"/>
                <w:sz w:val="24"/>
              </w:rPr>
            </w:pPr>
            <w:r w:rsidRPr="00265D59">
              <w:rPr>
                <w:rFonts w:ascii="Times New Roman" w:hAnsi="Times New Roman"/>
                <w:sz w:val="24"/>
              </w:rPr>
              <w:t xml:space="preserve">Den værdi, der er angivet i den tilsvarende række, for de seneste ti regnskabsår. </w:t>
            </w:r>
          </w:p>
        </w:tc>
      </w:tr>
      <w:tr w:rsidR="00D740B8" w:rsidRPr="00265D59" w14:paraId="7D63969A" w14:textId="77777777">
        <w:tc>
          <w:tcPr>
            <w:tcW w:w="1271" w:type="dxa"/>
          </w:tcPr>
          <w:p w14:paraId="6CFD6A05" w14:textId="77777777" w:rsidR="00D740B8" w:rsidRPr="00265D59" w:rsidRDefault="00D740B8">
            <w:pPr>
              <w:autoSpaceDE w:val="0"/>
              <w:autoSpaceDN w:val="0"/>
              <w:adjustRightInd w:val="0"/>
              <w:jc w:val="center"/>
              <w:rPr>
                <w:rFonts w:ascii="Times New Roman" w:hAnsi="Times New Roman"/>
                <w:bCs/>
                <w:sz w:val="24"/>
              </w:rPr>
            </w:pPr>
            <w:r w:rsidRPr="00265D59">
              <w:rPr>
                <w:rFonts w:ascii="Times New Roman" w:hAnsi="Times New Roman"/>
                <w:sz w:val="24"/>
              </w:rPr>
              <w:t>k</w:t>
            </w:r>
          </w:p>
        </w:tc>
        <w:tc>
          <w:tcPr>
            <w:tcW w:w="7745" w:type="dxa"/>
          </w:tcPr>
          <w:p w14:paraId="50D93A86" w14:textId="77777777" w:rsidR="00D740B8" w:rsidRPr="00265D59" w:rsidRDefault="00D740B8">
            <w:pPr>
              <w:spacing w:before="120" w:after="120"/>
              <w:jc w:val="both"/>
              <w:rPr>
                <w:rFonts w:ascii="Times New Roman" w:eastAsia="Times New Roman" w:hAnsi="Times New Roman" w:cs="Times New Roman"/>
                <w:b/>
                <w:sz w:val="24"/>
              </w:rPr>
            </w:pPr>
            <w:r w:rsidRPr="00265D59">
              <w:rPr>
                <w:rFonts w:ascii="Times New Roman" w:hAnsi="Times New Roman"/>
                <w:b/>
                <w:sz w:val="24"/>
              </w:rPr>
              <w:t>Tiårsgennemsnit</w:t>
            </w:r>
          </w:p>
          <w:p w14:paraId="38A7187F" w14:textId="0CB464F2" w:rsidR="00D740B8" w:rsidRPr="00265D59" w:rsidRDefault="00D740B8">
            <w:pPr>
              <w:spacing w:before="120" w:after="120"/>
              <w:rPr>
                <w:rFonts w:ascii="Times New Roman" w:hAnsi="Times New Roman"/>
                <w:bCs/>
                <w:sz w:val="24"/>
              </w:rPr>
            </w:pPr>
            <w:r w:rsidRPr="00265D59">
              <w:rPr>
                <w:rFonts w:ascii="Times New Roman" w:hAnsi="Times New Roman"/>
                <w:sz w:val="24"/>
              </w:rPr>
              <w:t>Gennemsnittet af de værdier, der er angivet i den tilsvarende række, for de seneste ti år.</w:t>
            </w:r>
          </w:p>
        </w:tc>
      </w:tr>
    </w:tbl>
    <w:p w14:paraId="7095834F" w14:textId="77777777" w:rsidR="00D740B8" w:rsidRPr="00265D59" w:rsidRDefault="00D740B8" w:rsidP="00D740B8">
      <w:pPr>
        <w:pStyle w:val="ListParagraph"/>
        <w:rPr>
          <w:rFonts w:ascii="Times New Roman" w:hAnsi="Times New Roman"/>
          <w:bCs/>
          <w:sz w:val="24"/>
        </w:rPr>
      </w:pPr>
    </w:p>
    <w:p w14:paraId="32DB6729" w14:textId="77777777" w:rsidR="00D740B8" w:rsidRPr="00265D59" w:rsidRDefault="00D740B8" w:rsidP="00D740B8">
      <w:pPr>
        <w:pStyle w:val="ListParagraph"/>
        <w:rPr>
          <w:rFonts w:ascii="Times New Roman" w:hAnsi="Times New Roman"/>
          <w:bCs/>
          <w:sz w:val="24"/>
        </w:rPr>
      </w:pPr>
    </w:p>
    <w:p w14:paraId="2611544E" w14:textId="77777777" w:rsidR="00D740B8" w:rsidRPr="00265D59"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265D59"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265D59" w:rsidRDefault="00D740B8">
            <w:pPr>
              <w:autoSpaceDE w:val="0"/>
              <w:autoSpaceDN w:val="0"/>
              <w:adjustRightInd w:val="0"/>
              <w:rPr>
                <w:rFonts w:ascii="Times New Roman" w:hAnsi="Times New Roman" w:cs="Times New Roman"/>
                <w:b/>
                <w:sz w:val="24"/>
              </w:rPr>
            </w:pPr>
            <w:r w:rsidRPr="00265D59">
              <w:rPr>
                <w:rFonts w:ascii="Times New Roman" w:hAnsi="Times New Roman"/>
                <w:b/>
                <w:sz w:val="24"/>
              </w:rPr>
              <w:t>Række</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265D59" w:rsidRDefault="00D740B8">
            <w:pPr>
              <w:rPr>
                <w:rFonts w:ascii="Times New Roman" w:hAnsi="Times New Roman" w:cs="Times New Roman"/>
                <w:b/>
                <w:sz w:val="24"/>
              </w:rPr>
            </w:pPr>
            <w:r w:rsidRPr="00265D59">
              <w:rPr>
                <w:rFonts w:ascii="Times New Roman" w:hAnsi="Times New Roman"/>
                <w:b/>
                <w:sz w:val="24"/>
              </w:rPr>
              <w:t>Henvisninger til retsakter og instrukser</w:t>
            </w:r>
          </w:p>
        </w:tc>
      </w:tr>
      <w:tr w:rsidR="00D740B8" w:rsidRPr="00265D59"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265D59" w:rsidRDefault="00D740B8">
            <w:pPr>
              <w:spacing w:before="120" w:after="120"/>
              <w:jc w:val="both"/>
              <w:rPr>
                <w:rFonts w:ascii="Times New Roman" w:eastAsia="Times New Roman" w:hAnsi="Times New Roman" w:cs="Times New Roman"/>
                <w:b/>
                <w:sz w:val="24"/>
              </w:rPr>
            </w:pPr>
            <w:r w:rsidRPr="00265D59">
              <w:rPr>
                <w:rFonts w:ascii="Times New Roman" w:hAnsi="Times New Roman"/>
                <w:b/>
                <w:sz w:val="24"/>
              </w:rPr>
              <w:t>Samlet beløb for tab som følge af operationel risiko fratrukket inddrivelser (ingen udelukkelser)</w:t>
            </w:r>
          </w:p>
          <w:p w14:paraId="73A6B59F" w14:textId="42A729DD" w:rsidR="00D740B8" w:rsidRPr="00265D59" w:rsidRDefault="00D740B8">
            <w:pPr>
              <w:spacing w:before="120" w:after="120"/>
              <w:jc w:val="both"/>
              <w:rPr>
                <w:rFonts w:ascii="Times New Roman" w:eastAsia="Times New Roman" w:hAnsi="Times New Roman" w:cs="Times New Roman"/>
                <w:sz w:val="24"/>
              </w:rPr>
            </w:pPr>
            <w:r w:rsidRPr="00265D59">
              <w:rPr>
                <w:rFonts w:ascii="Times New Roman" w:hAnsi="Times New Roman"/>
                <w:sz w:val="24"/>
              </w:rPr>
              <w:t>Artikel 446, stk. 2, litra a), og artikel 316, stk. 1, i forordning (EU) 575/2013.</w:t>
            </w:r>
          </w:p>
          <w:p w14:paraId="5D929629" w14:textId="254FA976" w:rsidR="00D740B8" w:rsidRPr="00265D59" w:rsidRDefault="002B0785">
            <w:pPr>
              <w:spacing w:before="120" w:after="120"/>
              <w:jc w:val="both"/>
              <w:rPr>
                <w:rFonts w:ascii="Times New Roman" w:eastAsia="Times New Roman" w:hAnsi="Times New Roman" w:cs="Times New Roman"/>
                <w:b/>
                <w:sz w:val="24"/>
              </w:rPr>
            </w:pPr>
            <w:r w:rsidRPr="00265D59">
              <w:rPr>
                <w:rFonts w:ascii="Times New Roman" w:hAnsi="Times New Roman"/>
                <w:sz w:val="24"/>
              </w:rPr>
              <w:t>Rækken indeholder oplysninger om det samlede tab fratrukket inddrivelser som følge af tabshændelser over tærsklen for tabshændelser på 20 000 EUR for hver af de seneste ti indberetningsperioder, herunder tab fra fusioner og erhvervelser. Tab, der skyldes en fælles hændelse knyttet til operationel risiko eller flere hændelser relateret til den samme hændelse knyttet til operationel risiko, som er indregnet i forskellige regnskabsår, lægges sammen for de seneste ti år for at fastslå, om tærsklen for offentliggørelse overskrides eller ej. Ekstraordinære hændelser knyttet til operationel risiko i løbet af året, som ikke længere er relevante for instituttets risikoprofil, og som instituttet har fået tilladelse fra den kompetente myndighed til at udelukke fra det årlige tab som følge af operationel risiko i overensstemmelse med artikel 320, stk. 1, i forordning (EU) nr. 575/2013, tages stadig i betragtning ved beregningen af posten for denne række.</w:t>
            </w:r>
          </w:p>
        </w:tc>
      </w:tr>
      <w:tr w:rsidR="00D740B8" w:rsidRPr="00265D59"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265D59" w:rsidRDefault="00D740B8">
            <w:pPr>
              <w:spacing w:before="120" w:after="120"/>
              <w:jc w:val="both"/>
              <w:rPr>
                <w:rFonts w:ascii="Times New Roman" w:eastAsia="Times New Roman" w:hAnsi="Times New Roman" w:cs="Times New Roman"/>
                <w:b/>
                <w:sz w:val="24"/>
              </w:rPr>
            </w:pPr>
            <w:r w:rsidRPr="00265D59">
              <w:rPr>
                <w:rFonts w:ascii="Times New Roman" w:hAnsi="Times New Roman"/>
                <w:b/>
                <w:sz w:val="24"/>
              </w:rPr>
              <w:t>Samlet antal tab som følge af operationel risiko</w:t>
            </w:r>
          </w:p>
          <w:p w14:paraId="2EA91375" w14:textId="28AF0058" w:rsidR="00D740B8" w:rsidRPr="00265D59" w:rsidRDefault="00D740B8">
            <w:pPr>
              <w:spacing w:before="120" w:after="120"/>
              <w:jc w:val="both"/>
              <w:rPr>
                <w:rFonts w:ascii="Times New Roman" w:eastAsia="Times New Roman" w:hAnsi="Times New Roman" w:cs="Times New Roman"/>
                <w:sz w:val="24"/>
              </w:rPr>
            </w:pPr>
            <w:r w:rsidRPr="00265D59">
              <w:rPr>
                <w:rFonts w:ascii="Times New Roman" w:hAnsi="Times New Roman"/>
                <w:sz w:val="24"/>
              </w:rPr>
              <w:t>Artikel 446, stk. 2, litra a), og artikel 316, stk. 1, i forordning (EU) 575/2013.</w:t>
            </w:r>
          </w:p>
          <w:p w14:paraId="275C478C" w14:textId="69738AFF" w:rsidR="00D740B8" w:rsidRPr="00265D59" w:rsidRDefault="00471410">
            <w:pPr>
              <w:spacing w:before="120" w:after="120"/>
              <w:rPr>
                <w:rFonts w:ascii="Times New Roman" w:eastAsia="Times New Roman" w:hAnsi="Times New Roman" w:cs="Times New Roman"/>
                <w:sz w:val="24"/>
              </w:rPr>
            </w:pPr>
            <w:r w:rsidRPr="00265D59">
              <w:rPr>
                <w:rFonts w:ascii="Times New Roman" w:hAnsi="Times New Roman"/>
                <w:sz w:val="24"/>
              </w:rPr>
              <w:t>Det samlede antal tab som følge af operationel risiko, der overstiger tærsklen for tabshændelser på 20 000 EUR.</w:t>
            </w:r>
          </w:p>
        </w:tc>
      </w:tr>
      <w:tr w:rsidR="00D740B8" w:rsidRPr="00265D59"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265D59" w:rsidRDefault="00D740B8">
            <w:pPr>
              <w:spacing w:before="120" w:after="120"/>
              <w:jc w:val="both"/>
              <w:rPr>
                <w:rFonts w:ascii="Times New Roman" w:eastAsia="Times New Roman" w:hAnsi="Times New Roman" w:cs="Times New Roman"/>
                <w:b/>
                <w:sz w:val="24"/>
              </w:rPr>
            </w:pPr>
            <w:r w:rsidRPr="00265D59">
              <w:rPr>
                <w:rFonts w:ascii="Times New Roman" w:hAnsi="Times New Roman"/>
                <w:b/>
                <w:sz w:val="24"/>
              </w:rPr>
              <w:t>Samlet beløb for udelukkede tab som følge af operationel risiko</w:t>
            </w:r>
          </w:p>
          <w:p w14:paraId="5C1A66AF" w14:textId="5CAD041D" w:rsidR="00D740B8" w:rsidRPr="00265D59" w:rsidRDefault="00D740B8">
            <w:pPr>
              <w:spacing w:before="120" w:after="120"/>
              <w:rPr>
                <w:rFonts w:ascii="Times New Roman" w:eastAsia="Times New Roman" w:hAnsi="Times New Roman" w:cs="Times New Roman"/>
                <w:sz w:val="24"/>
              </w:rPr>
            </w:pPr>
            <w:r w:rsidRPr="00265D59">
              <w:rPr>
                <w:rFonts w:ascii="Times New Roman" w:hAnsi="Times New Roman"/>
                <w:sz w:val="24"/>
              </w:rPr>
              <w:t>Artikel 446, stk. 2, litra b), og artikel 320, stk. 1, i forordning (EU) nr. 575/2013.</w:t>
            </w:r>
          </w:p>
          <w:p w14:paraId="7BE235CA" w14:textId="7483A5B2" w:rsidR="00D740B8" w:rsidRPr="00265D59" w:rsidRDefault="002B0785">
            <w:pPr>
              <w:spacing w:before="120" w:after="120"/>
              <w:rPr>
                <w:rFonts w:ascii="Times New Roman" w:eastAsia="Times New Roman" w:hAnsi="Times New Roman" w:cs="Times New Roman"/>
                <w:sz w:val="24"/>
              </w:rPr>
            </w:pPr>
            <w:r w:rsidRPr="00265D59">
              <w:rPr>
                <w:rFonts w:ascii="Times New Roman" w:hAnsi="Times New Roman"/>
                <w:sz w:val="24"/>
              </w:rPr>
              <w:lastRenderedPageBreak/>
              <w:t>De samlede nettotab over tabstærsklen på 20 000 EUR, der blev udelukket i overensstemmelse med artikel 320, stk. 1, i forordning (EU) 575/2013, for hver af de seneste ti indberetningsperioder.</w:t>
            </w:r>
          </w:p>
        </w:tc>
      </w:tr>
      <w:tr w:rsidR="00D740B8" w:rsidRPr="00265D59"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lastRenderedPageBreak/>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265D59" w:rsidRDefault="00D740B8">
            <w:pPr>
              <w:spacing w:before="12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Samlet antal udelukkede hændelser knyttet til operationel risiko</w:t>
            </w:r>
          </w:p>
          <w:p w14:paraId="7914E462" w14:textId="7978A3B5" w:rsidR="00D740B8" w:rsidRPr="00265D59" w:rsidRDefault="00D740B8">
            <w:pPr>
              <w:spacing w:before="120" w:after="120"/>
              <w:rPr>
                <w:rFonts w:ascii="Times New Roman" w:eastAsia="Times New Roman" w:hAnsi="Times New Roman" w:cs="Times New Roman"/>
                <w:sz w:val="24"/>
              </w:rPr>
            </w:pPr>
            <w:r w:rsidRPr="00265D59">
              <w:rPr>
                <w:rFonts w:ascii="Times New Roman" w:hAnsi="Times New Roman"/>
                <w:sz w:val="24"/>
              </w:rPr>
              <w:t>Artikel 446, stk. 2, litra b), og artikel 320, stk. 1, i forordning (EU) nr. 575/2013.</w:t>
            </w:r>
          </w:p>
          <w:p w14:paraId="318A732C" w14:textId="242D554F" w:rsidR="00D740B8" w:rsidRPr="00265D59" w:rsidRDefault="009D4A12">
            <w:pPr>
              <w:spacing w:before="120" w:after="120"/>
              <w:jc w:val="both"/>
              <w:rPr>
                <w:rFonts w:ascii="Times New Roman" w:eastAsia="Times New Roman" w:hAnsi="Times New Roman" w:cs="Times New Roman"/>
                <w:sz w:val="24"/>
              </w:rPr>
            </w:pPr>
            <w:r w:rsidRPr="00265D59">
              <w:rPr>
                <w:rFonts w:ascii="Times New Roman" w:hAnsi="Times New Roman"/>
                <w:sz w:val="24"/>
              </w:rPr>
              <w:t xml:space="preserve">Det samlede antal ekstraordinære hændelser knyttet til operationel risiko over en tærskel for tabshændelser på 20 000 EUR, som blev udelukket i overensstemmelse med artikel 320, stk. 1, i forordning (EU) nr. 575/2013 for hver af de seneste ti indberetningsperioder. </w:t>
            </w:r>
          </w:p>
        </w:tc>
      </w:tr>
      <w:tr w:rsidR="00D740B8" w:rsidRPr="00265D59"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265D59" w:rsidRDefault="00D740B8">
            <w:pPr>
              <w:spacing w:before="12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Det samlede tab som følge af operationel risiko fratrukket inddrivelser og fratrukket udelukkede tab</w:t>
            </w:r>
          </w:p>
          <w:p w14:paraId="4203582A" w14:textId="7C24EBAE" w:rsidR="00D740B8" w:rsidRPr="00265D59" w:rsidRDefault="002B0785">
            <w:pPr>
              <w:spacing w:before="120" w:after="120"/>
              <w:jc w:val="both"/>
              <w:rPr>
                <w:rFonts w:ascii="Times New Roman" w:eastAsia="Times New Roman" w:hAnsi="Times New Roman" w:cs="Times New Roman"/>
                <w:sz w:val="24"/>
              </w:rPr>
            </w:pPr>
            <w:r w:rsidRPr="00265D59">
              <w:rPr>
                <w:rFonts w:ascii="Times New Roman" w:hAnsi="Times New Roman"/>
                <w:sz w:val="24"/>
              </w:rPr>
              <w:t>Det samlede beløb for tab som følge af operationel risiko fratrukket de inddrivelser, der er oplyst i række 1, og fratrukket de udelukkede tab, der er oplyst i række 3.</w:t>
            </w:r>
          </w:p>
        </w:tc>
      </w:tr>
      <w:tr w:rsidR="00D740B8" w:rsidRPr="00265D59"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265D59" w:rsidRDefault="00D740B8">
            <w:pPr>
              <w:spacing w:before="120" w:after="120"/>
              <w:jc w:val="both"/>
              <w:rPr>
                <w:rFonts w:ascii="Times New Roman" w:eastAsia="Times New Roman" w:hAnsi="Times New Roman" w:cs="Times New Roman"/>
                <w:b/>
                <w:sz w:val="24"/>
              </w:rPr>
            </w:pPr>
            <w:r w:rsidRPr="00265D59">
              <w:rPr>
                <w:rFonts w:ascii="Times New Roman" w:hAnsi="Times New Roman"/>
                <w:b/>
                <w:sz w:val="24"/>
              </w:rPr>
              <w:t>Samlet beløb for tab som følge af operationel risiko fratrukket inddrivelser (ingen udelukkelser)</w:t>
            </w:r>
          </w:p>
          <w:p w14:paraId="647BDEC8" w14:textId="66617A83" w:rsidR="00D740B8" w:rsidRPr="00265D59" w:rsidRDefault="00D740B8">
            <w:pPr>
              <w:spacing w:before="120" w:after="120"/>
              <w:jc w:val="both"/>
              <w:rPr>
                <w:rFonts w:ascii="Times New Roman" w:eastAsia="Times New Roman" w:hAnsi="Times New Roman" w:cs="Times New Roman"/>
                <w:sz w:val="24"/>
              </w:rPr>
            </w:pPr>
            <w:r w:rsidRPr="00265D59">
              <w:rPr>
                <w:rFonts w:ascii="Times New Roman" w:hAnsi="Times New Roman"/>
                <w:sz w:val="24"/>
              </w:rPr>
              <w:t>Artikel 446, stk. 2, litra a), og artikel 316, stk. 1, i forordning (EU) 575/2013.</w:t>
            </w:r>
          </w:p>
          <w:p w14:paraId="7F1E94AA" w14:textId="3C3700EE" w:rsidR="00D740B8" w:rsidRPr="00265D59" w:rsidRDefault="003D54AC">
            <w:pPr>
              <w:spacing w:before="120" w:after="120"/>
              <w:jc w:val="both"/>
              <w:rPr>
                <w:rStyle w:val="InstructionsTabelleberschrift"/>
                <w:rFonts w:ascii="Times New Roman" w:eastAsia="Times New Roman" w:hAnsi="Times New Roman"/>
                <w:bCs w:val="0"/>
                <w:sz w:val="24"/>
              </w:rPr>
            </w:pPr>
            <w:r w:rsidRPr="00265D59">
              <w:rPr>
                <w:rFonts w:ascii="Times New Roman" w:hAnsi="Times New Roman"/>
                <w:sz w:val="24"/>
              </w:rPr>
              <w:t>Det samlede beløb for tab som følge af operationel risiko, fratrukket inddrivelser, som følge af tabshændelser over en tærskel for tabshændelser på 100 000 EUR for hver af de seneste ti indberetningsperioder, herunder tab som følge af fusioner og erhvervelser. Tab, der skyldes en fælles hændelse knyttet til operationel risiko eller flere hændelser relateret til den samme hændelse knyttet til operationel risiko, som er indregnet i forskellige regnskabsår, lægges sammen for de seneste ti år for at fastslå, om tærsklen for offentliggørelse overskrides eller ej. Ekstraordinære hændelser knyttet til operationel risiko i løbet af året, som ikke længere er relevante for instituttets risikoprofil, og som instituttet har fået tilladelse fra den kompetente myndighed til at udelukke fra det årlige tab som følge af operationel risiko i overensstemmelse med artikel 320, stk. 1, i forordning (EU) nr. 575/2013, tages stadig i betragtning ved beregningen af posten for denne række.</w:t>
            </w:r>
          </w:p>
        </w:tc>
      </w:tr>
      <w:tr w:rsidR="00D740B8" w:rsidRPr="00265D59"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265D59" w:rsidRDefault="00D740B8">
            <w:pPr>
              <w:spacing w:before="120" w:after="120"/>
              <w:jc w:val="both"/>
              <w:rPr>
                <w:rFonts w:ascii="Times New Roman" w:eastAsia="Times New Roman" w:hAnsi="Times New Roman" w:cs="Times New Roman"/>
                <w:b/>
                <w:sz w:val="24"/>
              </w:rPr>
            </w:pPr>
            <w:r w:rsidRPr="00265D59">
              <w:rPr>
                <w:rFonts w:ascii="Times New Roman" w:hAnsi="Times New Roman"/>
                <w:b/>
                <w:sz w:val="24"/>
              </w:rPr>
              <w:t>Samlet antal tab som følge af operationel risiko</w:t>
            </w:r>
          </w:p>
          <w:p w14:paraId="7AD8EE0D" w14:textId="092E19E2" w:rsidR="00D740B8" w:rsidRPr="00265D59" w:rsidRDefault="00D740B8">
            <w:pPr>
              <w:spacing w:before="120" w:after="120"/>
              <w:jc w:val="both"/>
              <w:rPr>
                <w:rFonts w:ascii="Times New Roman" w:eastAsia="Times New Roman" w:hAnsi="Times New Roman" w:cs="Times New Roman"/>
                <w:sz w:val="24"/>
              </w:rPr>
            </w:pPr>
            <w:r w:rsidRPr="00265D59">
              <w:rPr>
                <w:rFonts w:ascii="Times New Roman" w:hAnsi="Times New Roman"/>
                <w:sz w:val="24"/>
              </w:rPr>
              <w:t>Artikel 446, stk. 2, litra a), og artikel 316, stk. 1, i forordning (EU) 575/2013.</w:t>
            </w:r>
          </w:p>
          <w:p w14:paraId="6F316B8B" w14:textId="6ABB567B" w:rsidR="00D740B8" w:rsidRPr="00265D59" w:rsidRDefault="00471410">
            <w:pPr>
              <w:spacing w:before="120" w:after="120"/>
              <w:jc w:val="both"/>
              <w:rPr>
                <w:rStyle w:val="InstructionsTabelleberschrift"/>
                <w:rFonts w:ascii="Times New Roman" w:eastAsia="Times New Roman" w:hAnsi="Times New Roman"/>
                <w:bCs w:val="0"/>
                <w:sz w:val="24"/>
              </w:rPr>
            </w:pPr>
            <w:r w:rsidRPr="00265D59">
              <w:rPr>
                <w:rFonts w:ascii="Times New Roman" w:hAnsi="Times New Roman"/>
                <w:sz w:val="24"/>
              </w:rPr>
              <w:t>Det samlede antal tab som følge af operationel risiko, der overstiger tærsklen for tabshændelser på 100 000 EUR.</w:t>
            </w:r>
          </w:p>
        </w:tc>
      </w:tr>
      <w:tr w:rsidR="00D740B8" w:rsidRPr="00265D59"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265D59" w:rsidRDefault="00D740B8">
            <w:pPr>
              <w:spacing w:before="120" w:after="120"/>
              <w:jc w:val="both"/>
              <w:rPr>
                <w:rFonts w:ascii="Times New Roman" w:eastAsia="Times New Roman" w:hAnsi="Times New Roman" w:cs="Times New Roman"/>
                <w:b/>
                <w:sz w:val="24"/>
              </w:rPr>
            </w:pPr>
            <w:r w:rsidRPr="00265D59">
              <w:rPr>
                <w:rFonts w:ascii="Times New Roman" w:hAnsi="Times New Roman"/>
                <w:b/>
                <w:sz w:val="24"/>
              </w:rPr>
              <w:t>Samlet beløb for udelukkede tab som følge af operationel risiko</w:t>
            </w:r>
          </w:p>
          <w:p w14:paraId="71DECF65" w14:textId="48A395A5" w:rsidR="00D740B8" w:rsidRPr="00265D59" w:rsidRDefault="00D740B8">
            <w:pPr>
              <w:spacing w:before="120" w:after="120"/>
              <w:rPr>
                <w:rFonts w:ascii="Times New Roman" w:eastAsia="Times New Roman" w:hAnsi="Times New Roman" w:cs="Times New Roman"/>
                <w:sz w:val="24"/>
              </w:rPr>
            </w:pPr>
            <w:r w:rsidRPr="00265D59">
              <w:rPr>
                <w:rFonts w:ascii="Times New Roman" w:hAnsi="Times New Roman"/>
                <w:sz w:val="24"/>
              </w:rPr>
              <w:t>Artikel 446, stk. 2, litra b), og artikel 320, stk. 1, i forordning (EU) nr. 575/2013.</w:t>
            </w:r>
          </w:p>
          <w:p w14:paraId="0BC74916" w14:textId="396B699A" w:rsidR="00D740B8" w:rsidRPr="00265D59" w:rsidRDefault="003D54AC">
            <w:pPr>
              <w:spacing w:before="120" w:after="120"/>
              <w:jc w:val="both"/>
              <w:rPr>
                <w:rStyle w:val="InstructionsTabelleberschrift"/>
                <w:rFonts w:ascii="Times New Roman" w:eastAsia="Times New Roman" w:hAnsi="Times New Roman"/>
                <w:bCs w:val="0"/>
                <w:sz w:val="24"/>
              </w:rPr>
            </w:pPr>
            <w:r w:rsidRPr="00265D59">
              <w:rPr>
                <w:rFonts w:ascii="Times New Roman" w:hAnsi="Times New Roman"/>
                <w:sz w:val="24"/>
              </w:rPr>
              <w:t>Det samlede nettotab over en tærskel for tabshændelser på 100 000 EUR, som er udelukket i overensstemmelse med artikel 320, stk. 1, i forordning (EU) 575/2013, for hver af de seneste ti indberetningsperioder.</w:t>
            </w:r>
          </w:p>
        </w:tc>
      </w:tr>
      <w:tr w:rsidR="00D740B8" w:rsidRPr="00265D59"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lastRenderedPageBreak/>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265D59" w:rsidRDefault="00D740B8">
            <w:pPr>
              <w:spacing w:before="12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Samlet antal udelukkede hændelser knyttet til operationel risiko</w:t>
            </w:r>
          </w:p>
          <w:p w14:paraId="2B56754D" w14:textId="46B0AAAA" w:rsidR="00D740B8" w:rsidRPr="00265D59" w:rsidRDefault="00D740B8">
            <w:pPr>
              <w:spacing w:before="120" w:after="120"/>
              <w:rPr>
                <w:rFonts w:ascii="Times New Roman" w:eastAsia="Times New Roman" w:hAnsi="Times New Roman" w:cs="Times New Roman"/>
                <w:sz w:val="24"/>
              </w:rPr>
            </w:pPr>
            <w:r w:rsidRPr="00265D59">
              <w:rPr>
                <w:rFonts w:ascii="Times New Roman" w:hAnsi="Times New Roman"/>
                <w:sz w:val="24"/>
              </w:rPr>
              <w:t>Artikel 446, stk. 2, litra b), og artikel 320, stk. 1, i forordning (EU) nr. 575/2013.</w:t>
            </w:r>
          </w:p>
          <w:p w14:paraId="2EDEC8CA" w14:textId="252B783D" w:rsidR="00D740B8" w:rsidRPr="00265D59" w:rsidRDefault="00471410">
            <w:pPr>
              <w:spacing w:before="120" w:after="120"/>
              <w:jc w:val="both"/>
              <w:rPr>
                <w:rStyle w:val="InstructionsTabelleberschrift"/>
                <w:rFonts w:ascii="Times New Roman" w:eastAsia="Times New Roman" w:hAnsi="Times New Roman"/>
                <w:bCs w:val="0"/>
                <w:sz w:val="24"/>
              </w:rPr>
            </w:pPr>
            <w:r w:rsidRPr="00265D59">
              <w:rPr>
                <w:rFonts w:ascii="Times New Roman" w:hAnsi="Times New Roman"/>
                <w:sz w:val="24"/>
              </w:rPr>
              <w:t>Det samlede antal ekstraordinære hændelser knyttet til operationel risiko over en tærskel for tabshændelser på 100 000 EUR, som blev udelukket i overensstemmelse med artikel 320, stk. 1, i forordning (EU) 575/2013, for hver af de seneste ti indberetningsperioder.</w:t>
            </w:r>
          </w:p>
        </w:tc>
      </w:tr>
      <w:tr w:rsidR="00D740B8" w:rsidRPr="00265D59"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265D59" w:rsidRDefault="00D740B8">
            <w:pPr>
              <w:spacing w:before="12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Det samlede tab som følge af operationel risiko fratrukket inddrivelser og fratrukket udelukkede tab</w:t>
            </w:r>
          </w:p>
          <w:p w14:paraId="65622881" w14:textId="32C07686" w:rsidR="00D740B8" w:rsidRPr="00265D59" w:rsidRDefault="006943D3">
            <w:pPr>
              <w:spacing w:before="120" w:after="120"/>
              <w:jc w:val="both"/>
              <w:rPr>
                <w:rStyle w:val="InstructionsTabelleberschrift"/>
                <w:rFonts w:ascii="Times New Roman" w:eastAsia="Times New Roman" w:hAnsi="Times New Roman"/>
                <w:bCs w:val="0"/>
                <w:sz w:val="24"/>
              </w:rPr>
            </w:pPr>
            <w:r w:rsidRPr="00265D59">
              <w:rPr>
                <w:rFonts w:ascii="Times New Roman" w:hAnsi="Times New Roman"/>
                <w:sz w:val="24"/>
              </w:rPr>
              <w:t>I rækken angives det samlede beløb for tab som følge af operationel risiko fratrukket det beløb for inddrivelser, der er angivet i række 6, fratrukket det beløb for udelukkede tab, der er angivet i række 8.</w:t>
            </w:r>
          </w:p>
        </w:tc>
      </w:tr>
      <w:tr w:rsidR="00D740B8" w:rsidRPr="00265D59"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265D59"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265D59">
              <w:rPr>
                <w:rFonts w:ascii="Times New Roman" w:hAnsi="Times New Roman"/>
                <w:sz w:val="24"/>
              </w:rPr>
              <w:t>Ikke relevant.</w:t>
            </w:r>
          </w:p>
        </w:tc>
      </w:tr>
      <w:tr w:rsidR="00D740B8" w:rsidRPr="00265D59"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265D59" w:rsidRDefault="00D740B8">
            <w:pPr>
              <w:spacing w:before="120" w:after="120"/>
              <w:jc w:val="both"/>
              <w:rPr>
                <w:rStyle w:val="InstructionsTabelleberschrift"/>
                <w:rFonts w:ascii="Times New Roman" w:eastAsia="Times New Roman" w:hAnsi="Times New Roman"/>
                <w:b w:val="0"/>
                <w:bCs w:val="0"/>
                <w:sz w:val="24"/>
                <w:u w:val="none"/>
              </w:rPr>
            </w:pPr>
            <w:r w:rsidRPr="00265D59">
              <w:rPr>
                <w:rStyle w:val="InstructionsTabelleberschrift"/>
                <w:rFonts w:ascii="Times New Roman" w:hAnsi="Times New Roman"/>
                <w:b w:val="0"/>
                <w:sz w:val="24"/>
                <w:u w:val="none"/>
              </w:rPr>
              <w:t>Ikke relevant.</w:t>
            </w:r>
          </w:p>
        </w:tc>
      </w:tr>
      <w:tr w:rsidR="00D740B8" w:rsidRPr="00265D59"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265D59" w:rsidRDefault="00D740B8">
            <w:pPr>
              <w:spacing w:before="120" w:after="120"/>
              <w:jc w:val="both"/>
              <w:rPr>
                <w:rStyle w:val="InstructionsTabelleberschrift"/>
                <w:rFonts w:ascii="Times New Roman" w:eastAsia="Times New Roman" w:hAnsi="Times New Roman"/>
                <w:b w:val="0"/>
                <w:bCs w:val="0"/>
                <w:sz w:val="24"/>
                <w:u w:val="none"/>
              </w:rPr>
            </w:pPr>
            <w:r w:rsidRPr="00265D59">
              <w:rPr>
                <w:rStyle w:val="InstructionsTabelleberschrift"/>
                <w:rFonts w:ascii="Times New Roman" w:hAnsi="Times New Roman"/>
                <w:b w:val="0"/>
                <w:sz w:val="24"/>
                <w:u w:val="none"/>
              </w:rPr>
              <w:t>Ikke relevant.</w:t>
            </w:r>
          </w:p>
        </w:tc>
      </w:tr>
    </w:tbl>
    <w:p w14:paraId="25A698B0" w14:textId="77777777" w:rsidR="00D740B8" w:rsidRPr="00265D59" w:rsidRDefault="00D740B8" w:rsidP="00D740B8">
      <w:pPr>
        <w:pStyle w:val="InstructionsText2"/>
        <w:numPr>
          <w:ilvl w:val="0"/>
          <w:numId w:val="0"/>
        </w:numPr>
        <w:ind w:left="360"/>
        <w:rPr>
          <w:lang w:val="en-US"/>
        </w:rPr>
      </w:pPr>
    </w:p>
    <w:p w14:paraId="033C5861" w14:textId="77777777" w:rsidR="00D740B8" w:rsidRPr="00265D59" w:rsidRDefault="00D740B8" w:rsidP="00D740B8">
      <w:pPr>
        <w:jc w:val="both"/>
        <w:rPr>
          <w:rFonts w:ascii="Times New Roman" w:hAnsi="Times New Roman" w:cs="Times New Roman"/>
          <w:bCs/>
          <w:sz w:val="24"/>
        </w:rPr>
      </w:pPr>
      <w:r w:rsidRPr="00265D59">
        <w:rPr>
          <w:rFonts w:ascii="Times New Roman" w:hAnsi="Times New Roman"/>
          <w:b/>
          <w:sz w:val="24"/>
        </w:rPr>
        <w:t xml:space="preserve">Skema EU OR2 – Forretningsindikator, komponenter og underkomponenter. </w:t>
      </w:r>
      <w:r w:rsidRPr="00265D59">
        <w:rPr>
          <w:rFonts w:ascii="Times New Roman" w:hAnsi="Times New Roman"/>
          <w:sz w:val="24"/>
        </w:rPr>
        <w:t>Fast skema</w:t>
      </w:r>
    </w:p>
    <w:p w14:paraId="3D173CCF" w14:textId="77777777" w:rsidR="00D740B8" w:rsidRPr="00265D59" w:rsidRDefault="00D740B8" w:rsidP="00D740B8">
      <w:pPr>
        <w:ind w:left="360"/>
        <w:jc w:val="both"/>
        <w:rPr>
          <w:rFonts w:ascii="Times New Roman" w:hAnsi="Times New Roman" w:cs="Times New Roman"/>
          <w:bCs/>
          <w:sz w:val="24"/>
        </w:rPr>
      </w:pPr>
    </w:p>
    <w:p w14:paraId="3F849430" w14:textId="414C531B" w:rsidR="00D740B8" w:rsidRPr="00265D59" w:rsidRDefault="00D740B8" w:rsidP="00D740B8">
      <w:pPr>
        <w:numPr>
          <w:ilvl w:val="0"/>
          <w:numId w:val="1"/>
        </w:numPr>
        <w:jc w:val="both"/>
        <w:rPr>
          <w:rFonts w:ascii="Times New Roman" w:hAnsi="Times New Roman" w:cs="Times New Roman"/>
          <w:bCs/>
          <w:sz w:val="24"/>
        </w:rPr>
      </w:pPr>
      <w:r w:rsidRPr="00265D59">
        <w:rPr>
          <w:rFonts w:ascii="Times New Roman" w:hAnsi="Times New Roman"/>
          <w:sz w:val="24"/>
        </w:rPr>
        <w:t>Institutterne offentliggør de oplysninger, der indgår i skema EU OR2, under anvendelse af artikel 446, stk. 1, litra c) og d), i forordning (EU) 575/2013. Dette skema indeholder oplysninger om beregningen af forretningsindikatorkomponenten (BIC) i overensstemmelse med artikel 313 i forordning (EU) nr. 575/2013 og om beregningen af forretningsindikatoren (BI), komponenter og underkomponenter, i overensstemmelse med artikel 314 i forordning (EU) nr. 575/2013. Derudover giver dette skema også oplysninger om de beløb, der er udelukket fra forretningsindikatoren vedrørende afhændede enheder eller aktiviteter, i overensstemmelse med artikel 315, stk. 2.</w:t>
      </w:r>
    </w:p>
    <w:p w14:paraId="5C35CEC0" w14:textId="77777777" w:rsidR="00D740B8" w:rsidRPr="00265D59" w:rsidRDefault="00D740B8" w:rsidP="00D740B8">
      <w:pPr>
        <w:ind w:left="360"/>
        <w:jc w:val="both"/>
        <w:rPr>
          <w:rFonts w:ascii="Times New Roman" w:hAnsi="Times New Roman" w:cs="Times New Roman"/>
          <w:bCs/>
          <w:sz w:val="24"/>
        </w:rPr>
      </w:pPr>
    </w:p>
    <w:p w14:paraId="1749895F" w14:textId="07869965" w:rsidR="00D740B8" w:rsidRPr="00265D59" w:rsidRDefault="00D740B8" w:rsidP="00D740B8">
      <w:pPr>
        <w:numPr>
          <w:ilvl w:val="0"/>
          <w:numId w:val="1"/>
        </w:numPr>
        <w:jc w:val="both"/>
        <w:rPr>
          <w:rFonts w:ascii="Times New Roman" w:hAnsi="Times New Roman" w:cs="Times New Roman"/>
          <w:bCs/>
          <w:sz w:val="24"/>
        </w:rPr>
      </w:pPr>
      <w:r w:rsidRPr="00265D59">
        <w:rPr>
          <w:rFonts w:ascii="Times New Roman" w:hAnsi="Times New Roman"/>
          <w:sz w:val="24"/>
        </w:rPr>
        <w:t>Institutterne offentliggør oplysninger for hvert af de seneste tre regnskabsår om størrelsen af den relevante liste over poster, som skal indgå i beregningen af de BI-underkomponenter, der bidrager til beregningen af kapitalgrundlagskravet for operationel risiko.</w:t>
      </w:r>
    </w:p>
    <w:p w14:paraId="7B27D162" w14:textId="77777777" w:rsidR="00D740B8" w:rsidRPr="00265D59" w:rsidRDefault="00D740B8" w:rsidP="00D740B8">
      <w:pPr>
        <w:pStyle w:val="ListParagraph"/>
        <w:rPr>
          <w:rFonts w:ascii="Times New Roman" w:hAnsi="Times New Roman"/>
          <w:bCs/>
          <w:sz w:val="24"/>
        </w:rPr>
      </w:pPr>
    </w:p>
    <w:p w14:paraId="41988E91" w14:textId="281D16EA" w:rsidR="00D740B8" w:rsidRPr="00265D59" w:rsidRDefault="00D740B8" w:rsidP="00D740B8">
      <w:pPr>
        <w:numPr>
          <w:ilvl w:val="0"/>
          <w:numId w:val="1"/>
        </w:numPr>
        <w:jc w:val="both"/>
        <w:rPr>
          <w:rFonts w:ascii="Times New Roman" w:hAnsi="Times New Roman" w:cs="Times New Roman"/>
          <w:bCs/>
          <w:sz w:val="24"/>
        </w:rPr>
      </w:pPr>
      <w:r w:rsidRPr="00265D59">
        <w:rPr>
          <w:rFonts w:ascii="Times New Roman" w:hAnsi="Times New Roman"/>
          <w:sz w:val="24"/>
        </w:rPr>
        <w:t>I overensstemmelse med artikel 314, stk. 8, i forordning (EU) nr. 575/2013 indberetter institutterne, hvis der ikke foreligger historiske data, fremadrettede forretningsestimater.</w:t>
      </w:r>
    </w:p>
    <w:p w14:paraId="14A23528" w14:textId="485ED75C" w:rsidR="00D740B8" w:rsidRPr="00265D59" w:rsidRDefault="00D740B8" w:rsidP="00D740B8">
      <w:pPr>
        <w:pStyle w:val="numberedparagraph"/>
        <w:numPr>
          <w:ilvl w:val="0"/>
          <w:numId w:val="1"/>
        </w:numPr>
        <w:rPr>
          <w:rFonts w:ascii="Times New Roman" w:hAnsi="Times New Roman" w:cs="Times New Roman"/>
          <w:sz w:val="24"/>
        </w:rPr>
      </w:pPr>
      <w:r w:rsidRPr="00265D59">
        <w:rPr>
          <w:rFonts w:ascii="Times New Roman" w:hAnsi="Times New Roman"/>
          <w:sz w:val="24"/>
        </w:rPr>
        <w:t>Hvis institutterne har mindre end tre års data til rådighed vedrørende de detaljerede poster, der indgår i BI-komponenterne, tildeles de tilgængelige historiske data de tilsvarende kolonner i skemaet i prioritetsrækkefølge. Hvis institutterne kun har historiske data vedrørende forretningsindikatorens komponenter for et år, indberettes disse data i den kolonne, der svarer til det seneste år (f.eks. "sidste år"). Når det forekommer rimeligt, medregnes de fremadrettede estimater i henholdsvis År -1 og År -2, indtil disse data foreligger.</w:t>
      </w:r>
    </w:p>
    <w:p w14:paraId="2DDE0943" w14:textId="7F04DC41" w:rsidR="00D740B8" w:rsidRPr="00265D59" w:rsidRDefault="00D740B8" w:rsidP="00D740B8">
      <w:pPr>
        <w:pStyle w:val="numberedparagraph"/>
        <w:numPr>
          <w:ilvl w:val="0"/>
          <w:numId w:val="1"/>
        </w:numPr>
        <w:rPr>
          <w:rFonts w:ascii="Times New Roman" w:hAnsi="Times New Roman" w:cs="Times New Roman"/>
          <w:sz w:val="24"/>
        </w:rPr>
      </w:pPr>
      <w:r w:rsidRPr="00265D59">
        <w:rPr>
          <w:rFonts w:ascii="Times New Roman" w:hAnsi="Times New Roman"/>
          <w:sz w:val="24"/>
        </w:rPr>
        <w:lastRenderedPageBreak/>
        <w:t>Institutterne må i de underposter, der indgår i beregningen af rente-, leasing- og udbyttekomponenten (ILDC), ikke medtage tal vedrørende de specifikke datterinstitutter, hvis ILDC beregnes separat i overensstemmelse med artikel 314, stk. 3, i forordning (EU) nr. 575/2013.</w:t>
      </w:r>
    </w:p>
    <w:p w14:paraId="3512454B" w14:textId="27224DC8" w:rsidR="00841A0D" w:rsidRPr="00265D59" w:rsidRDefault="00D740B8" w:rsidP="00D740B8">
      <w:pPr>
        <w:numPr>
          <w:ilvl w:val="0"/>
          <w:numId w:val="1"/>
        </w:numPr>
        <w:jc w:val="both"/>
        <w:rPr>
          <w:rFonts w:ascii="Times New Roman" w:hAnsi="Times New Roman" w:cs="Times New Roman"/>
          <w:bCs/>
          <w:sz w:val="24"/>
        </w:rPr>
      </w:pPr>
      <w:r w:rsidRPr="00265D59">
        <w:rPr>
          <w:rFonts w:ascii="Times New Roman" w:hAnsi="Times New Roman"/>
          <w:sz w:val="24"/>
        </w:rPr>
        <w:t>Institutterne må i de underposter, der indgår i beregningen af rente-, leasing- og udbyttekomponenten (ILDC), ikke medtage tal fra forretningsområderne detailbankydelser og/eller forretningsbankydelser i de tilfælde, hvor instituttet har fået tilladelse til at anvende artikel 314, stk. 4, i forordning (EU) nr. 575/2013.</w:t>
      </w:r>
    </w:p>
    <w:p w14:paraId="22AE3E22" w14:textId="77777777" w:rsidR="00841A0D" w:rsidRPr="00265D59" w:rsidRDefault="00841A0D" w:rsidP="00841A0D">
      <w:pPr>
        <w:ind w:left="360"/>
        <w:jc w:val="both"/>
        <w:rPr>
          <w:rFonts w:ascii="Times New Roman" w:hAnsi="Times New Roman" w:cs="Times New Roman"/>
          <w:bCs/>
          <w:sz w:val="24"/>
        </w:rPr>
      </w:pPr>
    </w:p>
    <w:p w14:paraId="3A161EFD" w14:textId="7882B43A" w:rsidR="00D740B8" w:rsidRPr="00265D59" w:rsidRDefault="003826D3" w:rsidP="00D740B8">
      <w:pPr>
        <w:numPr>
          <w:ilvl w:val="0"/>
          <w:numId w:val="1"/>
        </w:numPr>
        <w:jc w:val="both"/>
        <w:rPr>
          <w:rFonts w:ascii="Times New Roman" w:hAnsi="Times New Roman" w:cs="Times New Roman"/>
          <w:bCs/>
          <w:sz w:val="24"/>
        </w:rPr>
      </w:pPr>
      <w:r w:rsidRPr="00265D59">
        <w:rPr>
          <w:rFonts w:ascii="Times New Roman" w:hAnsi="Times New Roman"/>
          <w:sz w:val="24"/>
        </w:rPr>
        <w:t>Ikke desto mindre angiver institutterne i række 1 det samlede ILDC-beløb, herunder de beløb, der er beregnet i overensstemmelse med artikel 314, stk. 3, i forordning (EU) nr. 575/2013. I række EU 1 indberettes også ILDC, ekskl. enheder omfattet af artikel 314, stk. 3.</w:t>
      </w:r>
    </w:p>
    <w:p w14:paraId="7DAFACF8" w14:textId="77777777" w:rsidR="00D740B8" w:rsidRPr="00265D59" w:rsidRDefault="00D740B8" w:rsidP="00D740B8">
      <w:pPr>
        <w:ind w:left="360"/>
        <w:jc w:val="both"/>
        <w:rPr>
          <w:rFonts w:ascii="Times New Roman" w:hAnsi="Times New Roman" w:cs="Times New Roman"/>
          <w:bCs/>
          <w:sz w:val="24"/>
        </w:rPr>
      </w:pPr>
    </w:p>
    <w:p w14:paraId="578B96DC" w14:textId="494916C5" w:rsidR="00D740B8" w:rsidRPr="00265D59" w:rsidRDefault="00D740B8" w:rsidP="00D740B8">
      <w:pPr>
        <w:numPr>
          <w:ilvl w:val="0"/>
          <w:numId w:val="1"/>
        </w:numPr>
        <w:jc w:val="both"/>
        <w:rPr>
          <w:rFonts w:ascii="Times New Roman" w:hAnsi="Times New Roman" w:cs="Times New Roman"/>
          <w:bCs/>
          <w:sz w:val="24"/>
        </w:rPr>
      </w:pPr>
      <w:r w:rsidRPr="00265D59">
        <w:rPr>
          <w:rFonts w:ascii="Times New Roman" w:hAnsi="Times New Roman"/>
          <w:sz w:val="24"/>
        </w:rPr>
        <w:t>I det ledsagende narrativ offentliggør institutterne i overensstemmelse med artikel 446, stk. 1, i forordning (EU) nr. 575/2013 begrundelserne for hver udelukkelse fra forretningsindikatoren med undtagelse af udelukkelsen af forretningsområderne detailbankydelser og forretningsbankydelser, der er omhandlet i artikel 314, stk. 4.</w:t>
      </w:r>
    </w:p>
    <w:p w14:paraId="22C673C4" w14:textId="77777777" w:rsidR="00393FEF" w:rsidRPr="00265D59" w:rsidRDefault="00393FEF" w:rsidP="00532CFA">
      <w:pPr>
        <w:pStyle w:val="ListParagraph"/>
        <w:rPr>
          <w:rFonts w:ascii="Times New Roman" w:hAnsi="Times New Roman"/>
          <w:bCs/>
          <w:sz w:val="24"/>
        </w:rPr>
      </w:pPr>
    </w:p>
    <w:p w14:paraId="7DD11602" w14:textId="2BC0B288" w:rsidR="00393FEF" w:rsidRPr="00265D59" w:rsidRDefault="006020C0" w:rsidP="00D740B8">
      <w:pPr>
        <w:numPr>
          <w:ilvl w:val="0"/>
          <w:numId w:val="1"/>
        </w:numPr>
        <w:jc w:val="both"/>
        <w:rPr>
          <w:rFonts w:ascii="Times New Roman" w:hAnsi="Times New Roman" w:cs="Times New Roman"/>
          <w:bCs/>
          <w:sz w:val="24"/>
        </w:rPr>
      </w:pPr>
      <w:r w:rsidRPr="00265D59">
        <w:rPr>
          <w:rFonts w:ascii="Times New Roman" w:hAnsi="Times New Roman"/>
          <w:sz w:val="24"/>
        </w:rPr>
        <w:t xml:space="preserve">På grund af den nære tilknytning mellem oplysningskravene vedrørende operationel risiko og instituttets regnskaber afspejles henvisninger til indberetningskrav, der fremgår af bilag V til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(FINREP), i hele instruksen.</w:t>
      </w:r>
    </w:p>
    <w:p w14:paraId="1D4913E2" w14:textId="77777777" w:rsidR="00DD1D82" w:rsidRPr="00265D59" w:rsidRDefault="00DD1D82" w:rsidP="00DD1D82">
      <w:pPr>
        <w:pStyle w:val="ListParagraph"/>
        <w:rPr>
          <w:rFonts w:ascii="Times New Roman" w:hAnsi="Times New Roman"/>
          <w:bCs/>
          <w:sz w:val="24"/>
        </w:rPr>
      </w:pPr>
    </w:p>
    <w:p w14:paraId="11E51AFD" w14:textId="3D720718" w:rsidR="00DD1D82" w:rsidRPr="00265D59" w:rsidRDefault="00050ABA" w:rsidP="001257B6">
      <w:pPr>
        <w:numPr>
          <w:ilvl w:val="0"/>
          <w:numId w:val="1"/>
        </w:numPr>
        <w:jc w:val="both"/>
        <w:rPr>
          <w:rFonts w:ascii="Times New Roman" w:hAnsi="Times New Roman" w:cs="Times New Roman"/>
          <w:bCs/>
          <w:sz w:val="24"/>
        </w:rPr>
      </w:pPr>
      <w:r w:rsidRPr="00265D59">
        <w:rPr>
          <w:rFonts w:ascii="Times New Roman" w:hAnsi="Times New Roman"/>
          <w:sz w:val="24"/>
        </w:rPr>
        <w:t xml:space="preserve">De tegnkonventioner, som anvendes til at udfylde dette skema, følger de konventioner, der fremgår af bilag V til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w:t>
      </w:r>
    </w:p>
    <w:p w14:paraId="21275E00" w14:textId="77777777" w:rsidR="00D740B8" w:rsidRPr="00265D59"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265D59" w14:paraId="069EA903" w14:textId="77777777">
        <w:trPr>
          <w:trHeight w:val="300"/>
        </w:trPr>
        <w:tc>
          <w:tcPr>
            <w:tcW w:w="1260" w:type="dxa"/>
            <w:shd w:val="clear" w:color="auto" w:fill="BFBFBF" w:themeFill="background1" w:themeFillShade="BF"/>
          </w:tcPr>
          <w:p w14:paraId="7E4DE4F0" w14:textId="77777777" w:rsidR="00D740B8" w:rsidRPr="00265D59" w:rsidRDefault="00D740B8">
            <w:pPr>
              <w:autoSpaceDE w:val="0"/>
              <w:autoSpaceDN w:val="0"/>
              <w:adjustRightInd w:val="0"/>
              <w:rPr>
                <w:rFonts w:ascii="Times New Roman" w:hAnsi="Times New Roman" w:cs="Times New Roman"/>
                <w:b/>
                <w:sz w:val="24"/>
              </w:rPr>
            </w:pPr>
            <w:r w:rsidRPr="00265D59">
              <w:rPr>
                <w:rFonts w:ascii="Times New Roman" w:hAnsi="Times New Roman"/>
                <w:b/>
                <w:sz w:val="24"/>
              </w:rPr>
              <w:t>Kolonne</w:t>
            </w:r>
          </w:p>
        </w:tc>
        <w:tc>
          <w:tcPr>
            <w:tcW w:w="7756" w:type="dxa"/>
            <w:shd w:val="clear" w:color="auto" w:fill="BFBFBF" w:themeFill="background1" w:themeFillShade="BF"/>
          </w:tcPr>
          <w:p w14:paraId="0D54BB35" w14:textId="77777777" w:rsidR="00D740B8" w:rsidRPr="00265D59" w:rsidDel="00B46ADB" w:rsidRDefault="00D740B8">
            <w:pPr>
              <w:autoSpaceDE w:val="0"/>
              <w:autoSpaceDN w:val="0"/>
              <w:adjustRightInd w:val="0"/>
              <w:rPr>
                <w:bCs/>
              </w:rPr>
            </w:pPr>
            <w:r w:rsidRPr="00265D59">
              <w:rPr>
                <w:rFonts w:ascii="Times New Roman" w:hAnsi="Times New Roman"/>
                <w:b/>
                <w:sz w:val="24"/>
              </w:rPr>
              <w:t>Henvisninger til retsakter og instrukser</w:t>
            </w:r>
          </w:p>
        </w:tc>
      </w:tr>
      <w:tr w:rsidR="00D740B8" w:rsidRPr="00265D59" w14:paraId="7AE7216D" w14:textId="77777777">
        <w:trPr>
          <w:trHeight w:val="300"/>
        </w:trPr>
        <w:tc>
          <w:tcPr>
            <w:tcW w:w="1260" w:type="dxa"/>
          </w:tcPr>
          <w:p w14:paraId="0FC699E1" w14:textId="0D76C831" w:rsidR="00D740B8" w:rsidRPr="00265D59" w:rsidRDefault="00D740B8" w:rsidP="00165BEF">
            <w:pPr>
              <w:autoSpaceDE w:val="0"/>
              <w:autoSpaceDN w:val="0"/>
              <w:adjustRightInd w:val="0"/>
              <w:jc w:val="center"/>
              <w:rPr>
                <w:rFonts w:ascii="Times New Roman" w:hAnsi="Times New Roman"/>
                <w:bCs/>
                <w:sz w:val="24"/>
              </w:rPr>
            </w:pPr>
            <w:r w:rsidRPr="00265D59">
              <w:rPr>
                <w:rFonts w:ascii="Times New Roman" w:hAnsi="Times New Roman"/>
                <w:sz w:val="24"/>
              </w:rPr>
              <w:t>a, b, c</w:t>
            </w:r>
          </w:p>
        </w:tc>
        <w:tc>
          <w:tcPr>
            <w:tcW w:w="7756" w:type="dxa"/>
          </w:tcPr>
          <w:p w14:paraId="510A12A5" w14:textId="13FB6D98" w:rsidR="00D740B8" w:rsidRPr="00265D59" w:rsidRDefault="00D740B8">
            <w:pPr>
              <w:autoSpaceDE w:val="0"/>
              <w:autoSpaceDN w:val="0"/>
              <w:adjustRightInd w:val="0"/>
              <w:rPr>
                <w:rStyle w:val="InstructionsTabelleberschrift"/>
                <w:rFonts w:ascii="Times New Roman" w:hAnsi="Times New Roman"/>
                <w:sz w:val="24"/>
                <w:u w:val="none"/>
              </w:rPr>
            </w:pPr>
            <w:r w:rsidRPr="00265D59">
              <w:rPr>
                <w:rStyle w:val="InstructionsTabelleberschrift"/>
                <w:rFonts w:ascii="Times New Roman" w:hAnsi="Times New Roman"/>
                <w:sz w:val="24"/>
                <w:u w:val="none"/>
              </w:rPr>
              <w:t>Værdi</w:t>
            </w:r>
          </w:p>
          <w:p w14:paraId="0A7A2FD7" w14:textId="77777777" w:rsidR="00D740B8" w:rsidRPr="00265D59" w:rsidRDefault="00D740B8">
            <w:pPr>
              <w:rPr>
                <w:rFonts w:ascii="Times New Roman" w:hAnsi="Times New Roman"/>
                <w:sz w:val="24"/>
                <w:lang w:eastAsia="de-DE"/>
              </w:rPr>
            </w:pPr>
          </w:p>
          <w:p w14:paraId="0C8A142A" w14:textId="4CAB13C5" w:rsidR="00D740B8" w:rsidRPr="00265D59" w:rsidRDefault="00D740B8">
            <w:pPr>
              <w:autoSpaceDE w:val="0"/>
              <w:autoSpaceDN w:val="0"/>
              <w:adjustRightInd w:val="0"/>
              <w:rPr>
                <w:rFonts w:ascii="Times New Roman" w:hAnsi="Times New Roman" w:cs="Times New Roman"/>
                <w:bCs/>
                <w:sz w:val="24"/>
              </w:rPr>
            </w:pPr>
            <w:r w:rsidRPr="00265D59">
              <w:rPr>
                <w:rFonts w:ascii="Times New Roman" w:hAnsi="Times New Roman"/>
                <w:sz w:val="24"/>
              </w:rPr>
              <w:t>Artikel 446, stk. 1, litra d), og artikel 314, stk. 1, i forordning (EU) nr. 575/2013.</w:t>
            </w:r>
          </w:p>
          <w:p w14:paraId="7883915F" w14:textId="77777777" w:rsidR="00D740B8" w:rsidRPr="00265D59" w:rsidRDefault="00D740B8">
            <w:pPr>
              <w:autoSpaceDE w:val="0"/>
              <w:autoSpaceDN w:val="0"/>
              <w:adjustRightInd w:val="0"/>
              <w:rPr>
                <w:rFonts w:ascii="Times New Roman" w:hAnsi="Times New Roman"/>
                <w:bCs/>
                <w:sz w:val="24"/>
                <w:lang w:eastAsia="nl-BE"/>
              </w:rPr>
            </w:pPr>
          </w:p>
          <w:p w14:paraId="558CD9DA" w14:textId="2FA81485" w:rsidR="00EA10B1" w:rsidRPr="00265D59" w:rsidRDefault="002F3CFA">
            <w:pPr>
              <w:pStyle w:val="paragraph"/>
              <w:spacing w:before="0" w:beforeAutospacing="0" w:after="0" w:afterAutospacing="0"/>
              <w:textAlignment w:val="baseline"/>
            </w:pPr>
            <w:r w:rsidRPr="00265D59">
              <w:t>Værdien for listen over poster, der indgår i beregningen af forretningsindikatoren og dens komponenter (ILDC, tjenesteydelseskomponenten (SC) og finanskomponenten (FC)) i overensstemmelse med de regnskabsstandarder, der gælder for hvert af de seneste tre regnskabsår.</w:t>
            </w:r>
          </w:p>
          <w:p w14:paraId="3414DDFE" w14:textId="77777777" w:rsidR="007B3E62" w:rsidRPr="00265D59" w:rsidRDefault="007B3E62">
            <w:pPr>
              <w:pStyle w:val="paragraph"/>
              <w:spacing w:before="0" w:beforeAutospacing="0" w:after="0" w:afterAutospacing="0"/>
              <w:textAlignment w:val="baseline"/>
              <w:rPr>
                <w:lang w:eastAsia="de-DE"/>
              </w:rPr>
            </w:pPr>
          </w:p>
          <w:p w14:paraId="374E1BCA" w14:textId="5E2803E9" w:rsidR="007B3E62" w:rsidRPr="00265D59" w:rsidRDefault="00B76B25">
            <w:pPr>
              <w:pStyle w:val="paragraph"/>
              <w:spacing w:before="0" w:beforeAutospacing="0" w:after="0" w:afterAutospacing="0"/>
              <w:textAlignment w:val="baseline"/>
            </w:pPr>
            <w:r w:rsidRPr="00265D59">
              <w:t>Beløbene indberettes efter anvendelse af justeringer i forbindelse med fusioner/erhvervelser og afhændede aktiviteter.</w:t>
            </w:r>
          </w:p>
          <w:p w14:paraId="00BACA37" w14:textId="77777777" w:rsidR="00EA10B1" w:rsidRPr="00265D59" w:rsidRDefault="00EA10B1">
            <w:pPr>
              <w:pStyle w:val="paragraph"/>
              <w:spacing w:before="0" w:beforeAutospacing="0" w:after="0" w:afterAutospacing="0"/>
              <w:textAlignment w:val="baseline"/>
              <w:rPr>
                <w:lang w:eastAsia="de-DE"/>
              </w:rPr>
            </w:pPr>
          </w:p>
          <w:p w14:paraId="21635601" w14:textId="1A8DE566" w:rsidR="00D740B8" w:rsidRPr="00265D59" w:rsidRDefault="00D740B8" w:rsidP="000F6C61">
            <w:pPr>
              <w:pStyle w:val="paragraph"/>
              <w:spacing w:before="0" w:beforeAutospacing="0" w:after="0" w:afterAutospacing="0"/>
              <w:textAlignment w:val="baseline"/>
            </w:pPr>
            <w:r w:rsidRPr="00265D59">
              <w:t>For FC afspejler de værdier, der skal offentliggøres, de regnskabsværdier, der er fastsat ved hjælp af regnskabsgrænsen eller den tilsynsmæssige grænse (PBA) til identifikation af posterne i handelsbeholdningen og porteføljen uden for handelsbeholdningen for hvert af de seneste tre regnskabsår i overensstemmelse med artikel 314, stk. 6, i forordning (EU) nr. 575/2013.</w:t>
            </w:r>
          </w:p>
        </w:tc>
      </w:tr>
      <w:tr w:rsidR="00D740B8" w:rsidRPr="00265D59" w14:paraId="3103AD05" w14:textId="77777777">
        <w:trPr>
          <w:trHeight w:val="300"/>
        </w:trPr>
        <w:tc>
          <w:tcPr>
            <w:tcW w:w="1260" w:type="dxa"/>
          </w:tcPr>
          <w:p w14:paraId="0FFA543A" w14:textId="77777777" w:rsidR="00D740B8" w:rsidRPr="00265D59" w:rsidRDefault="00D740B8" w:rsidP="00165BEF">
            <w:pPr>
              <w:autoSpaceDE w:val="0"/>
              <w:autoSpaceDN w:val="0"/>
              <w:adjustRightInd w:val="0"/>
              <w:jc w:val="center"/>
              <w:rPr>
                <w:rFonts w:ascii="Times New Roman" w:hAnsi="Times New Roman"/>
                <w:bCs/>
                <w:sz w:val="24"/>
              </w:rPr>
            </w:pPr>
            <w:r w:rsidRPr="00265D59">
              <w:rPr>
                <w:rFonts w:ascii="Times New Roman" w:hAnsi="Times New Roman"/>
                <w:sz w:val="24"/>
              </w:rPr>
              <w:t>d</w:t>
            </w:r>
          </w:p>
        </w:tc>
        <w:tc>
          <w:tcPr>
            <w:tcW w:w="7756" w:type="dxa"/>
          </w:tcPr>
          <w:p w14:paraId="117DF1D7" w14:textId="77777777" w:rsidR="00D740B8" w:rsidRPr="00265D59" w:rsidRDefault="00D740B8">
            <w:pPr>
              <w:autoSpaceDE w:val="0"/>
              <w:autoSpaceDN w:val="0"/>
              <w:adjustRightInd w:val="0"/>
              <w:rPr>
                <w:rStyle w:val="InstructionsTabelleberschrift"/>
                <w:rFonts w:ascii="Times New Roman" w:hAnsi="Times New Roman"/>
                <w:sz w:val="24"/>
                <w:u w:val="none"/>
              </w:rPr>
            </w:pPr>
            <w:r w:rsidRPr="00265D59">
              <w:rPr>
                <w:rStyle w:val="InstructionsTabelleberschrift"/>
                <w:rFonts w:ascii="Times New Roman" w:hAnsi="Times New Roman"/>
                <w:sz w:val="24"/>
                <w:u w:val="none"/>
              </w:rPr>
              <w:t>Gennemsnitsværdier</w:t>
            </w:r>
          </w:p>
          <w:p w14:paraId="27B3847F" w14:textId="77777777" w:rsidR="00D740B8" w:rsidRPr="00265D59" w:rsidRDefault="00D740B8">
            <w:pPr>
              <w:autoSpaceDE w:val="0"/>
              <w:autoSpaceDN w:val="0"/>
              <w:adjustRightInd w:val="0"/>
              <w:rPr>
                <w:rFonts w:ascii="Times New Roman" w:hAnsi="Times New Roman"/>
                <w:sz w:val="24"/>
                <w:lang w:eastAsia="de-DE"/>
              </w:rPr>
            </w:pPr>
          </w:p>
          <w:p w14:paraId="2CEEC93D" w14:textId="277817D6" w:rsidR="00D740B8" w:rsidRPr="00265D59" w:rsidRDefault="00D740B8">
            <w:pPr>
              <w:autoSpaceDE w:val="0"/>
              <w:autoSpaceDN w:val="0"/>
              <w:adjustRightInd w:val="0"/>
              <w:rPr>
                <w:rFonts w:ascii="Times New Roman" w:hAnsi="Times New Roman" w:cs="Times New Roman"/>
                <w:bCs/>
                <w:sz w:val="24"/>
              </w:rPr>
            </w:pPr>
            <w:r w:rsidRPr="00265D59">
              <w:rPr>
                <w:rFonts w:ascii="Times New Roman" w:hAnsi="Times New Roman"/>
                <w:sz w:val="24"/>
              </w:rPr>
              <w:t>Artikel 314, stk. 2, 5 og 6, i forordning (EU) nr. 575/2013.</w:t>
            </w:r>
          </w:p>
          <w:p w14:paraId="5FAAFF7A" w14:textId="77777777" w:rsidR="00D740B8" w:rsidRPr="00265D59" w:rsidRDefault="00D740B8">
            <w:pPr>
              <w:autoSpaceDE w:val="0"/>
              <w:autoSpaceDN w:val="0"/>
              <w:adjustRightInd w:val="0"/>
              <w:rPr>
                <w:rStyle w:val="InstructionsTabelleberschrift"/>
                <w:rFonts w:ascii="Times New Roman" w:hAnsi="Times New Roman"/>
                <w:sz w:val="24"/>
              </w:rPr>
            </w:pPr>
          </w:p>
          <w:p w14:paraId="3E17CEC0" w14:textId="402AFA6E" w:rsidR="00D740B8" w:rsidRPr="00265D59" w:rsidRDefault="00D740B8">
            <w:pPr>
              <w:pStyle w:val="paragraph"/>
              <w:spacing w:before="0" w:beforeAutospacing="0" w:after="0" w:afterAutospacing="0"/>
              <w:textAlignment w:val="baseline"/>
              <w:rPr>
                <w:rStyle w:val="normaltextrun"/>
              </w:rPr>
            </w:pPr>
            <w:r w:rsidRPr="00265D59">
              <w:rPr>
                <w:rStyle w:val="normaltextrun"/>
              </w:rPr>
              <w:t>De beregnede værdier for komponenterne ILDC, SC og FC og gennemsnitsværdien af deres relaterede underkomponenter beregnet over de sidste tre regnskabsår og henvist til år T.</w:t>
            </w:r>
          </w:p>
          <w:p w14:paraId="32637704" w14:textId="35682543" w:rsidR="00D740B8" w:rsidRPr="00265D59" w:rsidRDefault="00D740B8">
            <w:pPr>
              <w:pStyle w:val="paragraph"/>
              <w:spacing w:before="0" w:beforeAutospacing="0" w:after="0" w:afterAutospacing="0"/>
              <w:textAlignment w:val="baseline"/>
              <w:rPr>
                <w:rStyle w:val="normaltextrun"/>
              </w:rPr>
            </w:pPr>
          </w:p>
          <w:p w14:paraId="6C270BFC" w14:textId="453723AA" w:rsidR="00D740B8" w:rsidRPr="00265D59"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265D59">
              <w:rPr>
                <w:rStyle w:val="normaltextrun"/>
              </w:rPr>
              <w:t xml:space="preserve">Gennemsnittet beregnes ved at tage hensyn til de regnskabsmæssige værdier for hvert af de seneste tre år. </w:t>
            </w:r>
          </w:p>
        </w:tc>
      </w:tr>
    </w:tbl>
    <w:p w14:paraId="75117700" w14:textId="77777777" w:rsidR="00D740B8" w:rsidRPr="00265D59"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265D59"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265D59" w:rsidRDefault="00D740B8">
            <w:pPr>
              <w:autoSpaceDE w:val="0"/>
              <w:autoSpaceDN w:val="0"/>
              <w:adjustRightInd w:val="0"/>
              <w:rPr>
                <w:rFonts w:ascii="Times New Roman" w:hAnsi="Times New Roman" w:cs="Times New Roman"/>
                <w:b/>
                <w:sz w:val="24"/>
              </w:rPr>
            </w:pPr>
            <w:r w:rsidRPr="00265D59">
              <w:rPr>
                <w:rFonts w:ascii="Times New Roman" w:hAnsi="Times New Roman"/>
                <w:b/>
                <w:sz w:val="24"/>
              </w:rPr>
              <w:t>Række</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265D59" w:rsidRDefault="00D740B8">
            <w:pPr>
              <w:rPr>
                <w:rFonts w:ascii="Times New Roman" w:hAnsi="Times New Roman" w:cs="Times New Roman"/>
                <w:b/>
                <w:sz w:val="24"/>
              </w:rPr>
            </w:pPr>
            <w:r w:rsidRPr="00265D59">
              <w:rPr>
                <w:rFonts w:ascii="Times New Roman" w:hAnsi="Times New Roman"/>
                <w:b/>
                <w:sz w:val="24"/>
              </w:rPr>
              <w:t>Henvisninger til retsakter og instrukser</w:t>
            </w:r>
          </w:p>
        </w:tc>
      </w:tr>
      <w:tr w:rsidR="00D740B8" w:rsidRPr="00265D59"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265D59" w:rsidRDefault="00D740B8">
            <w:pPr>
              <w:spacing w:before="60" w:after="120"/>
              <w:jc w:val="both"/>
              <w:rPr>
                <w:rFonts w:ascii="Times New Roman" w:eastAsia="Times New Roman" w:hAnsi="Times New Roman" w:cs="Times New Roman"/>
                <w:b/>
                <w:sz w:val="24"/>
              </w:rPr>
            </w:pPr>
            <w:r w:rsidRPr="00265D59">
              <w:rPr>
                <w:rFonts w:ascii="Times New Roman" w:hAnsi="Times New Roman"/>
                <w:b/>
                <w:sz w:val="24"/>
              </w:rPr>
              <w:t>Rente-, leasing- og udbyttekomponent (ILDC)</w:t>
            </w:r>
          </w:p>
          <w:p w14:paraId="78381763" w14:textId="2625CE0B" w:rsidR="00D740B8" w:rsidRPr="00265D59" w:rsidRDefault="00D740B8">
            <w:pPr>
              <w:spacing w:before="60" w:after="120"/>
              <w:jc w:val="both"/>
              <w:rPr>
                <w:rFonts w:ascii="Times New Roman" w:eastAsia="Times New Roman" w:hAnsi="Times New Roman" w:cs="Times New Roman"/>
                <w:b/>
                <w:sz w:val="24"/>
              </w:rPr>
            </w:pPr>
            <w:r w:rsidRPr="00265D59">
              <w:rPr>
                <w:rFonts w:ascii="Times New Roman" w:hAnsi="Times New Roman"/>
                <w:sz w:val="24"/>
              </w:rPr>
              <w:t>Rente-leasing og udbyttekomponenten (ILDC) beregnes i overensstemmelse med artikel 314, stk. 2, i forordning (EU) nr. 575/2013, herunder, hvor det er relevant, de beløb, der beregnes i overensstemmelse med artikel 314, stk. 3, i forordning (EU) nr. 575/2013. Når et institut er omfattet af undtagelsen i artikel 314, stk. 4, i forordning (EU) nr. 575/2013, medtager det ikke tal fra forretningsområderne detailbankydelser og forretningsbankydelser.</w:t>
            </w:r>
          </w:p>
        </w:tc>
      </w:tr>
      <w:tr w:rsidR="00456F97" w:rsidRPr="00265D59"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265D59" w:rsidRDefault="00E03FA1">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265D59" w:rsidRDefault="00E2624F">
            <w:pPr>
              <w:spacing w:before="60" w:after="120"/>
              <w:jc w:val="both"/>
              <w:rPr>
                <w:rFonts w:ascii="Times New Roman" w:eastAsia="Times New Roman" w:hAnsi="Times New Roman" w:cs="Times New Roman"/>
                <w:b/>
                <w:sz w:val="24"/>
              </w:rPr>
            </w:pPr>
            <w:r w:rsidRPr="00265D59">
              <w:rPr>
                <w:rFonts w:ascii="Times New Roman" w:hAnsi="Times New Roman"/>
                <w:b/>
                <w:sz w:val="24"/>
              </w:rPr>
              <w:t>ILDC relateret til det enkelte institut/den konsoliderede koncern (ekskl. enheder, der er omfattet af artikel 314, stk. 3)</w:t>
            </w:r>
          </w:p>
          <w:p w14:paraId="3B4A0231" w14:textId="6A33703B" w:rsidR="00E2624F" w:rsidRPr="00265D59" w:rsidRDefault="00E2624F" w:rsidP="00413B96">
            <w:pPr>
              <w:rPr>
                <w:rFonts w:ascii="Times New Roman" w:hAnsi="Times New Roman"/>
                <w:color w:val="000000" w:themeColor="text1"/>
                <w:sz w:val="24"/>
              </w:rPr>
            </w:pPr>
            <w:r w:rsidRPr="00265D59">
              <w:rPr>
                <w:rFonts w:ascii="Times New Roman" w:hAnsi="Times New Roman"/>
                <w:sz w:val="24"/>
              </w:rPr>
              <w:t>Rente-, leasing og udbyttekomponenten (ILDC) beregnet i overensstemmelse med artikel 314, stk. 2, i forordning (EU) nr. 575/2013 uden at medtage tal, der indgår i beregningen af ILDC, i de tilfælde, hvor instituttet anvender undtagelsen i overensstemmelse med artikel 314, stk. 3, i forordning (EU) nr. 575/2013.</w:t>
            </w:r>
          </w:p>
        </w:tc>
      </w:tr>
      <w:tr w:rsidR="00D740B8" w:rsidRPr="00265D59"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265D59" w:rsidRDefault="00D740B8">
            <w:pPr>
              <w:spacing w:before="60" w:after="120"/>
              <w:jc w:val="both"/>
              <w:rPr>
                <w:rFonts w:ascii="Times New Roman" w:eastAsia="Times New Roman" w:hAnsi="Times New Roman" w:cs="Times New Roman"/>
                <w:b/>
                <w:sz w:val="24"/>
              </w:rPr>
            </w:pPr>
            <w:r w:rsidRPr="00265D59">
              <w:rPr>
                <w:rFonts w:ascii="Times New Roman" w:hAnsi="Times New Roman"/>
                <w:b/>
                <w:sz w:val="24"/>
              </w:rPr>
              <w:t>Rente- og leasingindtægter</w:t>
            </w:r>
          </w:p>
          <w:p w14:paraId="33CCD1CB" w14:textId="130AE220" w:rsidR="00BD248A" w:rsidRPr="00265D59" w:rsidRDefault="00D740B8">
            <w:pPr>
              <w:rPr>
                <w:rFonts w:ascii="Times New Roman" w:eastAsia="Times New Roman" w:hAnsi="Times New Roman" w:cs="Times New Roman"/>
                <w:sz w:val="24"/>
              </w:rPr>
            </w:pPr>
            <w:r w:rsidRPr="00265D59">
              <w:rPr>
                <w:rFonts w:ascii="Times New Roman" w:hAnsi="Times New Roman"/>
                <w:sz w:val="24"/>
              </w:rPr>
              <w:t xml:space="preserve">Summen af renteindtægter fra alle finansielle aktiver, andre indtægter fra leasede aktiver og overskud fra leasede aktiver, i overensstemmelse med bilag V til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w:t>
            </w:r>
          </w:p>
          <w:p w14:paraId="76D4A1E7" w14:textId="77777777" w:rsidR="00BD248A" w:rsidRPr="00265D59" w:rsidRDefault="00BD248A">
            <w:pPr>
              <w:rPr>
                <w:rFonts w:ascii="Times New Roman" w:eastAsia="Times New Roman" w:hAnsi="Times New Roman" w:cs="Times New Roman"/>
                <w:sz w:val="24"/>
              </w:rPr>
            </w:pPr>
          </w:p>
          <w:p w14:paraId="19841383" w14:textId="08257E38" w:rsidR="00F5221D" w:rsidRPr="00265D59" w:rsidRDefault="004F220F">
            <w:pPr>
              <w:rPr>
                <w:rFonts w:ascii="Times New Roman" w:eastAsia="Times New Roman" w:hAnsi="Times New Roman" w:cs="Times New Roman"/>
                <w:sz w:val="24"/>
              </w:rPr>
            </w:pPr>
            <w:r w:rsidRPr="00265D59">
              <w:rPr>
                <w:rFonts w:ascii="Times New Roman" w:hAnsi="Times New Roman"/>
                <w:sz w:val="24"/>
              </w:rPr>
              <w:t xml:space="preserve">Renteindtægter fra alle finansielle aktiver beregnes i overensstemmelse med bilag V, del 2, punkt 31,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og i overensstemmelse med de yderligere specifikationer i bilag V, del 2, punkt 187, 189 og 194ii,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w:t>
            </w:r>
          </w:p>
          <w:p w14:paraId="55B6FFE6" w14:textId="77777777" w:rsidR="00F5221D" w:rsidRPr="00265D59" w:rsidRDefault="00F5221D">
            <w:pPr>
              <w:rPr>
                <w:rFonts w:ascii="Times New Roman" w:eastAsia="Times New Roman" w:hAnsi="Times New Roman" w:cs="Times New Roman"/>
                <w:sz w:val="24"/>
              </w:rPr>
            </w:pPr>
          </w:p>
          <w:p w14:paraId="00ED9136" w14:textId="12CD18AE" w:rsidR="00E76AA5" w:rsidRPr="00265D59" w:rsidRDefault="00F5221D" w:rsidP="007535CB">
            <w:pPr>
              <w:rPr>
                <w:rFonts w:ascii="Times New Roman" w:eastAsia="Times New Roman" w:hAnsi="Times New Roman" w:cs="Times New Roman"/>
                <w:sz w:val="24"/>
              </w:rPr>
            </w:pPr>
            <w:r w:rsidRPr="00265D59">
              <w:rPr>
                <w:rFonts w:ascii="Times New Roman" w:hAnsi="Times New Roman"/>
                <w:sz w:val="24"/>
              </w:rPr>
              <w:t xml:space="preserve">Andre indtægter fra (finansielle og operationelle) leasede aktiver omfatter ikke renteindtægter. Dette beløb beregnes i overensstemmelse med bilag V, del 2, punkt 314 og 315,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og udgør: i) indtægter fra ændringer i dagsværdien af investeringsejendomme, der genererer lejeindtægter og måles efter dagsværdimodellen, og/eller ii) indtægter fra operationel leasing, herunder lejeindtægter fra investeringsejendomme.</w:t>
            </w:r>
          </w:p>
          <w:p w14:paraId="6C1BE770" w14:textId="77777777" w:rsidR="007535CB" w:rsidRPr="00265D59" w:rsidRDefault="007535CB" w:rsidP="007535CB">
            <w:pPr>
              <w:rPr>
                <w:rFonts w:ascii="Times New Roman" w:eastAsia="Times New Roman" w:hAnsi="Times New Roman" w:cs="Times New Roman"/>
                <w:sz w:val="24"/>
              </w:rPr>
            </w:pPr>
          </w:p>
          <w:p w14:paraId="742C7468" w14:textId="3A50C109" w:rsidR="00D740B8" w:rsidRPr="00265D59" w:rsidRDefault="00BB0B3D" w:rsidP="004F34D4">
            <w:pPr>
              <w:rPr>
                <w:rFonts w:ascii="Times New Roman" w:eastAsia="Times New Roman" w:hAnsi="Times New Roman" w:cs="Times New Roman"/>
                <w:sz w:val="24"/>
              </w:rPr>
            </w:pPr>
            <w:r w:rsidRPr="00265D59">
              <w:rPr>
                <w:rFonts w:ascii="Times New Roman" w:hAnsi="Times New Roman"/>
                <w:sz w:val="24"/>
              </w:rPr>
              <w:t xml:space="preserve">Overskud fra (finansielle og operationelle) leasede aktiver omfatter: i) overskud fra ændringer af leasingkontrakter i overensstemmelse med bilag V, del 2, punkt 49,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ii) resten af øvrige driftsindtægter (Øvrige driftsindtægter) i overensstemmelse med bilag V, del 2, punkt 314 og 316,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hvis de vedrører (finansielle og operationelle) leasede aktiver.</w:t>
            </w:r>
          </w:p>
        </w:tc>
      </w:tr>
      <w:tr w:rsidR="00D740B8" w:rsidRPr="00265D59"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lastRenderedPageBreak/>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265D59" w:rsidRDefault="00D740B8">
            <w:pPr>
              <w:spacing w:before="60" w:after="120"/>
              <w:jc w:val="both"/>
              <w:rPr>
                <w:rFonts w:ascii="Times New Roman" w:eastAsia="Times New Roman" w:hAnsi="Times New Roman" w:cs="Times New Roman"/>
                <w:b/>
                <w:sz w:val="24"/>
              </w:rPr>
            </w:pPr>
            <w:r w:rsidRPr="00265D59">
              <w:rPr>
                <w:rFonts w:ascii="Times New Roman" w:hAnsi="Times New Roman"/>
                <w:b/>
                <w:sz w:val="24"/>
              </w:rPr>
              <w:t>Rente- og leasingudgifter</w:t>
            </w:r>
          </w:p>
          <w:p w14:paraId="65B73157" w14:textId="72BA8427" w:rsidR="00EC1398" w:rsidRPr="00265D59" w:rsidRDefault="00D740B8">
            <w:pPr>
              <w:rPr>
                <w:rFonts w:ascii="Times New Roman" w:eastAsia="Times New Roman" w:hAnsi="Times New Roman" w:cs="Times New Roman"/>
                <w:sz w:val="24"/>
              </w:rPr>
            </w:pPr>
            <w:r w:rsidRPr="00265D59">
              <w:rPr>
                <w:rFonts w:ascii="Times New Roman" w:hAnsi="Times New Roman"/>
                <w:sz w:val="24"/>
              </w:rPr>
              <w:t xml:space="preserve">Summen af renteudgifter fra alle finansielle forpligtelser, udgifter fra leasede aktiver og afskrivninger, værdiforringelse og tab på leasede aktiver, som omhandlet i bilag V til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w:t>
            </w:r>
          </w:p>
          <w:p w14:paraId="06CEDDA9" w14:textId="77777777" w:rsidR="00BA33C3" w:rsidRPr="00265D59" w:rsidRDefault="00BA33C3">
            <w:pPr>
              <w:rPr>
                <w:rFonts w:ascii="Times New Roman" w:eastAsia="Times New Roman" w:hAnsi="Times New Roman" w:cs="Times New Roman"/>
                <w:sz w:val="24"/>
              </w:rPr>
            </w:pPr>
          </w:p>
          <w:p w14:paraId="3ACFF991" w14:textId="1BCDC8C4" w:rsidR="00BA33C3" w:rsidRPr="00265D59" w:rsidRDefault="00BA33C3">
            <w:pPr>
              <w:rPr>
                <w:rFonts w:ascii="Times New Roman" w:eastAsia="Times New Roman" w:hAnsi="Times New Roman" w:cs="Times New Roman"/>
                <w:sz w:val="24"/>
              </w:rPr>
            </w:pPr>
            <w:r w:rsidRPr="00265D59">
              <w:rPr>
                <w:rFonts w:ascii="Times New Roman" w:hAnsi="Times New Roman"/>
                <w:sz w:val="24"/>
              </w:rPr>
              <w:t xml:space="preserve">Institutterne beregner renteudgifter fra alle finansielle forpligtelser i overensstemmelse med bilag V, del 2, punkt 31,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og i overensstemmelse med de yderligere specifikationer i bilag V, del 2, punkt 188, 190 og 194ii,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Renteudgifter, der skyldes hændelser knyttet til operationel risiko, medtages ikke her. De inkluderes i stedet i tjenesteydelseskomponenten i overensstemmelse med artikel 314, stk. 5, i forordning (EU) nr. 575/2013.</w:t>
            </w:r>
          </w:p>
          <w:p w14:paraId="2D079DF5" w14:textId="77777777" w:rsidR="003D0A4B" w:rsidRPr="00265D59" w:rsidRDefault="003D0A4B">
            <w:pPr>
              <w:rPr>
                <w:rFonts w:ascii="Times New Roman" w:eastAsia="Times New Roman" w:hAnsi="Times New Roman" w:cs="Times New Roman"/>
                <w:sz w:val="24"/>
              </w:rPr>
            </w:pPr>
          </w:p>
          <w:p w14:paraId="08A94531" w14:textId="1EA15404" w:rsidR="003D0A4B" w:rsidRPr="00265D59" w:rsidRDefault="003D0A4B" w:rsidP="00D136A0">
            <w:pPr>
              <w:rPr>
                <w:rFonts w:ascii="Times New Roman" w:eastAsia="Times New Roman" w:hAnsi="Times New Roman" w:cs="Times New Roman"/>
                <w:sz w:val="24"/>
              </w:rPr>
            </w:pPr>
            <w:r w:rsidRPr="00265D59">
              <w:rPr>
                <w:rFonts w:ascii="Times New Roman" w:hAnsi="Times New Roman"/>
                <w:sz w:val="24"/>
              </w:rPr>
              <w:t xml:space="preserve">I udgifter fra (operationelle) leasingaktiver medtages udgifter i overensstemmelse med bilag V, del 2, punkt 314 og 315,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vedrørende operationel leasing, som udgør: i) udgifter som følge af ændringer i dagsværdien af investeringsejendomme, der genererer lejeindtægter og måles ved hjælp af dagsværdimodellen fra operationelle leasingaktiver, og ii) udgifter til operationel leasing, herunder direkte driftsomkostninger fra investeringsejendomme, der genererer lejeindtægter. Derudover bør institutterne her indberette andre administrative udgifter fra operationelle leasingaktiver i overensstemmelse med bilag V, del 2, punkt 208ix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Udgifter, der skyldes hændelser knyttet til operationel risiko, indberettes ikke her. De inkluderes i stedet i tjenesteydelseskomponenten i overensstemmelse med artikel 314, stk. 5, i forordning (EU) nr. 575/2013.</w:t>
            </w:r>
          </w:p>
          <w:p w14:paraId="61020FEC" w14:textId="77777777" w:rsidR="00376B14" w:rsidRPr="00265D59" w:rsidRDefault="00376B14">
            <w:pPr>
              <w:rPr>
                <w:rFonts w:ascii="Times New Roman" w:eastAsia="Times New Roman" w:hAnsi="Times New Roman" w:cs="Times New Roman"/>
                <w:sz w:val="24"/>
              </w:rPr>
            </w:pPr>
          </w:p>
          <w:p w14:paraId="5D976FDD" w14:textId="0FB08478" w:rsidR="00376B14" w:rsidRPr="00265D59" w:rsidRDefault="00376B14">
            <w:pPr>
              <w:rPr>
                <w:rFonts w:ascii="Times New Roman" w:eastAsia="Times New Roman" w:hAnsi="Times New Roman" w:cs="Times New Roman"/>
                <w:sz w:val="24"/>
              </w:rPr>
            </w:pPr>
            <w:r w:rsidRPr="00265D59">
              <w:rPr>
                <w:rFonts w:ascii="Times New Roman" w:hAnsi="Times New Roman"/>
                <w:sz w:val="24"/>
              </w:rPr>
              <w:t>Afskrivning af leasede aktiver svarer til afskrivningsudgifterne som indberettet i overensstemmelse med international regnskabsstandard (IAS) 1, punkt 102 og 104, men kun fra operationelle leasingaktiver, hvis indtægter eller udgifter indgår i beregningen af renteindtægter/-udgifter.</w:t>
            </w:r>
          </w:p>
          <w:p w14:paraId="5D82FC67" w14:textId="77777777" w:rsidR="00DA24A2" w:rsidRPr="00265D59" w:rsidRDefault="00DA24A2">
            <w:pPr>
              <w:rPr>
                <w:rFonts w:ascii="Times New Roman" w:eastAsia="Times New Roman" w:hAnsi="Times New Roman" w:cs="Times New Roman"/>
                <w:sz w:val="24"/>
              </w:rPr>
            </w:pPr>
          </w:p>
          <w:p w14:paraId="1D89DE9C" w14:textId="6D7B59E2" w:rsidR="00DA24A2" w:rsidRPr="00265D59" w:rsidRDefault="00DA24A2">
            <w:pPr>
              <w:rPr>
                <w:rFonts w:ascii="Times New Roman" w:eastAsia="Times New Roman" w:hAnsi="Times New Roman" w:cs="Times New Roman"/>
                <w:sz w:val="24"/>
              </w:rPr>
            </w:pPr>
            <w:r w:rsidRPr="00265D59">
              <w:rPr>
                <w:rFonts w:ascii="Times New Roman" w:hAnsi="Times New Roman"/>
                <w:sz w:val="24"/>
              </w:rPr>
              <w:t>Værdiforringelse af leasede aktiver svarer til udgifterne fra operationelle leasingaktiver, der udgør værdiforringelsen eller tilbageførslen af værdiforringelse i henhold til IAS 36, punkt 126, litra a) og b), fra operationelle leasingaktiver.</w:t>
            </w:r>
          </w:p>
          <w:p w14:paraId="11B36ACB" w14:textId="77777777" w:rsidR="00DA24A2" w:rsidRPr="00265D59" w:rsidRDefault="00DA24A2">
            <w:pPr>
              <w:rPr>
                <w:rFonts w:ascii="Times New Roman" w:eastAsia="Times New Roman" w:hAnsi="Times New Roman" w:cs="Times New Roman"/>
                <w:sz w:val="24"/>
              </w:rPr>
            </w:pPr>
          </w:p>
          <w:p w14:paraId="0FA351B6" w14:textId="470A5833" w:rsidR="00D740B8" w:rsidRPr="00265D59" w:rsidRDefault="00DA24A2" w:rsidP="004F34D4">
            <w:pPr>
              <w:rPr>
                <w:rFonts w:ascii="Times New Roman" w:hAnsi="Times New Roman"/>
                <w:sz w:val="24"/>
              </w:rPr>
            </w:pPr>
            <w:r w:rsidRPr="00265D59">
              <w:rPr>
                <w:rFonts w:ascii="Times New Roman" w:hAnsi="Times New Roman"/>
                <w:sz w:val="24"/>
              </w:rPr>
              <w:t xml:space="preserve">Tab som følge af leasede aktiver svarer til resten af øvrige driftsudgifter (Øvrige driftsudgifter) i overensstemmelse med bilag V, del 2, afsnit 29.3, punkt 316,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hvis de er knyttet til operationelle leasingaktiver. Tab som følge af hændelser knyttet til operationel risiko indberettes ikke her. De inkluderes i stedet i tjenesteydelseskomponenten i overensstemmelse med artikel 314, stk. 5, i forordning (EU) nr. 575/2013.</w:t>
            </w:r>
          </w:p>
        </w:tc>
      </w:tr>
      <w:tr w:rsidR="00D740B8" w:rsidRPr="00265D59"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265D59" w:rsidRDefault="00B76736">
            <w:pPr>
              <w:spacing w:before="60" w:after="120"/>
              <w:jc w:val="both"/>
              <w:rPr>
                <w:rStyle w:val="InstructionsTabelleberschrift"/>
                <w:rFonts w:ascii="Times New Roman" w:eastAsia="Times New Roman" w:hAnsi="Times New Roman"/>
                <w:sz w:val="24"/>
                <w:u w:val="none"/>
              </w:rPr>
            </w:pPr>
            <w:r w:rsidRPr="00265D59">
              <w:rPr>
                <w:rStyle w:val="InstructionsTabelleberschrift"/>
                <w:rFonts w:ascii="Times New Roman" w:hAnsi="Times New Roman"/>
                <w:sz w:val="24"/>
                <w:u w:val="none"/>
              </w:rPr>
              <w:t>Samlede aktiver/Aktivkomponent</w:t>
            </w:r>
          </w:p>
          <w:p w14:paraId="15501679" w14:textId="3EB04379" w:rsidR="00D740B8" w:rsidRPr="00265D59" w:rsidRDefault="00B76736">
            <w:pPr>
              <w:spacing w:before="60" w:after="120"/>
              <w:jc w:val="both"/>
              <w:rPr>
                <w:rFonts w:ascii="Times New Roman" w:eastAsia="Times New Roman" w:hAnsi="Times New Roman" w:cs="Times New Roman"/>
                <w:sz w:val="24"/>
              </w:rPr>
            </w:pPr>
            <w:r w:rsidRPr="00265D59">
              <w:rPr>
                <w:rFonts w:ascii="Times New Roman" w:hAnsi="Times New Roman"/>
                <w:sz w:val="24"/>
              </w:rPr>
              <w:t>Aktivkomponenten beregnes under kolonne d) i overensstemmelse med artikel 314, stk. 2, i forordning (EU) nr. 575/2013.</w:t>
            </w:r>
          </w:p>
          <w:p w14:paraId="65FF56C9" w14:textId="24401D0D" w:rsidR="004E3E86" w:rsidRPr="00265D59" w:rsidRDefault="003E3201" w:rsidP="00373F9D">
            <w:pPr>
              <w:rPr>
                <w:rFonts w:ascii="Times New Roman" w:hAnsi="Times New Roman"/>
                <w:sz w:val="24"/>
              </w:rPr>
            </w:pPr>
            <w:r w:rsidRPr="00265D59">
              <w:rPr>
                <w:rFonts w:ascii="Times New Roman" w:hAnsi="Times New Roman"/>
                <w:sz w:val="24"/>
              </w:rPr>
              <w:t xml:space="preserve">Under de øvrige kolonner svarer de samlede aktiver til summen af den regnskabsmæssige bruttoværdi af kontantbeholdninger i centralbanker og andre anfordringsindskud, gældsinstrumenter, udlån og forskud samt den </w:t>
            </w:r>
            <w:r w:rsidRPr="00265D59">
              <w:rPr>
                <w:rFonts w:ascii="Times New Roman" w:hAnsi="Times New Roman"/>
                <w:sz w:val="24"/>
              </w:rPr>
              <w:lastRenderedPageBreak/>
              <w:t xml:space="preserve">regnskabsmæssige værdi af derivater (handels- og økonomiske sikringer og regnskabsmæssig sikring) og aktiver, der er omfattet af leasingaftaler (materielle og immaterielle aktiver). Disse poster henviser til bilag V til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w:t>
            </w:r>
          </w:p>
          <w:p w14:paraId="2655EEC4" w14:textId="6116BB66" w:rsidR="00BC1F18" w:rsidRPr="00265D59" w:rsidRDefault="00BC1F18" w:rsidP="00BC1F18">
            <w:pPr>
              <w:rPr>
                <w:rFonts w:ascii="Times New Roman" w:hAnsi="Times New Roman"/>
                <w:sz w:val="24"/>
              </w:rPr>
            </w:pPr>
          </w:p>
        </w:tc>
      </w:tr>
      <w:tr w:rsidR="00D740B8" w:rsidRPr="00265D59"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lastRenderedPageBreak/>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265D59" w:rsidRDefault="00B76736">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Udbytteindtægter/Udbyttekomponent</w:t>
            </w:r>
          </w:p>
          <w:p w14:paraId="1A066B7B" w14:textId="4AA7538A" w:rsidR="00D740B8" w:rsidRPr="00265D59" w:rsidRDefault="00B76736" w:rsidP="004E3E86">
            <w:pPr>
              <w:spacing w:before="60" w:after="120"/>
              <w:jc w:val="both"/>
              <w:rPr>
                <w:rFonts w:ascii="Times New Roman" w:eastAsia="Times New Roman" w:hAnsi="Times New Roman" w:cs="Times New Roman"/>
                <w:sz w:val="24"/>
              </w:rPr>
            </w:pPr>
            <w:r w:rsidRPr="00265D59">
              <w:rPr>
                <w:rFonts w:ascii="Times New Roman" w:hAnsi="Times New Roman"/>
                <w:sz w:val="24"/>
              </w:rPr>
              <w:t>Udbyttekomponenten beregnes i kolonne d) i overensstemmelse med artikel 314, stk. 2, i forordning (EU) nr. 575/2013.</w:t>
            </w:r>
          </w:p>
          <w:p w14:paraId="3F4B342E" w14:textId="23DB8876" w:rsidR="004E3E86" w:rsidRPr="00265D59" w:rsidRDefault="004E3E86" w:rsidP="004E3E86">
            <w:pPr>
              <w:rPr>
                <w:rFonts w:ascii="Times New Roman" w:hAnsi="Times New Roman"/>
                <w:sz w:val="24"/>
              </w:rPr>
            </w:pPr>
            <w:r w:rsidRPr="00265D59">
              <w:rPr>
                <w:rFonts w:ascii="Times New Roman" w:hAnsi="Times New Roman"/>
                <w:sz w:val="24"/>
              </w:rPr>
              <w:t xml:space="preserve">Institutterne indberetter udbytteindtægter i overensstemmelse med bilag V, del 2, punkt 40-42,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w:t>
            </w:r>
          </w:p>
        </w:tc>
      </w:tr>
      <w:tr w:rsidR="003826D3" w:rsidRPr="00265D59"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265D59" w:rsidRDefault="003826D3" w:rsidP="003826D3">
            <w:pPr>
              <w:spacing w:before="60" w:after="120"/>
              <w:jc w:val="both"/>
              <w:rPr>
                <w:rFonts w:ascii="Times New Roman" w:eastAsia="Times New Roman" w:hAnsi="Times New Roman" w:cs="Times New Roman"/>
                <w:b/>
                <w:sz w:val="24"/>
              </w:rPr>
            </w:pPr>
            <w:r w:rsidRPr="00265D59">
              <w:rPr>
                <w:rFonts w:ascii="Times New Roman" w:hAnsi="Times New Roman"/>
                <w:b/>
                <w:sz w:val="24"/>
              </w:rPr>
              <w:t>Tjenesteydelseskomponent (SC)</w:t>
            </w:r>
          </w:p>
          <w:p w14:paraId="2D48B659" w14:textId="0264DFE4" w:rsidR="00080F37" w:rsidRPr="00265D59" w:rsidRDefault="005E7C4C" w:rsidP="003826D3">
            <w:pPr>
              <w:spacing w:before="60" w:after="120"/>
              <w:jc w:val="both"/>
              <w:rPr>
                <w:rFonts w:ascii="Times New Roman" w:eastAsia="Times New Roman" w:hAnsi="Times New Roman" w:cs="Times New Roman"/>
                <w:sz w:val="24"/>
              </w:rPr>
            </w:pPr>
            <w:r w:rsidRPr="00265D59">
              <w:rPr>
                <w:rFonts w:ascii="Times New Roman" w:hAnsi="Times New Roman"/>
                <w:sz w:val="24"/>
              </w:rPr>
              <w:t>Tjenesteydelseskomponenten beregnes i overensstemmelse med artikel 314, stk. 5, i forordning (EU) nr. 575/2013.</w:t>
            </w:r>
          </w:p>
          <w:p w14:paraId="2EFCFDAF" w14:textId="3F07E77F" w:rsidR="003826D3" w:rsidRPr="00265D59" w:rsidRDefault="0094124B" w:rsidP="003826D3">
            <w:pPr>
              <w:spacing w:before="60" w:after="120"/>
              <w:jc w:val="both"/>
              <w:rPr>
                <w:rStyle w:val="InstructionsTabelleberschrift"/>
                <w:rFonts w:ascii="Times New Roman" w:eastAsia="Times New Roman" w:hAnsi="Times New Roman"/>
                <w:bCs w:val="0"/>
                <w:sz w:val="24"/>
              </w:rPr>
            </w:pPr>
            <w:r w:rsidRPr="00265D59">
              <w:rPr>
                <w:rFonts w:ascii="Times New Roman" w:hAnsi="Times New Roman"/>
                <w:sz w:val="24"/>
              </w:rPr>
              <w:t xml:space="preserve">Når et institut er omfattet af undtagelsen i artikel 314, stk. 4, i forordning (EU) nr. 575/2013, medtager det ikke tal fra forretningsområderne detailbankydelser og forretningsbankydelser. </w:t>
            </w:r>
          </w:p>
        </w:tc>
      </w:tr>
      <w:tr w:rsidR="003826D3" w:rsidRPr="00265D59"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2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265D59" w:rsidRDefault="003826D3" w:rsidP="003826D3">
            <w:pPr>
              <w:spacing w:before="60" w:after="120"/>
              <w:jc w:val="both"/>
              <w:rPr>
                <w:rFonts w:ascii="Times New Roman" w:eastAsia="Times New Roman" w:hAnsi="Times New Roman" w:cs="Times New Roman"/>
                <w:b/>
                <w:sz w:val="24"/>
              </w:rPr>
            </w:pPr>
            <w:r w:rsidRPr="00265D59">
              <w:rPr>
                <w:rFonts w:ascii="Times New Roman" w:hAnsi="Times New Roman"/>
                <w:b/>
                <w:sz w:val="24"/>
              </w:rPr>
              <w:t>Gebyr- og provisionsindtægter</w:t>
            </w:r>
          </w:p>
          <w:p w14:paraId="1394D6AF" w14:textId="06AD3617" w:rsidR="003826D3" w:rsidRPr="00265D59" w:rsidRDefault="009816D6" w:rsidP="003826D3">
            <w:pPr>
              <w:spacing w:before="60" w:after="120"/>
              <w:jc w:val="both"/>
              <w:rPr>
                <w:rFonts w:ascii="Times New Roman" w:eastAsia="Times New Roman" w:hAnsi="Times New Roman" w:cs="Times New Roman"/>
                <w:sz w:val="24"/>
              </w:rPr>
            </w:pPr>
            <w:r w:rsidRPr="00265D59">
              <w:rPr>
                <w:rFonts w:ascii="Times New Roman" w:hAnsi="Times New Roman"/>
                <w:sz w:val="24"/>
              </w:rPr>
              <w:t xml:space="preserve">Gebyr- og provisionsindtægter som omhandlet i bilag V, del 2, punkt 281-284,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og beregnet i overensstemmelse med artikel 314, stk. 5, i forordning (EU) nr. 575/2013.</w:t>
            </w:r>
          </w:p>
          <w:p w14:paraId="0EA5E8EE" w14:textId="07382D3A" w:rsidR="008D318E" w:rsidRPr="00265D59" w:rsidRDefault="008D318E" w:rsidP="003826D3">
            <w:pPr>
              <w:spacing w:before="60" w:after="120"/>
              <w:jc w:val="both"/>
              <w:rPr>
                <w:rFonts w:ascii="Times New Roman" w:eastAsia="Times New Roman" w:hAnsi="Times New Roman" w:cs="Times New Roman"/>
                <w:sz w:val="24"/>
              </w:rPr>
            </w:pPr>
            <w:r w:rsidRPr="00265D59">
              <w:rPr>
                <w:rFonts w:ascii="Times New Roman" w:hAnsi="Times New Roman"/>
                <w:sz w:val="24"/>
              </w:rPr>
              <w:t>Indtægter fra accessoriske aktiviteter, såsom IT-aktiviteter, der er nødvendige for at udføre en finansiel tjenesteydelse, bør også medtages under denne post i overensstemmelse med artikel 7 i den reguleringsmæssige tekniske standard, der skal udarbejdes i henhold til artikel 314, stk. 9, i forordning (EU) nr. 575/2013.</w:t>
            </w:r>
          </w:p>
          <w:p w14:paraId="388F841F" w14:textId="1B0267DB" w:rsidR="00D91B18" w:rsidRPr="00265D59" w:rsidRDefault="007D3710" w:rsidP="003826D3">
            <w:pPr>
              <w:spacing w:before="60" w:after="120"/>
              <w:jc w:val="both"/>
              <w:rPr>
                <w:rStyle w:val="InstructionsTabelleberschrift"/>
                <w:rFonts w:ascii="Times New Roman" w:eastAsia="Times New Roman" w:hAnsi="Times New Roman"/>
                <w:b w:val="0"/>
                <w:bCs w:val="0"/>
                <w:sz w:val="24"/>
                <w:u w:val="none"/>
              </w:rPr>
            </w:pPr>
            <w:r w:rsidRPr="00265D59">
              <w:rPr>
                <w:rStyle w:val="InstructionsTabelleberschrift"/>
                <w:rFonts w:ascii="Times New Roman" w:hAnsi="Times New Roman"/>
                <w:b w:val="0"/>
                <w:sz w:val="24"/>
                <w:u w:val="none"/>
              </w:rPr>
              <w:t>Den del af gebyr- og provisionsindtægterne, der modtages fra institutter, som deltager i samme institutsikringsordning, i overensstemmelse med artikel 314, stk. 5, i forordning (EU) nr. 575/2013, udelukkes.</w:t>
            </w:r>
          </w:p>
        </w:tc>
      </w:tr>
      <w:tr w:rsidR="003826D3" w:rsidRPr="00265D59"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265D59" w:rsidRDefault="003826D3" w:rsidP="003826D3">
            <w:pPr>
              <w:spacing w:before="60" w:after="120"/>
              <w:jc w:val="both"/>
              <w:rPr>
                <w:rFonts w:ascii="Times New Roman" w:eastAsia="Times New Roman" w:hAnsi="Times New Roman" w:cs="Times New Roman"/>
                <w:b/>
                <w:sz w:val="24"/>
              </w:rPr>
            </w:pPr>
            <w:r w:rsidRPr="00265D59">
              <w:rPr>
                <w:rFonts w:ascii="Times New Roman" w:hAnsi="Times New Roman"/>
                <w:b/>
                <w:sz w:val="24"/>
              </w:rPr>
              <w:t>Gebyr- og provisionsudgifter</w:t>
            </w:r>
          </w:p>
          <w:p w14:paraId="241530E4" w14:textId="72E685E0" w:rsidR="003826D3" w:rsidRPr="00265D59" w:rsidRDefault="009816D6" w:rsidP="003826D3">
            <w:pPr>
              <w:spacing w:before="60" w:after="120"/>
              <w:jc w:val="both"/>
              <w:rPr>
                <w:rFonts w:ascii="Times New Roman" w:eastAsia="Times New Roman" w:hAnsi="Times New Roman" w:cs="Times New Roman"/>
                <w:sz w:val="24"/>
              </w:rPr>
            </w:pPr>
            <w:r w:rsidRPr="00265D59">
              <w:rPr>
                <w:rFonts w:ascii="Times New Roman" w:hAnsi="Times New Roman"/>
                <w:sz w:val="24"/>
              </w:rPr>
              <w:t xml:space="preserve">Gebyr- og provisionsudgifter i overensstemmelse med bilag V, del 2, punkt 281-284,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og beregnet i overensstemmelse med artikel 314, stk. 5, i forordning (EU) nr. 575/2013.</w:t>
            </w:r>
          </w:p>
          <w:p w14:paraId="03E34B08" w14:textId="2D67624D" w:rsidR="00126683" w:rsidRPr="00265D59" w:rsidRDefault="00126683" w:rsidP="003826D3">
            <w:pPr>
              <w:spacing w:before="60" w:after="120"/>
              <w:jc w:val="both"/>
              <w:rPr>
                <w:rFonts w:ascii="Times New Roman" w:eastAsia="Times New Roman" w:hAnsi="Times New Roman" w:cs="Times New Roman"/>
                <w:sz w:val="24"/>
              </w:rPr>
            </w:pPr>
            <w:proofErr w:type="spellStart"/>
            <w:r w:rsidRPr="00265D59">
              <w:rPr>
                <w:rFonts w:ascii="Times New Roman" w:hAnsi="Times New Roman"/>
                <w:sz w:val="24"/>
              </w:rPr>
              <w:t>Outsourcinggebyrer</w:t>
            </w:r>
            <w:proofErr w:type="spellEnd"/>
            <w:r w:rsidRPr="00265D59">
              <w:rPr>
                <w:rFonts w:ascii="Times New Roman" w:hAnsi="Times New Roman"/>
                <w:sz w:val="24"/>
              </w:rPr>
              <w:t xml:space="preserve"> betalt for levering af finansielle tjenesteydelser, repræsenteret ved listen over aktiviteter angivet i artikel 8 i den reguleringsmæssige tekniske standard, der skal udarbejdes i henhold til artikel 314, stk. 9, i forordning (EU) nr. 575/2013, bør, hvis de er medtaget i det anvendte regnskabssystem, under administrative udgifter i overensstemmelse med artikel 16 i den ovennævnte reguleringsmæssige tekniske standard, oplyses i denne række. Udgifter fra accessoriske aktiviteter, såsom IT-aktiviteter, der er nødvendige for at udføre en finansiel tjenesteydelse, bør også medtages under denne post.</w:t>
            </w:r>
          </w:p>
          <w:p w14:paraId="37B7C759" w14:textId="401F429B" w:rsidR="00A87543" w:rsidRPr="00265D59" w:rsidRDefault="00A87543" w:rsidP="003826D3">
            <w:pPr>
              <w:spacing w:before="60" w:after="120"/>
              <w:jc w:val="both"/>
              <w:rPr>
                <w:rStyle w:val="InstructionsTabelleberschrift"/>
                <w:rFonts w:ascii="Times New Roman" w:eastAsia="Times New Roman" w:hAnsi="Times New Roman"/>
                <w:b w:val="0"/>
                <w:sz w:val="24"/>
              </w:rPr>
            </w:pPr>
            <w:r w:rsidRPr="00265D59">
              <w:rPr>
                <w:rFonts w:ascii="Times New Roman" w:hAnsi="Times New Roman"/>
                <w:sz w:val="24"/>
              </w:rPr>
              <w:lastRenderedPageBreak/>
              <w:t>Den del af gebyr- og provisionsudgifterne, der betales til institutter, som deltager i samme institutsikringsordning, i overensstemmelse med artikel 314, stk. 5, i forordning (EU) nr. 575/2013, udelukkes.</w:t>
            </w:r>
          </w:p>
        </w:tc>
      </w:tr>
      <w:tr w:rsidR="003826D3" w:rsidRPr="00265D59"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lastRenderedPageBreak/>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265D59" w:rsidRDefault="003826D3" w:rsidP="003826D3">
            <w:pPr>
              <w:spacing w:before="60" w:after="120"/>
              <w:jc w:val="both"/>
              <w:rPr>
                <w:rStyle w:val="InstructionsTabelleberschrift"/>
                <w:rFonts w:ascii="Times New Roman" w:eastAsia="Times New Roman" w:hAnsi="Times New Roman"/>
                <w:sz w:val="24"/>
                <w:u w:val="none"/>
              </w:rPr>
            </w:pPr>
            <w:r w:rsidRPr="00265D59">
              <w:rPr>
                <w:rStyle w:val="InstructionsTabelleberschrift"/>
                <w:rFonts w:ascii="Times New Roman" w:hAnsi="Times New Roman"/>
                <w:sz w:val="24"/>
                <w:u w:val="none"/>
              </w:rPr>
              <w:t>Øvrige driftsindtægter</w:t>
            </w:r>
          </w:p>
          <w:p w14:paraId="035A399D" w14:textId="7232F3EB" w:rsidR="00671F1C" w:rsidRPr="00265D59" w:rsidRDefault="009816D6" w:rsidP="003826D3">
            <w:pPr>
              <w:spacing w:before="60" w:after="120"/>
              <w:jc w:val="both"/>
              <w:rPr>
                <w:rFonts w:ascii="Times New Roman" w:eastAsia="Times New Roman" w:hAnsi="Times New Roman" w:cs="Times New Roman"/>
                <w:sz w:val="24"/>
              </w:rPr>
            </w:pPr>
            <w:r w:rsidRPr="00265D59">
              <w:rPr>
                <w:rFonts w:ascii="Times New Roman" w:hAnsi="Times New Roman"/>
                <w:sz w:val="24"/>
              </w:rPr>
              <w:t xml:space="preserve">Øvrige driftsindtægter, herunder: overskud fra anlægsaktiver og afhændelsesgrupper klassificeret som besiddelse med henblik på salg, der ikke betragtes som ophørte aktiviteter (i tilfælde af tab behandles værdierne som nul) i overensstemmelse med bilag V, del 2, punkt 55,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og øvrige driftsindtægter som omhandlet i bilag V, del 2, punkt 314 og 316,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men eksklusive indtægter fra operationel leasing og eventuelle poster fastsat i henhold til artikel 314, stk. 7, i forordning (EU) 2021/451.</w:t>
            </w:r>
          </w:p>
          <w:p w14:paraId="39451B35" w14:textId="17278A47" w:rsidR="00A471E8" w:rsidRPr="00265D59" w:rsidRDefault="007863F3" w:rsidP="003826D3">
            <w:pPr>
              <w:spacing w:before="60" w:after="120"/>
              <w:jc w:val="both"/>
              <w:rPr>
                <w:rFonts w:ascii="Times New Roman" w:eastAsia="Times New Roman" w:hAnsi="Times New Roman" w:cs="Times New Roman"/>
                <w:sz w:val="24"/>
              </w:rPr>
            </w:pPr>
            <w:r w:rsidRPr="00265D59">
              <w:rPr>
                <w:rFonts w:ascii="Times New Roman" w:hAnsi="Times New Roman"/>
                <w:sz w:val="24"/>
              </w:rPr>
              <w:t>Inddrivelse af administrative udgifter bør ikke tages i betragtning i overensstemmelse med artikel 5 i den reguleringsmæssige tekniske standard for komponenterne i forretningsindikatoren, som skal udarbejdes i henhold til artikel 314, stk. 9, i forordning (EU) nr. 575/2013.</w:t>
            </w:r>
          </w:p>
          <w:p w14:paraId="0B35E56E" w14:textId="27C4774F" w:rsidR="00695D35" w:rsidRPr="00265D59" w:rsidRDefault="00695D35" w:rsidP="003826D3">
            <w:pPr>
              <w:spacing w:before="60" w:after="120"/>
              <w:jc w:val="both"/>
              <w:rPr>
                <w:rFonts w:ascii="Times New Roman" w:eastAsia="Times New Roman" w:hAnsi="Times New Roman" w:cs="Times New Roman"/>
                <w:sz w:val="24"/>
              </w:rPr>
            </w:pPr>
            <w:r w:rsidRPr="00265D59">
              <w:rPr>
                <w:rFonts w:ascii="Times New Roman" w:hAnsi="Times New Roman"/>
                <w:sz w:val="24"/>
              </w:rPr>
              <w:t>Beløbet for øvrige driftsindtægter modtaget fra institutter, der deltager i samme institutsikringsordning, i overensstemmelse med artikel 314, stk. 5, i forordning (EU) nr. 575/2013, udelukkes.</w:t>
            </w:r>
          </w:p>
          <w:p w14:paraId="685D1BC1" w14:textId="04DD0137" w:rsidR="00695D35" w:rsidRPr="00265D59" w:rsidRDefault="00695D35" w:rsidP="003826D3">
            <w:pPr>
              <w:spacing w:before="60" w:after="120"/>
              <w:jc w:val="both"/>
              <w:rPr>
                <w:rStyle w:val="InstructionsTabelleberschrift"/>
                <w:rFonts w:ascii="Times New Roman" w:eastAsia="Times New Roman" w:hAnsi="Times New Roman"/>
                <w:b w:val="0"/>
                <w:bCs w:val="0"/>
                <w:sz w:val="24"/>
                <w:u w:val="none"/>
              </w:rPr>
            </w:pPr>
            <w:r w:rsidRPr="00265D59">
              <w:rPr>
                <w:rFonts w:ascii="Times New Roman" w:hAnsi="Times New Roman"/>
                <w:sz w:val="24"/>
              </w:rPr>
              <w:t>Beløbet i denne række beregnes i overensstemmelse med artikel 314, stk. 5, i forordning (EU) nr. 575/2013.</w:t>
            </w:r>
          </w:p>
        </w:tc>
      </w:tr>
      <w:tr w:rsidR="003826D3" w:rsidRPr="00265D59"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265D59" w:rsidRDefault="003826D3" w:rsidP="003826D3">
            <w:pPr>
              <w:spacing w:before="60" w:after="120"/>
              <w:jc w:val="both"/>
              <w:rPr>
                <w:rStyle w:val="InstructionsTabelleberschrift"/>
                <w:rFonts w:ascii="Times New Roman" w:eastAsia="Times New Roman" w:hAnsi="Times New Roman"/>
                <w:sz w:val="24"/>
                <w:u w:val="none"/>
              </w:rPr>
            </w:pPr>
            <w:r w:rsidRPr="00265D59">
              <w:rPr>
                <w:rStyle w:val="InstructionsTabelleberschrift"/>
                <w:rFonts w:ascii="Times New Roman" w:hAnsi="Times New Roman"/>
                <w:sz w:val="24"/>
                <w:u w:val="none"/>
              </w:rPr>
              <w:t>Øvrige driftsudgifter</w:t>
            </w:r>
          </w:p>
          <w:p w14:paraId="13FCDFA5" w14:textId="269315A4" w:rsidR="00B722D0" w:rsidRPr="00265D59" w:rsidRDefault="009816D6" w:rsidP="003826D3">
            <w:pPr>
              <w:spacing w:before="60" w:after="120"/>
              <w:jc w:val="both"/>
              <w:rPr>
                <w:rFonts w:ascii="Times New Roman" w:eastAsia="Times New Roman" w:hAnsi="Times New Roman" w:cs="Times New Roman"/>
                <w:sz w:val="24"/>
              </w:rPr>
            </w:pPr>
            <w:r w:rsidRPr="00265D59">
              <w:rPr>
                <w:rFonts w:ascii="Times New Roman" w:hAnsi="Times New Roman"/>
                <w:sz w:val="24"/>
              </w:rPr>
              <w:t>Øvrige driftsudgifter, herunder:</w:t>
            </w:r>
          </w:p>
          <w:p w14:paraId="0E760CEE" w14:textId="74A56BE8" w:rsidR="00643568" w:rsidRPr="00265D59" w:rsidRDefault="004D0A0E" w:rsidP="002A26E9">
            <w:pPr>
              <w:pStyle w:val="ListParagraph"/>
              <w:numPr>
                <w:ilvl w:val="0"/>
                <w:numId w:val="9"/>
              </w:numPr>
              <w:spacing w:before="60" w:after="120"/>
              <w:jc w:val="both"/>
              <w:rPr>
                <w:rFonts w:ascii="Times New Roman" w:eastAsia="Times New Roman" w:hAnsi="Times New Roman"/>
                <w:sz w:val="24"/>
              </w:rPr>
            </w:pPr>
            <w:r w:rsidRPr="00265D59">
              <w:rPr>
                <w:rFonts w:ascii="Times New Roman" w:hAnsi="Times New Roman"/>
                <w:sz w:val="24"/>
              </w:rPr>
              <w:t xml:space="preserve">Tab fra anlægsaktiver og afhændelsesgrupper, klassificeret som besiddelse med henblik på salg, der ikke kan klassificeres som ophørte aktiviteter: tab, der ikke skyldes hændelser knyttet til operationel risiko, fra anlægsaktiver og afhændelsesgrupper, klassificeret som besiddelse med henblik på salg, der ikke kan klassificeres som ophørte aktiviteter i overensstemmelse med bilag V, del 2, punkt 55,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Kun tab indberettes; ved overskud behandles værdien som nul for denne række.</w:t>
            </w:r>
          </w:p>
          <w:p w14:paraId="0334035E" w14:textId="19D6E763" w:rsidR="00EE7608" w:rsidRPr="00265D59" w:rsidRDefault="004D0A0E" w:rsidP="00EE7608">
            <w:pPr>
              <w:pStyle w:val="ListParagraph"/>
              <w:numPr>
                <w:ilvl w:val="0"/>
                <w:numId w:val="9"/>
              </w:numPr>
              <w:spacing w:before="60" w:after="120"/>
              <w:jc w:val="both"/>
              <w:rPr>
                <w:rFonts w:ascii="Times New Roman" w:eastAsia="Times New Roman" w:hAnsi="Times New Roman"/>
                <w:sz w:val="24"/>
              </w:rPr>
            </w:pPr>
            <w:r w:rsidRPr="00265D59">
              <w:rPr>
                <w:rFonts w:ascii="Times New Roman" w:hAnsi="Times New Roman"/>
                <w:sz w:val="24"/>
              </w:rPr>
              <w:t xml:space="preserve">Samlede tab, udgifter, hensættelser og andre finansielle indvirkninger som følge af hændelser knyttet til operationel risiko: summen af alle tab, udgifter, hensættelser og andre finansielle indvirkninger i forbindelse med hændelser knyttet til operationel risiko som angivet i række 0080 i skema C.16.03 i bilag I til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w:t>
            </w:r>
          </w:p>
          <w:p w14:paraId="2C93E8CD" w14:textId="64776E12" w:rsidR="004D0A0E" w:rsidRPr="00265D59" w:rsidRDefault="00A37C45" w:rsidP="00EE7608">
            <w:pPr>
              <w:pStyle w:val="ListParagraph"/>
              <w:numPr>
                <w:ilvl w:val="0"/>
                <w:numId w:val="9"/>
              </w:numPr>
              <w:spacing w:before="60" w:after="120"/>
              <w:jc w:val="both"/>
              <w:rPr>
                <w:rFonts w:ascii="Times New Roman" w:eastAsia="Times New Roman" w:hAnsi="Times New Roman"/>
                <w:sz w:val="24"/>
              </w:rPr>
            </w:pPr>
            <w:r w:rsidRPr="00265D59">
              <w:rPr>
                <w:rFonts w:ascii="Times New Roman" w:hAnsi="Times New Roman"/>
                <w:sz w:val="24"/>
              </w:rPr>
              <w:t xml:space="preserve">Øvrige driftsudgifter, som ikke skyldes hændelser knyttet til operationel risiko, i overensstemmelse med bilag V, del 2, punkt 314 og 316,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der udgør:</w:t>
            </w:r>
          </w:p>
          <w:p w14:paraId="01D56412" w14:textId="77777777" w:rsidR="004A5BBA" w:rsidRPr="00265D59" w:rsidRDefault="004A5BBA" w:rsidP="004A5BBA">
            <w:pPr>
              <w:pStyle w:val="ListParagraph"/>
              <w:numPr>
                <w:ilvl w:val="1"/>
                <w:numId w:val="10"/>
              </w:numPr>
              <w:spacing w:before="60" w:after="120"/>
              <w:jc w:val="both"/>
              <w:rPr>
                <w:rFonts w:ascii="Times New Roman" w:eastAsia="Times New Roman" w:hAnsi="Times New Roman"/>
                <w:sz w:val="24"/>
              </w:rPr>
            </w:pPr>
            <w:r w:rsidRPr="00265D59">
              <w:rPr>
                <w:rFonts w:ascii="Times New Roman" w:hAnsi="Times New Roman"/>
                <w:sz w:val="24"/>
              </w:rPr>
              <w:t xml:space="preserve">udgifter fra ændringer i dagsværdien af materielle aktiver, der måles efter dagsværdimodellen, bortset fra udgifter fra ændringer i dagsværdien af investeringsejendomme, der </w:t>
            </w:r>
            <w:r w:rsidRPr="00265D59">
              <w:rPr>
                <w:rFonts w:ascii="Times New Roman" w:hAnsi="Times New Roman"/>
                <w:sz w:val="24"/>
              </w:rPr>
              <w:lastRenderedPageBreak/>
              <w:t>genererer lejeindtægter og måles efter dagsværdimodellen fra operationelle leasingaktiver</w:t>
            </w:r>
          </w:p>
          <w:p w14:paraId="726CB5AB" w14:textId="426E3DFA" w:rsidR="004A5BBA" w:rsidRPr="00265D59"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265D59" w:rsidRDefault="004A5BBA" w:rsidP="004A5BBA">
            <w:pPr>
              <w:pStyle w:val="ListParagraph"/>
              <w:numPr>
                <w:ilvl w:val="1"/>
                <w:numId w:val="10"/>
              </w:numPr>
              <w:spacing w:before="60" w:after="120"/>
              <w:jc w:val="both"/>
              <w:rPr>
                <w:rFonts w:ascii="Times New Roman" w:eastAsia="Times New Roman" w:hAnsi="Times New Roman"/>
                <w:sz w:val="24"/>
              </w:rPr>
            </w:pPr>
            <w:r w:rsidRPr="00265D59">
              <w:rPr>
                <w:rFonts w:ascii="Times New Roman" w:hAnsi="Times New Roman"/>
                <w:sz w:val="24"/>
              </w:rPr>
              <w:t xml:space="preserve">resten af øvrige driftsudgifter (Øvrige driftsudgifter) i overensstemmelse med bilag V, del 2, punkt 314 og 316, i </w:t>
            </w:r>
            <w:proofErr w:type="spellStart"/>
            <w:r w:rsidRPr="00265D59">
              <w:rPr>
                <w:rFonts w:ascii="Times New Roman" w:hAnsi="Times New Roman"/>
                <w:sz w:val="24"/>
              </w:rPr>
              <w:t>EBA's</w:t>
            </w:r>
            <w:proofErr w:type="spellEnd"/>
            <w:r w:rsidRPr="00265D59">
              <w:rPr>
                <w:rFonts w:ascii="Times New Roman" w:hAnsi="Times New Roman"/>
                <w:sz w:val="24"/>
              </w:rPr>
              <w:t xml:space="preserve"> IT-løsninger, hvis de ikke er knyttet til leasede aktiver.</w:t>
            </w:r>
          </w:p>
          <w:p w14:paraId="6CDC5FBE" w14:textId="54C68FB7" w:rsidR="004A3C86" w:rsidRPr="00265D59" w:rsidRDefault="004A3C86" w:rsidP="00EE7608">
            <w:pPr>
              <w:spacing w:before="60" w:after="120"/>
              <w:jc w:val="both"/>
              <w:rPr>
                <w:rStyle w:val="InstructionsTabelleberschrift"/>
                <w:rFonts w:ascii="Times New Roman" w:eastAsia="Times New Roman" w:hAnsi="Times New Roman"/>
                <w:b w:val="0"/>
                <w:bCs w:val="0"/>
                <w:sz w:val="24"/>
                <w:u w:val="none"/>
              </w:rPr>
            </w:pPr>
            <w:r w:rsidRPr="00265D59">
              <w:rPr>
                <w:rStyle w:val="InstructionsTabelleberschrift"/>
                <w:rFonts w:ascii="Times New Roman" w:hAnsi="Times New Roman"/>
                <w:b w:val="0"/>
                <w:sz w:val="24"/>
                <w:u w:val="none"/>
              </w:rPr>
              <w:t>Beløbet for øvrige driftsudgifter betalt til institutter, der deltager i samme institutsikringsordning, i overensstemmelse med artikel 314, stk. 5, i forordning (EU) nr. 575/2013, udelukkes.</w:t>
            </w:r>
          </w:p>
          <w:p w14:paraId="6F1C30F0" w14:textId="3B05E985" w:rsidR="003826D3" w:rsidRPr="00265D59" w:rsidRDefault="00DE3384" w:rsidP="003826D3">
            <w:pPr>
              <w:spacing w:before="60" w:after="120"/>
              <w:jc w:val="both"/>
              <w:rPr>
                <w:rStyle w:val="InstructionsTabelleberschrift"/>
                <w:rFonts w:ascii="Times New Roman" w:eastAsia="Times New Roman" w:hAnsi="Times New Roman"/>
                <w:sz w:val="24"/>
              </w:rPr>
            </w:pPr>
            <w:r w:rsidRPr="00265D59">
              <w:rPr>
                <w:rFonts w:ascii="Times New Roman" w:hAnsi="Times New Roman"/>
                <w:sz w:val="24"/>
              </w:rPr>
              <w:t>Beløbet i denne række beregnes i overensstemmelse med artikel 314, stk. 5, i forordning (EU) nr. 575/2013.</w:t>
            </w:r>
          </w:p>
        </w:tc>
      </w:tr>
      <w:tr w:rsidR="003826D3" w:rsidRPr="00265D59"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265D59" w:rsidRDefault="003826D3" w:rsidP="003826D3">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Finanskomponent (FC)</w:t>
            </w:r>
          </w:p>
          <w:p w14:paraId="1C2CD9AE" w14:textId="16B8F7FC" w:rsidR="003826D3" w:rsidRPr="00265D59" w:rsidRDefault="00DE3384" w:rsidP="003826D3">
            <w:pPr>
              <w:spacing w:before="60" w:after="120"/>
              <w:jc w:val="both"/>
              <w:rPr>
                <w:rStyle w:val="InstructionsTabelleberschrift"/>
                <w:rFonts w:ascii="Times New Roman" w:eastAsia="Times New Roman" w:hAnsi="Times New Roman"/>
                <w:b w:val="0"/>
                <w:bCs w:val="0"/>
                <w:sz w:val="24"/>
                <w:u w:val="none"/>
              </w:rPr>
            </w:pPr>
            <w:r w:rsidRPr="00265D59">
              <w:rPr>
                <w:rStyle w:val="InstructionsTabelleberschrift"/>
                <w:rFonts w:ascii="Times New Roman" w:hAnsi="Times New Roman"/>
                <w:b w:val="0"/>
                <w:sz w:val="24"/>
                <w:u w:val="none"/>
              </w:rPr>
              <w:t xml:space="preserve">Finanskomponenten beregnes i overensstemmelse med artikel 314, stk. 6, i forordning (EU) nr. 575/2013. </w:t>
            </w:r>
            <w:r w:rsidRPr="00265D59">
              <w:rPr>
                <w:rFonts w:ascii="Times New Roman" w:hAnsi="Times New Roman"/>
                <w:sz w:val="24"/>
              </w:rPr>
              <w:t>Når et institut er omfattet af undtagelsen i artikel 314, stk. 4, i forordning (EU) nr. 575/2013, medtager det ikke tal fra forretningsområderne detailbankydelser og forretningsbankydelser.</w:t>
            </w:r>
          </w:p>
        </w:tc>
      </w:tr>
      <w:tr w:rsidR="003826D3" w:rsidRPr="00265D59"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3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265D59" w:rsidRDefault="003826D3" w:rsidP="003826D3">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Nettooverskud eller -tab på handelsbeholdningen (TB)</w:t>
            </w:r>
          </w:p>
          <w:p w14:paraId="4E177CA3" w14:textId="4C472892" w:rsidR="003826D3" w:rsidRPr="00265D59" w:rsidRDefault="003826D3" w:rsidP="003826D3">
            <w:pPr>
              <w:spacing w:before="60" w:after="120"/>
              <w:jc w:val="both"/>
              <w:rPr>
                <w:rStyle w:val="InstructionsTabelleberschrift"/>
                <w:rFonts w:ascii="Times New Roman" w:hAnsi="Times New Roman"/>
                <w:b w:val="0"/>
                <w:bCs w:val="0"/>
                <w:sz w:val="24"/>
                <w:u w:val="none"/>
              </w:rPr>
            </w:pPr>
            <w:r w:rsidRPr="00265D59">
              <w:rPr>
                <w:rStyle w:val="InstructionsTabelleberschrift"/>
                <w:rFonts w:ascii="Times New Roman" w:hAnsi="Times New Roman"/>
                <w:b w:val="0"/>
                <w:sz w:val="24"/>
                <w:u w:val="none"/>
              </w:rPr>
              <w:t>Nettooverskuddet eller -tabet på handelsbeholdningen beregnes som summen af:</w:t>
            </w:r>
          </w:p>
          <w:p w14:paraId="6324889B" w14:textId="380EDA28" w:rsidR="008A379C" w:rsidRPr="00265D59" w:rsidRDefault="008A379C" w:rsidP="00232265">
            <w:pPr>
              <w:pStyle w:val="Style1"/>
              <w:rPr>
                <w:rStyle w:val="InstructionsTabelleberschrift"/>
                <w:rFonts w:ascii="Times New Roman" w:hAnsi="Times New Roman"/>
                <w:b w:val="0"/>
                <w:bCs w:val="0"/>
                <w:sz w:val="24"/>
                <w:u w:val="none"/>
              </w:rPr>
            </w:pPr>
            <w:r w:rsidRPr="00265D59">
              <w:rPr>
                <w:u w:val="single"/>
              </w:rPr>
              <w:t>Overskud eller (-) tab på finansielle aktiver og passiver, der besiddes med henblik på handel, samt handel, netto</w:t>
            </w:r>
            <w:r w:rsidRPr="00265D59">
              <w:t xml:space="preserve">: overskud eller (-) tab på finansielle aktiver og passiver, der besiddes med henblik på handel, i overensstemmelse med bilag V, del 2, punkt 43 og 46, i </w:t>
            </w:r>
            <w:proofErr w:type="spellStart"/>
            <w:r w:rsidRPr="00265D59">
              <w:t>EBA's</w:t>
            </w:r>
            <w:proofErr w:type="spellEnd"/>
            <w:r w:rsidRPr="00265D59">
              <w:t xml:space="preserve"> IT-løsninger, eller på finansielle aktiver og passiver i handelsbeholdningen i overensstemmelse med artikel 27 i Rådets direktiv 86/635/EØF ("direktiv 86/635"). </w:t>
            </w:r>
            <w:proofErr w:type="gramStart"/>
            <w:r w:rsidRPr="00265D59">
              <w:t>Beretningsform(</w:t>
            </w:r>
            <w:proofErr w:type="gramEnd"/>
            <w:r w:rsidRPr="00265D59">
              <w:t>6)</w:t>
            </w:r>
          </w:p>
          <w:p w14:paraId="0B998657" w14:textId="654F8692" w:rsidR="008A379C" w:rsidRPr="00265D59" w:rsidRDefault="008A379C" w:rsidP="00232265">
            <w:pPr>
              <w:pStyle w:val="Style1"/>
              <w:rPr>
                <w:rStyle w:val="InstructionsTabelleberschrift"/>
                <w:rFonts w:ascii="Times New Roman" w:hAnsi="Times New Roman"/>
                <w:b w:val="0"/>
                <w:bCs w:val="0"/>
                <w:sz w:val="24"/>
                <w:u w:val="none"/>
              </w:rPr>
            </w:pPr>
            <w:r w:rsidRPr="00265D59">
              <w:rPr>
                <w:u w:val="single"/>
              </w:rPr>
              <w:t>Overskud eller (-) tab fra regnskabsmæssig sikring, netto</w:t>
            </w:r>
            <w:r w:rsidRPr="00265D59">
              <w:t xml:space="preserve">: overskud eller (-) tab fra regnskabsmæssig sikring, netto, under handelsbeholdningskomponenten, i de undtagelsestilfælde, hvor regnskabsmæssig sikring, beregnet i overensstemmelse med bilag V, del 2, punkt 47, i </w:t>
            </w:r>
            <w:proofErr w:type="spellStart"/>
            <w:r w:rsidRPr="00265D59">
              <w:t>EBA's</w:t>
            </w:r>
            <w:proofErr w:type="spellEnd"/>
            <w:r w:rsidRPr="00265D59">
              <w:t xml:space="preserve"> IT-løsninger eller i overensstemmelse med regnskabsdirektivets artikel 8, stk. 1, litra a), stk. 6 og 8, anvendes til sikring af finansielle aktiver og passiver, der besiddes med henblik på handel, eller finansielle aktiver og passiver i handelsbeholdningen</w:t>
            </w:r>
          </w:p>
          <w:p w14:paraId="1BC37DE4" w14:textId="36EA6A27" w:rsidR="008A379C" w:rsidRPr="00265D59" w:rsidRDefault="008A379C" w:rsidP="00232265">
            <w:pPr>
              <w:pStyle w:val="Style1"/>
              <w:rPr>
                <w:rStyle w:val="InstructionsTabelleberschrift"/>
                <w:rFonts w:ascii="Times New Roman" w:hAnsi="Times New Roman"/>
                <w:b w:val="0"/>
                <w:bCs w:val="0"/>
                <w:sz w:val="24"/>
                <w:u w:val="none"/>
              </w:rPr>
            </w:pPr>
            <w:r w:rsidRPr="00265D59">
              <w:rPr>
                <w:u w:val="single"/>
              </w:rPr>
              <w:t>Valutakursforskelle [gevinst eller (-) tab], netto, tilknyttet handelsbeholdningen</w:t>
            </w:r>
            <w:r w:rsidRPr="00265D59">
              <w:t>: valutakursforskelle [gevinst eller (-) tab], netto, kun hvis disse forskelle, beregnet i overensstemmelse med IAS 21.28, 52, litra a), eller i overensstemmelse med artikel 39 i direktiv 86/635, stammer fra finansielle aktiver og passiver, der besiddes med henblik på handel, eller fra finansielle aktiver og passiver i handelsbeholdningen.</w:t>
            </w:r>
          </w:p>
          <w:p w14:paraId="761552C0" w14:textId="5BF82331" w:rsidR="001E5563" w:rsidRPr="00265D59" w:rsidRDefault="001E5563" w:rsidP="00C65626">
            <w:pPr>
              <w:pStyle w:val="paragraph"/>
              <w:textAlignment w:val="baseline"/>
              <w:rPr>
                <w:rStyle w:val="InstructionsTabelleberschrift"/>
                <w:rFonts w:ascii="Segoe UI" w:hAnsi="Segoe UI" w:cs="Segoe UI"/>
              </w:rPr>
            </w:pPr>
            <w:r w:rsidRPr="00265D59">
              <w:t xml:space="preserve">De værdier, der skal offentliggøres, afspejler de regnskabsmæssige værdier, der er fastsat ved hjælp af den regnskabsmæssige grænse eller den tilsynsmæssige grænse (PBA) til identifikation af posterne i </w:t>
            </w:r>
            <w:r w:rsidRPr="00265D59">
              <w:lastRenderedPageBreak/>
              <w:t>handelsbeholdningen og porteføljen uden for handelsbeholdningen for hvert af de seneste tre regnskabsår i overensstemmelse med artikel 314, stk. 6, i forordning (EU) nr. 575/2013.</w:t>
            </w:r>
          </w:p>
        </w:tc>
      </w:tr>
      <w:tr w:rsidR="003826D3" w:rsidRPr="00265D59"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lastRenderedPageBreak/>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265D59" w:rsidRDefault="003826D3" w:rsidP="003826D3">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Nettooverskud eller -tab på porteføljen uden for handelsbeholdningen (BB)</w:t>
            </w:r>
          </w:p>
          <w:p w14:paraId="16F13570" w14:textId="0B537F1A" w:rsidR="003826D3" w:rsidRPr="00265D59" w:rsidRDefault="003826D3" w:rsidP="003826D3">
            <w:pPr>
              <w:spacing w:before="60" w:after="120"/>
              <w:jc w:val="both"/>
              <w:rPr>
                <w:rStyle w:val="InstructionsTabelleberschrift"/>
                <w:rFonts w:ascii="Times New Roman" w:eastAsia="Times New Roman" w:hAnsi="Times New Roman"/>
                <w:b w:val="0"/>
                <w:bCs w:val="0"/>
                <w:sz w:val="24"/>
                <w:u w:val="none"/>
              </w:rPr>
            </w:pPr>
            <w:r w:rsidRPr="00265D59">
              <w:rPr>
                <w:rStyle w:val="InstructionsTabelleberschrift"/>
                <w:rFonts w:ascii="Times New Roman" w:hAnsi="Times New Roman"/>
                <w:b w:val="0"/>
                <w:sz w:val="24"/>
                <w:u w:val="none"/>
              </w:rPr>
              <w:t>Nettooverskuddet eller nettotabet på porteføljen uden for handelsbeholdningen beregnes som summen af:</w:t>
            </w:r>
          </w:p>
          <w:p w14:paraId="4816B36A" w14:textId="59F72F36" w:rsidR="008F0781" w:rsidRPr="00265D59" w:rsidRDefault="008F0781" w:rsidP="00232265">
            <w:pPr>
              <w:pStyle w:val="Style1"/>
            </w:pPr>
            <w:r w:rsidRPr="00265D59">
              <w:rPr>
                <w:u w:val="single"/>
              </w:rPr>
              <w:t>Overskud eller (-) tab ved ophør af indregning af finansielle aktiver og forpligtelser, der ikke måles til dagsværdi gennem resultatopgørelsen, netto</w:t>
            </w:r>
            <w:r w:rsidRPr="00265D59">
              <w:t xml:space="preserve">: overskud eller (-) tab ved ophør af indregning af finansielle aktiver og forpligtelser, der ikke måles til dagsværdi gennem resultatopgørelsen, netto i overensstemmelse med bilag V, del 2, punkt 45, i </w:t>
            </w:r>
            <w:proofErr w:type="spellStart"/>
            <w:r w:rsidRPr="00265D59">
              <w:t>EBA's</w:t>
            </w:r>
            <w:proofErr w:type="spellEnd"/>
            <w:r w:rsidRPr="00265D59">
              <w:t xml:space="preserve"> IT-løsninger eller artikel 27 i direktiv 86/635. </w:t>
            </w:r>
            <w:proofErr w:type="gramStart"/>
            <w:r w:rsidRPr="00265D59">
              <w:t>Beretningsform(</w:t>
            </w:r>
            <w:proofErr w:type="gramEnd"/>
            <w:r w:rsidRPr="00265D59">
              <w:t>6)</w:t>
            </w:r>
          </w:p>
          <w:p w14:paraId="29EDCF43" w14:textId="7ADB0AAC" w:rsidR="008F0781" w:rsidRPr="00265D59" w:rsidRDefault="008F0781" w:rsidP="00232265">
            <w:pPr>
              <w:pStyle w:val="Style1"/>
            </w:pPr>
            <w:r w:rsidRPr="00265D59">
              <w:rPr>
                <w:u w:val="single"/>
              </w:rPr>
              <w:t>Overskud eller (-) tab på finansielle aktiver uden for handelsbeholdningen, der skal måles til dagsværdi gennem resultatopgørelsen, netto</w:t>
            </w:r>
            <w:r w:rsidRPr="00265D59">
              <w:t xml:space="preserve">: indberet overskud eller (-) tab på finansielle aktiver uden for handelsbeholdningen, der skal måles til dagsværdi gennem resultatopgørelsen, netto, i overensstemmelse med bilag V, del 2, punkt 46, i </w:t>
            </w:r>
            <w:proofErr w:type="spellStart"/>
            <w:r w:rsidRPr="00265D59">
              <w:t>EBA's</w:t>
            </w:r>
            <w:proofErr w:type="spellEnd"/>
            <w:r w:rsidRPr="00265D59">
              <w:t xml:space="preserve"> IT-løsninger</w:t>
            </w:r>
          </w:p>
          <w:p w14:paraId="23350A71" w14:textId="40356371" w:rsidR="008F0781" w:rsidRPr="00265D59" w:rsidRDefault="008F0781" w:rsidP="00232265">
            <w:pPr>
              <w:pStyle w:val="Style1"/>
            </w:pPr>
            <w:r w:rsidRPr="00265D59">
              <w:rPr>
                <w:u w:val="single"/>
              </w:rPr>
              <w:t>Overskud eller (-) tab på finansielle aktiver og passiver klassificeret til dagsværdi gennem resultatopgørelsen, netto</w:t>
            </w:r>
            <w:r w:rsidRPr="00265D59">
              <w:t xml:space="preserve">: overskud eller (-) tab på finansielle aktiver og passiver klassificeret til dagsværdi gennem resultatopgørelsen, netto, i overensstemmelse med bilag V, del 2, punkt 44, i </w:t>
            </w:r>
            <w:proofErr w:type="spellStart"/>
            <w:r w:rsidRPr="00265D59">
              <w:t>EBA's</w:t>
            </w:r>
            <w:proofErr w:type="spellEnd"/>
            <w:r w:rsidRPr="00265D59">
              <w:t xml:space="preserve"> IT-løsninger</w:t>
            </w:r>
          </w:p>
          <w:p w14:paraId="44DE675E" w14:textId="5B34C2BC" w:rsidR="008F0781" w:rsidRPr="00265D59" w:rsidRDefault="008F0781" w:rsidP="00232265">
            <w:pPr>
              <w:pStyle w:val="Style1"/>
            </w:pPr>
            <w:r w:rsidRPr="00265D59">
              <w:rPr>
                <w:u w:val="single"/>
              </w:rPr>
              <w:t>Overskud eller (-) tab fra regnskabsmæssig sikring, netto, tilknyttet porteføljen uden for handelsbeholdningen</w:t>
            </w:r>
            <w:r w:rsidRPr="00265D59">
              <w:t xml:space="preserve">: overskud eller (-) tab fra regnskabsmæssig sikring, netto, i overensstemmelse med bilag V, del 2, punkt 47, i </w:t>
            </w:r>
            <w:proofErr w:type="spellStart"/>
            <w:r w:rsidRPr="00265D59">
              <w:t>EBA's</w:t>
            </w:r>
            <w:proofErr w:type="spellEnd"/>
            <w:r w:rsidRPr="00265D59">
              <w:t xml:space="preserve"> IT-løsninger eller i overensstemmelse med regnskabsdirektivets artikel 8, stk. 1, litra a), stk. 6 og 8, hvor disse overskud eller tab stammer fra finansielle aktiver og passiver i porteføljen uden for handelsbeholdningen</w:t>
            </w:r>
          </w:p>
          <w:p w14:paraId="23306495" w14:textId="6A259674" w:rsidR="008F0781" w:rsidRPr="00265D59" w:rsidRDefault="008F0781" w:rsidP="00232265">
            <w:pPr>
              <w:pStyle w:val="Style1"/>
            </w:pPr>
            <w:r w:rsidRPr="00265D59">
              <w:rPr>
                <w:u w:val="single"/>
              </w:rPr>
              <w:t xml:space="preserve">Valutakursforskelle [gevinst eller (-) tab], netto, tilknyttet porteføljen uden for </w:t>
            </w:r>
            <w:proofErr w:type="spellStart"/>
            <w:r w:rsidRPr="00265D59">
              <w:rPr>
                <w:u w:val="single"/>
              </w:rPr>
              <w:t>handelsbeholdningen</w:t>
            </w:r>
            <w:r w:rsidRPr="00265D59">
              <w:t>:valutakursforskelle</w:t>
            </w:r>
            <w:proofErr w:type="spellEnd"/>
            <w:r w:rsidRPr="00265D59">
              <w:t xml:space="preserve"> [gevinst eller (-) tab], netto, i overensstemmelse med IAS 21.28, 52, litra a), eller i overensstemmelse med artikel 39 i direktiv 86/635, når disse forskelle stammer fra finansielle aktiver og passiver i porteføljen uden for handelsbeholdningen.</w:t>
            </w:r>
          </w:p>
          <w:p w14:paraId="3E9BB5BF" w14:textId="1D3FC8A9" w:rsidR="00F26A2D" w:rsidRPr="00265D59" w:rsidRDefault="001E5563" w:rsidP="00F26A2D">
            <w:pPr>
              <w:spacing w:before="60" w:after="120"/>
              <w:jc w:val="both"/>
              <w:rPr>
                <w:rStyle w:val="InstructionsTabelleberschrift"/>
                <w:rFonts w:asciiTheme="majorBidi" w:hAnsiTheme="majorBidi" w:cstheme="majorBidi"/>
                <w:sz w:val="24"/>
                <w:u w:val="none"/>
              </w:rPr>
            </w:pPr>
            <w:r w:rsidRPr="00265D59">
              <w:rPr>
                <w:rFonts w:asciiTheme="majorBidi" w:hAnsiTheme="majorBidi"/>
                <w:sz w:val="24"/>
              </w:rPr>
              <w:t>De værdier, der skal offentliggøres, afspejler de regnskabsmæssige værdier, der er fastsat ved hjælp af den regnskabsmæssige grænse eller den tilsynsmæssige grænse (PBA) til identifikation af posterne i handelsbeholdningen og porteføljen uden for handelsbeholdningen for hvert af de seneste tre regnskabsår i overensstemmelse med artikel 314, stk. 6, i forordning (EU) nr. 575/2013.</w:t>
            </w:r>
          </w:p>
        </w:tc>
      </w:tr>
      <w:tr w:rsidR="003826D3" w:rsidRPr="00265D59"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265D59" w:rsidRDefault="008C3E6A" w:rsidP="003826D3">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Metode anvendt til at bestemme TB/BB-grænsen (PBA eller regnskabsmæssig metode)</w:t>
            </w:r>
          </w:p>
          <w:p w14:paraId="00A81A34" w14:textId="0A7D6D1A" w:rsidR="003826D3" w:rsidRPr="00265D59" w:rsidRDefault="003826D3" w:rsidP="003826D3">
            <w:pPr>
              <w:spacing w:before="60" w:after="120"/>
              <w:jc w:val="both"/>
              <w:rPr>
                <w:rStyle w:val="InstructionsTabelleberschrift"/>
                <w:rFonts w:ascii="Times New Roman" w:eastAsia="Times New Roman" w:hAnsi="Times New Roman"/>
                <w:b w:val="0"/>
                <w:bCs w:val="0"/>
                <w:sz w:val="24"/>
                <w:u w:val="none"/>
              </w:rPr>
            </w:pPr>
            <w:r w:rsidRPr="00265D59">
              <w:rPr>
                <w:rStyle w:val="InstructionsTabelleberschrift"/>
                <w:rFonts w:ascii="Times New Roman" w:hAnsi="Times New Roman"/>
                <w:b w:val="0"/>
                <w:sz w:val="24"/>
                <w:u w:val="none"/>
              </w:rPr>
              <w:lastRenderedPageBreak/>
              <w:t>Den metode, der blev anvendt på referencedatoen til at bestemme FC: regnskabsmæssig eller tilsynsmæssig klassificering (PBA). Metoden anvendes konsekvent for de beløb, der er oplyst for hvert af de sidste tre regnskabsår.</w:t>
            </w:r>
          </w:p>
        </w:tc>
      </w:tr>
      <w:tr w:rsidR="003826D3" w:rsidRPr="00265D59"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lastRenderedPageBreak/>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265D59" w:rsidRDefault="003826D3" w:rsidP="003826D3">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Forretningsindikator (BI)</w:t>
            </w:r>
          </w:p>
          <w:p w14:paraId="35C99FE1" w14:textId="0AFECB29" w:rsidR="003826D3" w:rsidRPr="00265D59"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265D59">
              <w:rPr>
                <w:rFonts w:asciiTheme="majorBidi" w:hAnsiTheme="majorBidi"/>
                <w:sz w:val="24"/>
              </w:rPr>
              <w:t>Forretningsindikatoren, beregnet i overensstemmelse med artikel 314, stk. 1, i forordning (EU) nr. 575/2013, som er summen af de tre komponenter: ILDC, SC og FC.</w:t>
            </w:r>
          </w:p>
        </w:tc>
      </w:tr>
      <w:tr w:rsidR="003826D3" w:rsidRPr="00265D59"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265D59" w:rsidRDefault="003826D3" w:rsidP="003826D3">
            <w:pPr>
              <w:spacing w:before="60" w:after="120"/>
              <w:jc w:val="both"/>
              <w:rPr>
                <w:rStyle w:val="InstructionsTabelleberschrift"/>
                <w:rFonts w:ascii="Times New Roman" w:eastAsia="Times New Roman" w:hAnsi="Times New Roman"/>
                <w:sz w:val="24"/>
                <w:u w:val="none"/>
              </w:rPr>
            </w:pPr>
            <w:r w:rsidRPr="00265D59">
              <w:rPr>
                <w:rStyle w:val="InstructionsTabelleberschrift"/>
                <w:rFonts w:ascii="Times New Roman" w:hAnsi="Times New Roman"/>
                <w:sz w:val="24"/>
                <w:u w:val="none"/>
              </w:rPr>
              <w:t>Forretningsindikatorkomponent (BIC)</w:t>
            </w:r>
          </w:p>
          <w:p w14:paraId="4AC6BDA5" w14:textId="5507A684" w:rsidR="003826D3" w:rsidRPr="00265D59" w:rsidRDefault="003826D3" w:rsidP="003826D3">
            <w:pPr>
              <w:spacing w:before="60" w:after="120"/>
              <w:jc w:val="both"/>
              <w:rPr>
                <w:rStyle w:val="InstructionsTabelleberschrift"/>
                <w:rFonts w:ascii="Times New Roman" w:eastAsia="Times New Roman" w:hAnsi="Times New Roman"/>
                <w:b w:val="0"/>
                <w:bCs w:val="0"/>
                <w:sz w:val="24"/>
                <w:u w:val="none"/>
              </w:rPr>
            </w:pPr>
            <w:r w:rsidRPr="00265D59">
              <w:rPr>
                <w:rFonts w:ascii="Times New Roman" w:hAnsi="Times New Roman"/>
                <w:sz w:val="24"/>
              </w:rPr>
              <w:t xml:space="preserve">BIC beregnes i overensstemmelse med artikel 313 i forordning (EU) nr. 575/2013. </w:t>
            </w:r>
          </w:p>
        </w:tc>
      </w:tr>
      <w:tr w:rsidR="003826D3" w:rsidRPr="00265D59"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6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265D59" w:rsidRDefault="003826D3" w:rsidP="003826D3">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BI uden fradrag af udelukkede afhændede aktiviteter</w:t>
            </w:r>
          </w:p>
          <w:p w14:paraId="4B01F051" w14:textId="678BE249" w:rsidR="003826D3" w:rsidRPr="00265D59"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265D59">
              <w:rPr>
                <w:rFonts w:asciiTheme="majorBidi" w:hAnsiTheme="majorBidi"/>
                <w:sz w:val="24"/>
              </w:rPr>
              <w:t>BI-beløbet inklusive udelukkede afhændede aktiviteter i overensstemmelse med artikel 315, stk. 2, i forordning (EU) nr. 575/2013.</w:t>
            </w:r>
          </w:p>
        </w:tc>
      </w:tr>
      <w:tr w:rsidR="003826D3" w:rsidRPr="00265D59"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265D59" w:rsidRDefault="003826D3" w:rsidP="003826D3">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Reduktion af BI som følge af udelukkede afhændede aktiviteter</w:t>
            </w:r>
          </w:p>
          <w:p w14:paraId="100A0132" w14:textId="636B5EF6" w:rsidR="003826D3" w:rsidRPr="00265D59"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265D59">
              <w:rPr>
                <w:rFonts w:asciiTheme="majorBidi" w:hAnsiTheme="majorBidi"/>
                <w:sz w:val="24"/>
              </w:rPr>
              <w:t xml:space="preserve">Forskellen mellem BI uden fradrag af afhændede aktiviteter (række 6a) og BI i alt (række 4). </w:t>
            </w:r>
          </w:p>
        </w:tc>
      </w:tr>
      <w:tr w:rsidR="003826D3" w:rsidRPr="00265D59"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265D59" w:rsidRDefault="003826D3" w:rsidP="003826D3">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265D59" w:rsidRDefault="003826D3" w:rsidP="003826D3">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Indvirkning på BI ved fusioner/erhvervelser</w:t>
            </w:r>
          </w:p>
          <w:p w14:paraId="68B0EB8C" w14:textId="39D74825" w:rsidR="003826D3" w:rsidRPr="00265D59"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265D59">
              <w:rPr>
                <w:rFonts w:asciiTheme="majorBidi" w:hAnsiTheme="majorBidi"/>
                <w:sz w:val="24"/>
              </w:rPr>
              <w:t>Det beløb, der indgår i BI, svarende til de BI-komponenter, som skyldes fusionerede eller erhvervede enheder eller aktiviteter i overensstemmelse med artikel 315, stk. 1, i forordning (EU) nr. 575/2013.</w:t>
            </w:r>
          </w:p>
        </w:tc>
      </w:tr>
    </w:tbl>
    <w:p w14:paraId="2517003F" w14:textId="77777777" w:rsidR="00D740B8" w:rsidRPr="00265D59"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265D59" w:rsidRDefault="00D740B8" w:rsidP="00D740B8">
      <w:pPr>
        <w:jc w:val="both"/>
        <w:rPr>
          <w:rFonts w:ascii="Times New Roman" w:hAnsi="Times New Roman" w:cs="Times New Roman"/>
          <w:bCs/>
          <w:sz w:val="24"/>
        </w:rPr>
      </w:pPr>
      <w:r w:rsidRPr="00265D59">
        <w:rPr>
          <w:rFonts w:ascii="Times New Roman" w:hAnsi="Times New Roman"/>
          <w:b/>
          <w:sz w:val="24"/>
        </w:rPr>
        <w:t xml:space="preserve">Skema EU OR3 – Kapitalgrundlagskrav i relation til operationel risiko og risikoeksponeringsbeløb. </w:t>
      </w:r>
      <w:r w:rsidRPr="00265D59">
        <w:rPr>
          <w:rFonts w:ascii="Times New Roman" w:hAnsi="Times New Roman"/>
          <w:sz w:val="24"/>
        </w:rPr>
        <w:t>Fast skema</w:t>
      </w:r>
    </w:p>
    <w:p w14:paraId="5AB15A39" w14:textId="77777777" w:rsidR="00D740B8" w:rsidRPr="00265D59" w:rsidRDefault="00D740B8" w:rsidP="00D740B8">
      <w:pPr>
        <w:ind w:left="360"/>
        <w:jc w:val="both"/>
        <w:rPr>
          <w:rFonts w:ascii="Times New Roman" w:hAnsi="Times New Roman" w:cs="Times New Roman"/>
          <w:bCs/>
          <w:sz w:val="24"/>
        </w:rPr>
      </w:pPr>
    </w:p>
    <w:p w14:paraId="60DF34D1" w14:textId="121F9A97" w:rsidR="00D740B8" w:rsidRPr="00265D59" w:rsidRDefault="00D740B8" w:rsidP="00D740B8">
      <w:pPr>
        <w:numPr>
          <w:ilvl w:val="0"/>
          <w:numId w:val="1"/>
        </w:numPr>
        <w:jc w:val="both"/>
        <w:rPr>
          <w:rFonts w:ascii="Times New Roman" w:hAnsi="Times New Roman" w:cs="Times New Roman"/>
          <w:sz w:val="24"/>
        </w:rPr>
      </w:pPr>
      <w:r w:rsidRPr="00265D59">
        <w:rPr>
          <w:rFonts w:ascii="Times New Roman" w:hAnsi="Times New Roman"/>
          <w:sz w:val="24"/>
        </w:rPr>
        <w:t>Institutterne offentliggør de oplysninger, der er anført i skema EU OR3, under anvendelse af artikel 446, stk. 1, litra b), i forordning (EU) nr. 575/2013. Dette skema indeholder oplysninger om beregningen af kapitalgrundlagskrav i relation til operationel risiko i overensstemmelse med artikel 312-315 i forordning (EU) nr. 575/2013.</w:t>
      </w:r>
    </w:p>
    <w:p w14:paraId="6DFA1648" w14:textId="77777777" w:rsidR="00D740B8" w:rsidRPr="00265D59" w:rsidRDefault="00D740B8" w:rsidP="00D740B8">
      <w:pPr>
        <w:ind w:left="360"/>
        <w:jc w:val="both"/>
        <w:rPr>
          <w:rFonts w:ascii="Times New Roman" w:hAnsi="Times New Roman" w:cs="Times New Roman"/>
          <w:bCs/>
          <w:sz w:val="24"/>
        </w:rPr>
      </w:pPr>
    </w:p>
    <w:p w14:paraId="2E35B8A0" w14:textId="77777777" w:rsidR="00D740B8" w:rsidRPr="00265D59"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265D59"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265D59" w:rsidRDefault="00D740B8">
            <w:pPr>
              <w:autoSpaceDE w:val="0"/>
              <w:autoSpaceDN w:val="0"/>
              <w:adjustRightInd w:val="0"/>
              <w:rPr>
                <w:rFonts w:ascii="Times New Roman" w:hAnsi="Times New Roman" w:cs="Times New Roman"/>
                <w:b/>
                <w:sz w:val="24"/>
              </w:rPr>
            </w:pPr>
            <w:r w:rsidRPr="00265D59">
              <w:rPr>
                <w:rFonts w:ascii="Times New Roman" w:hAnsi="Times New Roman"/>
                <w:b/>
                <w:sz w:val="24"/>
              </w:rPr>
              <w:t xml:space="preserve">Række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265D59" w:rsidRDefault="00D740B8">
            <w:pPr>
              <w:rPr>
                <w:rFonts w:ascii="Times New Roman" w:hAnsi="Times New Roman" w:cs="Times New Roman"/>
                <w:b/>
                <w:sz w:val="24"/>
              </w:rPr>
            </w:pPr>
            <w:r w:rsidRPr="00265D59">
              <w:rPr>
                <w:rFonts w:ascii="Times New Roman" w:hAnsi="Times New Roman"/>
                <w:b/>
                <w:sz w:val="24"/>
              </w:rPr>
              <w:t>Forklaring</w:t>
            </w:r>
          </w:p>
        </w:tc>
      </w:tr>
      <w:tr w:rsidR="00D740B8" w:rsidRPr="00265D59"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265D59" w:rsidRDefault="00D740B8">
            <w:pPr>
              <w:spacing w:before="60" w:after="120"/>
              <w:jc w:val="both"/>
              <w:rPr>
                <w:rFonts w:ascii="Times New Roman" w:eastAsia="Times New Roman" w:hAnsi="Times New Roman" w:cs="Times New Roman"/>
                <w:b/>
                <w:sz w:val="24"/>
              </w:rPr>
            </w:pPr>
            <w:r w:rsidRPr="00265D59">
              <w:rPr>
                <w:rFonts w:ascii="Times New Roman" w:hAnsi="Times New Roman"/>
                <w:b/>
                <w:sz w:val="24"/>
              </w:rPr>
              <w:t>Forretningsindikatorkomponent (BIC)</w:t>
            </w:r>
          </w:p>
          <w:p w14:paraId="1B10BB72" w14:textId="77777777" w:rsidR="00D740B8" w:rsidRPr="00265D59" w:rsidRDefault="00D740B8">
            <w:pPr>
              <w:spacing w:before="60" w:after="120"/>
              <w:jc w:val="both"/>
              <w:rPr>
                <w:rFonts w:ascii="Times New Roman" w:eastAsia="Times New Roman" w:hAnsi="Times New Roman" w:cs="Times New Roman"/>
                <w:sz w:val="24"/>
              </w:rPr>
            </w:pPr>
            <w:r w:rsidRPr="00265D59">
              <w:rPr>
                <w:rFonts w:ascii="Times New Roman" w:hAnsi="Times New Roman"/>
                <w:sz w:val="24"/>
              </w:rPr>
              <w:t>Denne række indeholder forretningsindikatorkomponenten, som beregnes i overensstemmelse med artikel 313 i forordning (EU) nr. 575/2013.</w:t>
            </w:r>
          </w:p>
        </w:tc>
      </w:tr>
      <w:tr w:rsidR="00CA794A" w:rsidRPr="00265D59"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265D59" w:rsidRDefault="004A58B5">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265D59" w:rsidRDefault="004A58B5">
            <w:pPr>
              <w:spacing w:before="60" w:after="120"/>
              <w:jc w:val="both"/>
              <w:rPr>
                <w:rFonts w:ascii="Times New Roman" w:eastAsia="Times New Roman" w:hAnsi="Times New Roman" w:cs="Times New Roman"/>
                <w:b/>
                <w:sz w:val="24"/>
              </w:rPr>
            </w:pPr>
            <w:r w:rsidRPr="00265D59">
              <w:rPr>
                <w:rFonts w:ascii="Times New Roman" w:hAnsi="Times New Roman"/>
                <w:b/>
                <w:sz w:val="24"/>
              </w:rPr>
              <w:t>Kapitalgrundlagskrav efter den alternative standardmetode (ASA) i henhold til artikel 314, stk. 4</w:t>
            </w:r>
          </w:p>
          <w:p w14:paraId="7762DF0B" w14:textId="6E2ACCB9" w:rsidR="004A58B5" w:rsidRPr="00265D59" w:rsidRDefault="005B4907">
            <w:pPr>
              <w:spacing w:before="60" w:after="120"/>
              <w:jc w:val="both"/>
              <w:rPr>
                <w:rFonts w:ascii="Times New Roman" w:eastAsia="Times New Roman" w:hAnsi="Times New Roman" w:cs="Times New Roman"/>
                <w:b/>
                <w:sz w:val="24"/>
              </w:rPr>
            </w:pPr>
            <w:r w:rsidRPr="00265D59">
              <w:rPr>
                <w:rFonts w:ascii="Times New Roman" w:hAnsi="Times New Roman"/>
                <w:sz w:val="24"/>
              </w:rPr>
              <w:t>Denne række omfatter kapitalgrundlagskravene for de forretningsområder, der er omhandlet i artikel 314, stk. 4, hvis det er relevant, indtil den 31. december 2027, eller indtil den konsoliderende tilsynsmyndighed giver tilladelse i overensstemmelse med artikel 314, stk. 3, alt efter hvad der indtræffer først.</w:t>
            </w:r>
          </w:p>
        </w:tc>
      </w:tr>
      <w:tr w:rsidR="00D740B8" w:rsidRPr="00265D59"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lastRenderedPageBreak/>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265D59" w:rsidRDefault="001918A2">
            <w:pPr>
              <w:spacing w:before="60" w:after="120"/>
              <w:jc w:val="both"/>
              <w:rPr>
                <w:rFonts w:ascii="Times New Roman" w:eastAsia="Times New Roman" w:hAnsi="Times New Roman" w:cs="Times New Roman"/>
                <w:sz w:val="24"/>
              </w:rPr>
            </w:pPr>
            <w:r w:rsidRPr="00265D59">
              <w:rPr>
                <w:rFonts w:ascii="Times New Roman" w:hAnsi="Times New Roman"/>
                <w:sz w:val="24"/>
              </w:rPr>
              <w:t>Ikke relevant.</w:t>
            </w:r>
          </w:p>
        </w:tc>
      </w:tr>
      <w:tr w:rsidR="00D740B8" w:rsidRPr="00265D59"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265D59" w:rsidRDefault="00D740B8">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Minimumskrav til kapitalgrundlagskrav i relation til operationel risiko (OROF)</w:t>
            </w:r>
          </w:p>
          <w:p w14:paraId="2A7C24D0" w14:textId="54D9C5FF" w:rsidR="00D740B8" w:rsidRPr="00265D59" w:rsidRDefault="00977842">
            <w:pPr>
              <w:spacing w:before="60" w:after="120"/>
              <w:jc w:val="both"/>
              <w:rPr>
                <w:rFonts w:ascii="Times New Roman" w:eastAsia="Times New Roman" w:hAnsi="Times New Roman" w:cs="Times New Roman"/>
                <w:sz w:val="24"/>
              </w:rPr>
            </w:pPr>
            <w:r w:rsidRPr="00265D59">
              <w:rPr>
                <w:rFonts w:ascii="Times New Roman" w:hAnsi="Times New Roman"/>
                <w:sz w:val="24"/>
              </w:rPr>
              <w:t xml:space="preserve">Kapitalgrundlagskravet beregnes i overensstemmelse med artikel 312 i forordning (EU) nr. 575/2013. I denne række angives kapitalgrundlagskravene i relation til operationel risiko, der svarer til summen af BIC og kapitalgrundlagskravene for de forretningsområder, der er omfattet af artikel 314, stk. 4, hvor dette er relevant. </w:t>
            </w:r>
          </w:p>
        </w:tc>
      </w:tr>
      <w:tr w:rsidR="00D740B8" w:rsidRPr="00265D59"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265D59" w:rsidRDefault="00D740B8">
            <w:pPr>
              <w:autoSpaceDE w:val="0"/>
              <w:autoSpaceDN w:val="0"/>
              <w:adjustRightInd w:val="0"/>
              <w:spacing w:before="60" w:after="120"/>
              <w:jc w:val="center"/>
              <w:rPr>
                <w:rFonts w:ascii="Times New Roman" w:hAnsi="Times New Roman" w:cs="Times New Roman"/>
                <w:b/>
                <w:sz w:val="24"/>
              </w:rPr>
            </w:pPr>
            <w:r w:rsidRPr="00265D59">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265D59" w:rsidRDefault="00D740B8">
            <w:pPr>
              <w:spacing w:before="60" w:after="120"/>
              <w:jc w:val="both"/>
              <w:rPr>
                <w:rStyle w:val="InstructionsTabelleberschrift"/>
                <w:rFonts w:ascii="Times New Roman" w:eastAsia="Times New Roman" w:hAnsi="Times New Roman"/>
                <w:bCs w:val="0"/>
                <w:sz w:val="24"/>
                <w:u w:val="none"/>
              </w:rPr>
            </w:pPr>
            <w:r w:rsidRPr="00265D59">
              <w:rPr>
                <w:rStyle w:val="InstructionsTabelleberschrift"/>
                <w:rFonts w:ascii="Times New Roman" w:hAnsi="Times New Roman"/>
                <w:sz w:val="24"/>
                <w:u w:val="none"/>
              </w:rPr>
              <w:t>Risikoeksponeringsbeløb vedrørende operationel risiko (REA)</w:t>
            </w:r>
          </w:p>
          <w:p w14:paraId="317F9BDE" w14:textId="6672A695" w:rsidR="00D740B8" w:rsidRPr="00265D59" w:rsidRDefault="00D740B8">
            <w:pPr>
              <w:spacing w:before="60" w:after="120"/>
              <w:jc w:val="both"/>
              <w:rPr>
                <w:rFonts w:ascii="Times New Roman" w:eastAsia="Times New Roman" w:hAnsi="Times New Roman" w:cs="Times New Roman"/>
                <w:sz w:val="24"/>
              </w:rPr>
            </w:pPr>
            <w:r w:rsidRPr="00265D59">
              <w:rPr>
                <w:rFonts w:ascii="Times New Roman" w:hAnsi="Times New Roman"/>
                <w:sz w:val="24"/>
              </w:rPr>
              <w:t xml:space="preserve">På grundlag af artikel 92, stk. 3, litra e), og artikel 92, stk. 4, i forordning (EU) nr. 575/2013 oplyses i denne række kapitalgrundlagskravene i række (3) ganget med 12,5. </w:t>
            </w:r>
          </w:p>
        </w:tc>
      </w:tr>
    </w:tbl>
    <w:p w14:paraId="079B8CA0" w14:textId="77777777" w:rsidR="00D740B8" w:rsidRPr="00265D59" w:rsidRDefault="00D740B8" w:rsidP="00D740B8">
      <w:pPr>
        <w:rPr>
          <w:rFonts w:ascii="Times New Roman" w:hAnsi="Times New Roman" w:cs="Times New Roman"/>
          <w:sz w:val="24"/>
        </w:rPr>
      </w:pPr>
    </w:p>
    <w:p w14:paraId="41C8F396" w14:textId="77777777" w:rsidR="002C1404" w:rsidRPr="00265D59" w:rsidRDefault="002C1404"/>
    <w:sectPr w:rsidR="002C1404" w:rsidRPr="00265D5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265D59" w:rsidRDefault="00924970" w:rsidP="00E114F3">
      <w:r w:rsidRPr="00265D59">
        <w:separator/>
      </w:r>
    </w:p>
  </w:endnote>
  <w:endnote w:type="continuationSeparator" w:id="0">
    <w:p w14:paraId="6750FE16" w14:textId="77777777" w:rsidR="00924970" w:rsidRPr="00265D59" w:rsidRDefault="00924970" w:rsidP="00E114F3">
      <w:r w:rsidRPr="00265D59">
        <w:continuationSeparator/>
      </w:r>
    </w:p>
  </w:endnote>
  <w:endnote w:type="continuationNotice" w:id="1">
    <w:p w14:paraId="44EFD629" w14:textId="77777777" w:rsidR="00924970" w:rsidRPr="00265D59"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38D1" w14:textId="77777777" w:rsidR="00265D59" w:rsidRPr="00265D59" w:rsidRDefault="00265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265D59" w:rsidRDefault="00E114F3">
        <w:pPr>
          <w:pStyle w:val="Footer"/>
          <w:jc w:val="right"/>
        </w:pPr>
        <w:r w:rsidRPr="00265D59">
          <w:fldChar w:fldCharType="begin"/>
        </w:r>
        <w:r w:rsidRPr="00265D59">
          <w:instrText xml:space="preserve"> PAGE   \* MERGEFORMAT </w:instrText>
        </w:r>
        <w:r w:rsidRPr="00265D59">
          <w:fldChar w:fldCharType="separate"/>
        </w:r>
        <w:r w:rsidR="00370155" w:rsidRPr="00265D59">
          <w:t>1</w:t>
        </w:r>
        <w:r w:rsidRPr="00265D59">
          <w:fldChar w:fldCharType="end"/>
        </w:r>
      </w:p>
    </w:sdtContent>
  </w:sdt>
  <w:p w14:paraId="049F31CB" w14:textId="77777777" w:rsidR="00E114F3" w:rsidRPr="00265D59"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EC17" w14:textId="77777777" w:rsidR="00265D59" w:rsidRPr="00265D59" w:rsidRDefault="00265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265D59" w:rsidRDefault="00924970" w:rsidP="00E114F3">
      <w:r w:rsidRPr="00265D59">
        <w:separator/>
      </w:r>
    </w:p>
  </w:footnote>
  <w:footnote w:type="continuationSeparator" w:id="0">
    <w:p w14:paraId="3D7D4E32" w14:textId="77777777" w:rsidR="00924970" w:rsidRPr="00265D59" w:rsidRDefault="00924970" w:rsidP="00E114F3">
      <w:r w:rsidRPr="00265D59">
        <w:continuationSeparator/>
      </w:r>
    </w:p>
  </w:footnote>
  <w:footnote w:type="continuationNotice" w:id="1">
    <w:p w14:paraId="6FCD0CD0" w14:textId="77777777" w:rsidR="00924970" w:rsidRPr="00265D59" w:rsidRDefault="00924970"/>
  </w:footnote>
  <w:footnote w:id="2">
    <w:p w14:paraId="3798489D" w14:textId="469FF1F7" w:rsidR="00E114F3" w:rsidRPr="00265D59" w:rsidRDefault="00E114F3" w:rsidP="003D3122">
      <w:pPr>
        <w:pStyle w:val="FootnoteText"/>
      </w:pPr>
      <w:r w:rsidRPr="00265D59">
        <w:rPr>
          <w:rStyle w:val="FootnoteReference"/>
          <w:rFonts w:cstheme="minorHAnsi"/>
        </w:rPr>
        <w:footnoteRef/>
      </w:r>
      <w:r w:rsidRPr="00265D59">
        <w:tab/>
        <w:t>Europa-Parlamentets og Rådets forordning (EU) nr. 575/2013 af 26. juni 2013 om tilsynsmæssige krav til kreditinstitutter og investeringsselskaber og om ændring af forordning (EU) nr. 648/2012 og om ændring af forordning (EU) nr. 2024/1623 (</w:t>
      </w:r>
      <w:hyperlink r:id="rId1" w:history="1">
        <w:r w:rsidRPr="00265D59">
          <w:rPr>
            <w:rStyle w:val="Hyperlink"/>
            <w:color w:val="800080"/>
          </w:rPr>
          <w:t xml:space="preserve">EUT L 176 af 27.6.2013, s. 1; </w:t>
        </w:r>
      </w:hyperlink>
      <w:hyperlink r:id="rId2" w:history="1">
        <w:r w:rsidRPr="00265D59">
          <w:rPr>
            <w:rStyle w:val="Hyperlink"/>
          </w:rPr>
          <w:t>Forordning – EU – 2024/1623 – DA – EUR-Lex (europa.eu)</w:t>
        </w:r>
      </w:hyperlink>
      <w:r w:rsidRPr="00265D59">
        <w:t>).</w:t>
      </w:r>
    </w:p>
    <w:p w14:paraId="45FB0818" w14:textId="77777777" w:rsidR="00E114F3" w:rsidRPr="00265D59"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265D59" w:rsidRDefault="00864ECA">
    <w:pPr>
      <w:pStyle w:val="Header"/>
    </w:pPr>
    <w:r w:rsidRPr="00265D59">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265D59" w:rsidRDefault="00864ECA" w:rsidP="00864ECA">
                          <w:pPr>
                            <w:rPr>
                              <w:rFonts w:ascii="Calibri" w:eastAsia="Calibri" w:hAnsi="Calibri" w:cs="Calibri"/>
                              <w:noProof/>
                              <w:color w:val="000000"/>
                              <w:sz w:val="24"/>
                            </w:rPr>
                          </w:pPr>
                          <w:r w:rsidRPr="00265D59">
                            <w:rPr>
                              <w:rFonts w:ascii="Calibri" w:hAnsi="Calibri"/>
                              <w:color w:val="000000"/>
                              <w:sz w:val="24"/>
                            </w:rPr>
                            <w:t>EBA – almindelig brug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265D59" w:rsidRDefault="00864ECA" w:rsidP="00864ECA">
                    <w:pPr>
                      <w:rPr>
                        <w:rFonts w:ascii="Calibri" w:eastAsia="Calibri" w:hAnsi="Calibri" w:cs="Calibri"/>
                        <w:noProof/>
                        <w:color w:val="000000"/>
                        <w:sz w:val="24"/>
                      </w:rPr>
                    </w:pPr>
                    <w:r w:rsidRPr="00265D59">
                      <w:rPr>
                        <w:rFonts w:ascii="Calibri" w:hAnsi="Calibri"/>
                        <w:color w:val="000000"/>
                        <w:sz w:val="24"/>
                      </w:rPr>
                      <w:t>EBA – almindelig brug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265D59" w:rsidRDefault="00864ECA">
    <w:pPr>
      <w:pStyle w:val="Header"/>
    </w:pPr>
    <w:r w:rsidRPr="00265D59">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265D59" w:rsidRDefault="00864ECA" w:rsidP="00864ECA">
                          <w:pPr>
                            <w:rPr>
                              <w:rFonts w:ascii="Calibri" w:eastAsia="Calibri" w:hAnsi="Calibri" w:cs="Calibri"/>
                              <w:noProof/>
                              <w:color w:val="000000"/>
                              <w:sz w:val="24"/>
                            </w:rPr>
                          </w:pPr>
                          <w:r w:rsidRPr="00265D59">
                            <w:rPr>
                              <w:rFonts w:ascii="Calibri" w:hAnsi="Calibri"/>
                              <w:color w:val="000000"/>
                              <w:sz w:val="24"/>
                            </w:rPr>
                            <w:t>EBA – almindelig brug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265D59" w:rsidRDefault="00864ECA" w:rsidP="00864ECA">
                    <w:pPr>
                      <w:rPr>
                        <w:rFonts w:ascii="Calibri" w:eastAsia="Calibri" w:hAnsi="Calibri" w:cs="Calibri"/>
                        <w:noProof/>
                        <w:color w:val="000000"/>
                        <w:sz w:val="24"/>
                      </w:rPr>
                    </w:pPr>
                    <w:r w:rsidRPr="00265D59">
                      <w:rPr>
                        <w:rFonts w:ascii="Calibri" w:hAnsi="Calibri"/>
                        <w:color w:val="000000"/>
                        <w:sz w:val="24"/>
                      </w:rPr>
                      <w:t>EBA – almindelig brug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265D59" w:rsidRDefault="00864ECA">
    <w:pPr>
      <w:pStyle w:val="Header"/>
    </w:pPr>
    <w:r w:rsidRPr="00265D59">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265D59" w:rsidRDefault="00864ECA" w:rsidP="00864ECA">
                          <w:pPr>
                            <w:rPr>
                              <w:rFonts w:ascii="Calibri" w:eastAsia="Calibri" w:hAnsi="Calibri" w:cs="Calibri"/>
                              <w:noProof/>
                              <w:color w:val="000000"/>
                              <w:sz w:val="24"/>
                            </w:rPr>
                          </w:pPr>
                          <w:r w:rsidRPr="00265D59">
                            <w:rPr>
                              <w:rFonts w:ascii="Calibri" w:hAnsi="Calibri"/>
                              <w:color w:val="000000"/>
                              <w:sz w:val="24"/>
                            </w:rPr>
                            <w:t>EBA – almindelig brug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265D59" w:rsidRDefault="00864ECA" w:rsidP="00864ECA">
                    <w:pPr>
                      <w:rPr>
                        <w:rFonts w:ascii="Calibri" w:eastAsia="Calibri" w:hAnsi="Calibri" w:cs="Calibri"/>
                        <w:noProof/>
                        <w:color w:val="000000"/>
                        <w:sz w:val="24"/>
                      </w:rPr>
                    </w:pPr>
                    <w:r w:rsidRPr="00265D59">
                      <w:rPr>
                        <w:rFonts w:ascii="Calibri" w:hAnsi="Calibri"/>
                        <w:color w:val="000000"/>
                        <w:sz w:val="24"/>
                      </w:rPr>
                      <w:t>EBA – almindelig brug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5D59"/>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25"/>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da-DK"/>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da-DK"/>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da-DK"/>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4.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4868</Words>
  <Characters>29304</Characters>
  <Application>Microsoft Office Word</Application>
  <DocSecurity>0</DocSecurity>
  <Lines>244</Lines>
  <Paragraphs>68</Paragraphs>
  <ScaleCrop>false</ScaleCrop>
  <Manager/>
  <Company/>
  <LinksUpToDate>false</LinksUpToDate>
  <CharactersWithSpaces>34104</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