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EF4D" w14:textId="2FBDAFE8" w:rsidR="00E114F3" w:rsidRPr="00493467" w:rsidRDefault="00E114F3" w:rsidP="00762F17">
      <w:pPr>
        <w:pStyle w:val="Annexetitre"/>
        <w:spacing w:before="0"/>
        <w:ind w:firstLine="720"/>
      </w:pPr>
      <w:r w:rsidRPr="00493467">
        <w:t>PŘÍLOHA XXXII – Pokyny k šablonám pro zpřístupňování informací o operačním riziku</w:t>
      </w:r>
    </w:p>
    <w:p w14:paraId="672A6659" w14:textId="77777777" w:rsidR="00E114F3" w:rsidRPr="00493467" w:rsidRDefault="00E114F3" w:rsidP="00E114F3">
      <w:pPr>
        <w:spacing w:after="120"/>
        <w:jc w:val="both"/>
        <w:rPr>
          <w:rFonts w:ascii="Times New Roman" w:hAnsi="Times New Roman"/>
          <w:b/>
          <w:bCs/>
          <w:sz w:val="24"/>
        </w:rPr>
      </w:pPr>
    </w:p>
    <w:p w14:paraId="384DD143" w14:textId="77777777" w:rsidR="00E114F3" w:rsidRPr="00493467" w:rsidRDefault="00E114F3" w:rsidP="00E114F3">
      <w:pPr>
        <w:spacing w:after="120"/>
        <w:rPr>
          <w:rFonts w:ascii="Times New Roman" w:hAnsi="Times New Roman"/>
          <w:bCs/>
          <w:sz w:val="24"/>
        </w:rPr>
      </w:pPr>
      <w:r w:rsidRPr="00493467">
        <w:rPr>
          <w:rFonts w:ascii="Times New Roman" w:hAnsi="Times New Roman"/>
          <w:b/>
          <w:sz w:val="24"/>
        </w:rPr>
        <w:t xml:space="preserve">Tabulka EU ORA – Kvalitativní informace o operačním riziku. </w:t>
      </w:r>
      <w:r w:rsidRPr="00493467">
        <w:rPr>
          <w:rFonts w:ascii="Times New Roman" w:hAnsi="Times New Roman"/>
          <w:sz w:val="24"/>
        </w:rPr>
        <w:t>Flexibilní tabulka</w:t>
      </w:r>
    </w:p>
    <w:p w14:paraId="2E1E5572" w14:textId="6AA00576" w:rsidR="00E114F3" w:rsidRPr="00493467" w:rsidRDefault="2A1FD4BE" w:rsidP="44B77564">
      <w:pPr>
        <w:numPr>
          <w:ilvl w:val="0"/>
          <w:numId w:val="1"/>
        </w:numPr>
        <w:spacing w:after="120"/>
        <w:jc w:val="both"/>
        <w:rPr>
          <w:rFonts w:ascii="Calibri" w:eastAsia="Times New Roman" w:hAnsi="Calibri" w:cs="Times New Roman"/>
          <w:color w:val="000000"/>
        </w:rPr>
      </w:pPr>
      <w:r w:rsidRPr="00493467">
        <w:rPr>
          <w:rFonts w:ascii="Times New Roman" w:hAnsi="Times New Roman"/>
          <w:sz w:val="24"/>
        </w:rPr>
        <w:t>Instituce zpřístupňují informace uvedené v této tabulce na základě čl. 435 odst. 1 a čl</w:t>
      </w:r>
      <w:r w:rsidR="00762F17" w:rsidRPr="00493467">
        <w:rPr>
          <w:rFonts w:ascii="Times New Roman" w:hAnsi="Times New Roman"/>
          <w:sz w:val="24"/>
        </w:rPr>
        <w:t>.</w:t>
      </w:r>
      <w:r w:rsidRPr="00493467">
        <w:rPr>
          <w:rFonts w:ascii="Times New Roman" w:hAnsi="Times New Roman"/>
          <w:sz w:val="24"/>
        </w:rPr>
        <w:t> 446 odst. 1 písm. a) nařízení (EU) č. 575/2013</w:t>
      </w:r>
      <w:r w:rsidR="00E114F3" w:rsidRPr="00493467">
        <w:rPr>
          <w:rStyle w:val="FootnoteReference"/>
          <w:rFonts w:ascii="Times New Roman" w:hAnsi="Times New Roman"/>
          <w:sz w:val="24"/>
          <w:szCs w:val="24"/>
        </w:rPr>
        <w:footnoteReference w:id="2"/>
      </w:r>
      <w:r w:rsidRPr="00493467">
        <w:rPr>
          <w:rFonts w:ascii="Times New Roman" w:hAnsi="Times New Roman"/>
          <w:sz w:val="24"/>
        </w:rPr>
        <w:t>.</w:t>
      </w:r>
    </w:p>
    <w:p w14:paraId="728254AD" w14:textId="52B3E768" w:rsidR="00E114F3" w:rsidRPr="00493467" w:rsidRDefault="00E114F3" w:rsidP="00E114F3">
      <w:pPr>
        <w:numPr>
          <w:ilvl w:val="0"/>
          <w:numId w:val="1"/>
        </w:numPr>
        <w:spacing w:after="120"/>
        <w:jc w:val="both"/>
        <w:rPr>
          <w:rFonts w:ascii="Times New Roman" w:hAnsi="Times New Roman"/>
          <w:bCs/>
          <w:sz w:val="24"/>
        </w:rPr>
      </w:pPr>
      <w:r w:rsidRPr="00493467">
        <w:rPr>
          <w:rFonts w:ascii="Times New Roman" w:hAnsi="Times New Roman"/>
          <w:sz w:val="24"/>
        </w:rPr>
        <w:t>Instituce použijí pokyny uvedené v této příloze k vyplnění tabulky pro zpřístupňování informací o operačním riziku EU ORA, jak je uvedena v příloze XXXI řešení orgánu EBA v oblasti informačních technologií.</w:t>
      </w:r>
    </w:p>
    <w:tbl>
      <w:tblPr>
        <w:tblW w:w="8926" w:type="dxa"/>
        <w:tblLook w:val="04A0" w:firstRow="1" w:lastRow="0" w:firstColumn="1" w:lastColumn="0" w:noHBand="0" w:noVBand="1"/>
      </w:tblPr>
      <w:tblGrid>
        <w:gridCol w:w="1555"/>
        <w:gridCol w:w="7371"/>
      </w:tblGrid>
      <w:tr w:rsidR="00E114F3" w:rsidRPr="00493467" w14:paraId="4FA5DD43" w14:textId="77777777" w:rsidTr="00581319">
        <w:trPr>
          <w:trHeight w:val="20"/>
        </w:trPr>
        <w:tc>
          <w:tcPr>
            <w:tcW w:w="89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79875" w14:textId="77777777" w:rsidR="00E114F3" w:rsidRPr="00493467" w:rsidRDefault="00E114F3">
            <w:pPr>
              <w:spacing w:after="120"/>
              <w:rPr>
                <w:rFonts w:ascii="Times New Roman" w:eastAsia="Times New Roman" w:hAnsi="Times New Roman" w:cs="Times New Roman"/>
                <w:b/>
                <w:bCs/>
                <w:color w:val="000000"/>
                <w:sz w:val="24"/>
              </w:rPr>
            </w:pPr>
            <w:r w:rsidRPr="00493467">
              <w:rPr>
                <w:rFonts w:ascii="Times New Roman" w:hAnsi="Times New Roman"/>
                <w:b/>
                <w:color w:val="000000"/>
                <w:sz w:val="24"/>
              </w:rPr>
              <w:t>Odkazy na právní předpisy a pokyny</w:t>
            </w:r>
          </w:p>
        </w:tc>
      </w:tr>
      <w:tr w:rsidR="00E114F3" w:rsidRPr="00493467" w14:paraId="0BB6A5B1" w14:textId="77777777" w:rsidTr="00581319">
        <w:trPr>
          <w:trHeight w:val="20"/>
        </w:trPr>
        <w:tc>
          <w:tcPr>
            <w:tcW w:w="15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522B50" w14:textId="77777777" w:rsidR="00E114F3" w:rsidRPr="00493467" w:rsidRDefault="00E114F3">
            <w:pPr>
              <w:spacing w:after="120"/>
              <w:rPr>
                <w:rFonts w:ascii="Times New Roman" w:eastAsia="Times New Roman" w:hAnsi="Times New Roman" w:cs="Times New Roman"/>
                <w:b/>
                <w:bCs/>
                <w:color w:val="000000"/>
                <w:sz w:val="24"/>
              </w:rPr>
            </w:pPr>
            <w:r w:rsidRPr="00493467">
              <w:rPr>
                <w:rFonts w:ascii="Times New Roman" w:hAnsi="Times New Roman"/>
                <w:b/>
                <w:color w:val="000000"/>
                <w:sz w:val="24"/>
              </w:rPr>
              <w:t>Řádek</w:t>
            </w: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F504D8" w14:textId="77777777" w:rsidR="00E114F3" w:rsidRPr="00493467" w:rsidRDefault="00E114F3">
            <w:pPr>
              <w:spacing w:after="120"/>
              <w:rPr>
                <w:rFonts w:ascii="Times New Roman" w:eastAsia="Times New Roman" w:hAnsi="Times New Roman" w:cs="Times New Roman"/>
                <w:b/>
                <w:bCs/>
                <w:color w:val="000000"/>
                <w:sz w:val="24"/>
              </w:rPr>
            </w:pPr>
            <w:r w:rsidRPr="00493467">
              <w:rPr>
                <w:rFonts w:ascii="Times New Roman" w:hAnsi="Times New Roman"/>
                <w:b/>
                <w:color w:val="000000"/>
                <w:sz w:val="24"/>
              </w:rPr>
              <w:t>Vysvětlení</w:t>
            </w:r>
          </w:p>
        </w:tc>
      </w:tr>
      <w:tr w:rsidR="00E114F3" w:rsidRPr="00493467" w14:paraId="70735BA0"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16325523" w14:textId="1B122A28" w:rsidR="00E114F3" w:rsidRPr="00493467" w:rsidRDefault="00E114F3">
            <w:pPr>
              <w:spacing w:after="120"/>
              <w:jc w:val="center"/>
              <w:rPr>
                <w:rFonts w:ascii="Times New Roman" w:eastAsia="Times New Roman" w:hAnsi="Times New Roman" w:cs="Times New Roman"/>
                <w:color w:val="000000"/>
                <w:sz w:val="24"/>
              </w:rPr>
            </w:pPr>
            <w:r w:rsidRPr="00493467">
              <w:rPr>
                <w:rFonts w:ascii="Times New Roman" w:hAnsi="Times New Roman"/>
                <w:color w:val="000000"/>
                <w:sz w:val="24"/>
              </w:rPr>
              <w:t>a)</w:t>
            </w:r>
          </w:p>
        </w:tc>
        <w:tc>
          <w:tcPr>
            <w:tcW w:w="7371" w:type="dxa"/>
            <w:tcBorders>
              <w:top w:val="single" w:sz="4" w:space="0" w:color="auto"/>
              <w:left w:val="nil"/>
              <w:bottom w:val="single" w:sz="4" w:space="0" w:color="auto"/>
              <w:right w:val="single" w:sz="4" w:space="0" w:color="auto"/>
            </w:tcBorders>
            <w:vAlign w:val="center"/>
            <w:hideMark/>
          </w:tcPr>
          <w:p w14:paraId="5D80E5B9" w14:textId="77777777" w:rsidR="00E114F3" w:rsidRPr="00493467" w:rsidRDefault="00E114F3">
            <w:pPr>
              <w:spacing w:after="120"/>
              <w:jc w:val="both"/>
              <w:rPr>
                <w:rFonts w:ascii="Times New Roman" w:eastAsia="Times New Roman" w:hAnsi="Times New Roman" w:cs="Times New Roman"/>
                <w:b/>
                <w:color w:val="000000"/>
                <w:sz w:val="24"/>
              </w:rPr>
            </w:pPr>
            <w:r w:rsidRPr="00493467">
              <w:rPr>
                <w:rFonts w:ascii="Times New Roman" w:hAnsi="Times New Roman"/>
                <w:b/>
                <w:color w:val="000000"/>
                <w:sz w:val="24"/>
              </w:rPr>
              <w:t>Zpřístupňování informací o cílech a zásadách v oblasti řízení rizik</w:t>
            </w:r>
          </w:p>
          <w:p w14:paraId="65684A44" w14:textId="36ED8962" w:rsidR="00E114F3" w:rsidRPr="00493467" w:rsidRDefault="2A1FD4BE">
            <w:pPr>
              <w:spacing w:after="120"/>
              <w:rPr>
                <w:rFonts w:ascii="Times New Roman" w:eastAsia="Times New Roman" w:hAnsi="Times New Roman" w:cs="Times New Roman"/>
                <w:color w:val="000000"/>
                <w:sz w:val="24"/>
              </w:rPr>
            </w:pPr>
            <w:r w:rsidRPr="00493467">
              <w:rPr>
                <w:rFonts w:ascii="Times New Roman" w:hAnsi="Times New Roman"/>
                <w:color w:val="000000" w:themeColor="text1"/>
                <w:sz w:val="24"/>
              </w:rPr>
              <w:t>V souladu s čl. 435 odst. 1 písm. a) nařízení (EU) č. 575/2013 zveřejní instituce své cíle, zásady, rámce a obecné pokyny pro řízení operačního rizika, včetně strategií a procesů k řízení tohoto rizika.</w:t>
            </w:r>
          </w:p>
        </w:tc>
      </w:tr>
      <w:tr w:rsidR="00E114F3" w:rsidRPr="00493467" w14:paraId="37A6A0B3"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EC478CA" w14:textId="22E7EFF7" w:rsidR="00E114F3" w:rsidRPr="00493467" w:rsidRDefault="00E114F3">
            <w:pPr>
              <w:spacing w:after="120"/>
              <w:jc w:val="center"/>
              <w:rPr>
                <w:rFonts w:ascii="Times New Roman" w:eastAsia="Times New Roman" w:hAnsi="Times New Roman" w:cs="Times New Roman"/>
                <w:color w:val="000000"/>
                <w:sz w:val="24"/>
              </w:rPr>
            </w:pPr>
            <w:r w:rsidRPr="00493467">
              <w:rPr>
                <w:rFonts w:ascii="Times New Roman" w:hAnsi="Times New Roman"/>
                <w:color w:val="000000"/>
                <w:sz w:val="24"/>
              </w:rPr>
              <w:t>b)</w:t>
            </w:r>
          </w:p>
        </w:tc>
        <w:tc>
          <w:tcPr>
            <w:tcW w:w="7371" w:type="dxa"/>
            <w:tcBorders>
              <w:top w:val="single" w:sz="4" w:space="0" w:color="auto"/>
              <w:left w:val="nil"/>
              <w:bottom w:val="single" w:sz="4" w:space="0" w:color="auto"/>
              <w:right w:val="single" w:sz="4" w:space="0" w:color="auto"/>
            </w:tcBorders>
            <w:vAlign w:val="center"/>
          </w:tcPr>
          <w:p w14:paraId="4EEC32F9" w14:textId="77777777" w:rsidR="00885AC5" w:rsidRPr="00493467" w:rsidRDefault="00885AC5" w:rsidP="00885AC5">
            <w:pPr>
              <w:spacing w:before="120" w:after="120"/>
              <w:jc w:val="both"/>
              <w:rPr>
                <w:rFonts w:ascii="Times New Roman" w:eastAsia="Times New Roman" w:hAnsi="Times New Roman" w:cs="Times New Roman"/>
                <w:b/>
                <w:color w:val="000000"/>
                <w:sz w:val="24"/>
              </w:rPr>
            </w:pPr>
            <w:r w:rsidRPr="00493467">
              <w:rPr>
                <w:rFonts w:ascii="Times New Roman" w:hAnsi="Times New Roman"/>
                <w:b/>
                <w:color w:val="000000"/>
                <w:sz w:val="24"/>
              </w:rPr>
              <w:t>Zpřístupňování informací o struktuře a organizaci funkce řízení operačního rizika</w:t>
            </w:r>
          </w:p>
          <w:p w14:paraId="739779F0" w14:textId="092C61F0" w:rsidR="00E114F3" w:rsidRPr="00493467" w:rsidRDefault="00885AC5">
            <w:pPr>
              <w:spacing w:after="120"/>
              <w:jc w:val="both"/>
              <w:rPr>
                <w:rFonts w:ascii="Times New Roman" w:eastAsia="Times New Roman" w:hAnsi="Times New Roman" w:cs="Times New Roman"/>
                <w:color w:val="000000"/>
                <w:sz w:val="24"/>
              </w:rPr>
            </w:pPr>
            <w:r w:rsidRPr="00493467">
              <w:rPr>
                <w:rFonts w:ascii="Times New Roman" w:hAnsi="Times New Roman"/>
                <w:color w:val="000000" w:themeColor="text1"/>
                <w:sz w:val="24"/>
              </w:rPr>
              <w:t>V souladu s čl. 435 odst. 1 písm. b) nařízení (EU) č. 575/2013 zveřejní instituce strukturu a organizaci funkce řízení operačního rizika, včetně informací o základu pravomocí, pravomocích a odpovědnosti funkce řízení operačního rizika v souladu se zakládacími dokumenty a dokumenty týkajícími se řízení instituce, a funkce kontroly.</w:t>
            </w:r>
          </w:p>
        </w:tc>
      </w:tr>
      <w:tr w:rsidR="00E114F3" w:rsidRPr="00493467" w14:paraId="30DA08C8"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F95AF50" w14:textId="6B123167" w:rsidR="00E114F3" w:rsidRPr="00493467" w:rsidRDefault="00E114F3">
            <w:pPr>
              <w:spacing w:after="120"/>
              <w:jc w:val="center"/>
              <w:rPr>
                <w:rFonts w:ascii="Times New Roman" w:eastAsia="Times New Roman" w:hAnsi="Times New Roman" w:cs="Times New Roman"/>
                <w:color w:val="000000"/>
                <w:sz w:val="24"/>
              </w:rPr>
            </w:pPr>
            <w:r w:rsidRPr="00493467">
              <w:rPr>
                <w:rFonts w:ascii="Times New Roman" w:hAnsi="Times New Roman"/>
                <w:color w:val="000000"/>
                <w:sz w:val="24"/>
              </w:rPr>
              <w:t>c)</w:t>
            </w:r>
          </w:p>
        </w:tc>
        <w:tc>
          <w:tcPr>
            <w:tcW w:w="7371" w:type="dxa"/>
            <w:tcBorders>
              <w:top w:val="single" w:sz="4" w:space="0" w:color="auto"/>
              <w:left w:val="nil"/>
              <w:bottom w:val="single" w:sz="4" w:space="0" w:color="auto"/>
              <w:right w:val="single" w:sz="4" w:space="0" w:color="auto"/>
            </w:tcBorders>
            <w:vAlign w:val="center"/>
          </w:tcPr>
          <w:p w14:paraId="1146D347" w14:textId="77777777" w:rsidR="005129A3" w:rsidRPr="00493467" w:rsidRDefault="005129A3" w:rsidP="005129A3">
            <w:pPr>
              <w:spacing w:before="120" w:after="120"/>
              <w:jc w:val="both"/>
              <w:rPr>
                <w:rFonts w:ascii="Times New Roman" w:eastAsia="Times New Roman" w:hAnsi="Times New Roman" w:cs="Times New Roman"/>
                <w:b/>
                <w:color w:val="000000"/>
                <w:sz w:val="24"/>
              </w:rPr>
            </w:pPr>
            <w:r w:rsidRPr="00493467">
              <w:rPr>
                <w:rFonts w:ascii="Times New Roman" w:hAnsi="Times New Roman"/>
                <w:b/>
                <w:color w:val="000000"/>
                <w:sz w:val="24"/>
              </w:rPr>
              <w:t>Popis rozsahu a povahy systému měření</w:t>
            </w:r>
          </w:p>
          <w:p w14:paraId="2426746E" w14:textId="624D178E" w:rsidR="00E114F3" w:rsidRPr="00493467" w:rsidRDefault="005129A3">
            <w:pPr>
              <w:spacing w:after="120"/>
              <w:jc w:val="both"/>
              <w:rPr>
                <w:rFonts w:ascii="Times New Roman" w:eastAsia="Times New Roman" w:hAnsi="Times New Roman" w:cs="Times New Roman"/>
                <w:color w:val="000000"/>
                <w:sz w:val="24"/>
              </w:rPr>
            </w:pPr>
            <w:r w:rsidRPr="00493467">
              <w:rPr>
                <w:rFonts w:ascii="Times New Roman" w:hAnsi="Times New Roman"/>
                <w:color w:val="000000" w:themeColor="text1"/>
                <w:sz w:val="24"/>
              </w:rPr>
              <w:t>V souladu s čl. 435 odst. 1 písm. c) nařízení (EU) č. 575/2013 zveřejní instituce rozsah a povahu systému měření operačního rizika (tj. systémy a údaje používané k měření operačního rizika za účelem odhadu kapitálového požadavku k operačnímu riziku).</w:t>
            </w:r>
          </w:p>
        </w:tc>
      </w:tr>
      <w:tr w:rsidR="00E114F3" w:rsidRPr="00493467" w14:paraId="530FAA18"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6543C3DB" w14:textId="0C63D270" w:rsidR="00E114F3" w:rsidRPr="00493467" w:rsidRDefault="00E114F3">
            <w:pPr>
              <w:spacing w:after="120"/>
              <w:jc w:val="center"/>
              <w:rPr>
                <w:rFonts w:ascii="Times New Roman" w:eastAsia="Times New Roman" w:hAnsi="Times New Roman" w:cs="Times New Roman"/>
                <w:color w:val="000000"/>
                <w:sz w:val="24"/>
              </w:rPr>
            </w:pPr>
            <w:r w:rsidRPr="00493467">
              <w:rPr>
                <w:rFonts w:ascii="Times New Roman" w:hAnsi="Times New Roman"/>
                <w:color w:val="000000"/>
                <w:sz w:val="24"/>
              </w:rPr>
              <w:t>d)</w:t>
            </w:r>
          </w:p>
        </w:tc>
        <w:tc>
          <w:tcPr>
            <w:tcW w:w="7371" w:type="dxa"/>
            <w:tcBorders>
              <w:top w:val="single" w:sz="4" w:space="0" w:color="auto"/>
              <w:left w:val="nil"/>
              <w:bottom w:val="single" w:sz="4" w:space="0" w:color="auto"/>
              <w:right w:val="single" w:sz="4" w:space="0" w:color="auto"/>
            </w:tcBorders>
            <w:vAlign w:val="center"/>
          </w:tcPr>
          <w:p w14:paraId="7A52CC0D" w14:textId="77777777" w:rsidR="005D02AE" w:rsidRPr="00493467" w:rsidRDefault="005D02AE" w:rsidP="005D02AE">
            <w:pPr>
              <w:spacing w:before="120" w:after="120"/>
              <w:jc w:val="both"/>
              <w:rPr>
                <w:rFonts w:ascii="Times New Roman" w:eastAsia="Times New Roman" w:hAnsi="Times New Roman" w:cs="Times New Roman"/>
                <w:b/>
                <w:color w:val="000000"/>
                <w:sz w:val="24"/>
              </w:rPr>
            </w:pPr>
            <w:r w:rsidRPr="00493467">
              <w:rPr>
                <w:rFonts w:ascii="Times New Roman" w:hAnsi="Times New Roman"/>
                <w:b/>
                <w:color w:val="000000" w:themeColor="text1"/>
                <w:sz w:val="24"/>
              </w:rPr>
              <w:t>Popis rozsahu a povahy rámce pro podávání zpráv o operačním riziku</w:t>
            </w:r>
          </w:p>
          <w:p w14:paraId="1EE9A69D" w14:textId="428D8604" w:rsidR="00E114F3" w:rsidRPr="00493467" w:rsidRDefault="005D02AE">
            <w:pPr>
              <w:spacing w:after="120"/>
              <w:jc w:val="both"/>
              <w:rPr>
                <w:rFonts w:ascii="Times New Roman" w:eastAsia="Times New Roman" w:hAnsi="Times New Roman" w:cs="Times New Roman"/>
                <w:color w:val="000000"/>
                <w:sz w:val="24"/>
              </w:rPr>
            </w:pPr>
            <w:r w:rsidRPr="00493467">
              <w:rPr>
                <w:rFonts w:ascii="Times New Roman" w:hAnsi="Times New Roman"/>
                <w:color w:val="000000" w:themeColor="text1"/>
                <w:sz w:val="24"/>
              </w:rPr>
              <w:t>V souladu s čl. 435 odst. 1 písm. c) nařízení (EU) č. 575/2013 zveřejní instituce rozsah a povahu rámce pro podávání zpráv o operačním riziku výkonnému vedení a představenstvu.</w:t>
            </w:r>
          </w:p>
        </w:tc>
      </w:tr>
      <w:tr w:rsidR="00E5460F" w:rsidRPr="00493467" w14:paraId="1120D006"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5EC199FF" w14:textId="263ED99A" w:rsidR="00E5460F" w:rsidRPr="00493467" w:rsidRDefault="00E5460F">
            <w:pPr>
              <w:spacing w:after="120"/>
              <w:jc w:val="center"/>
              <w:rPr>
                <w:rFonts w:ascii="Times New Roman" w:eastAsia="Times New Roman" w:hAnsi="Times New Roman" w:cs="Times New Roman"/>
                <w:color w:val="000000"/>
                <w:sz w:val="24"/>
              </w:rPr>
            </w:pPr>
            <w:r w:rsidRPr="00493467">
              <w:rPr>
                <w:rFonts w:ascii="Times New Roman" w:hAnsi="Times New Roman"/>
                <w:color w:val="000000"/>
                <w:sz w:val="24"/>
              </w:rPr>
              <w:t>e)</w:t>
            </w:r>
          </w:p>
        </w:tc>
        <w:tc>
          <w:tcPr>
            <w:tcW w:w="7371" w:type="dxa"/>
            <w:tcBorders>
              <w:top w:val="single" w:sz="4" w:space="0" w:color="auto"/>
              <w:left w:val="nil"/>
              <w:bottom w:val="single" w:sz="4" w:space="0" w:color="auto"/>
              <w:right w:val="single" w:sz="4" w:space="0" w:color="auto"/>
            </w:tcBorders>
            <w:vAlign w:val="center"/>
          </w:tcPr>
          <w:p w14:paraId="7AF249C5" w14:textId="77777777" w:rsidR="00E25C0C" w:rsidRPr="00493467" w:rsidRDefault="00E25C0C" w:rsidP="00E25C0C">
            <w:pPr>
              <w:spacing w:before="120" w:after="120"/>
              <w:jc w:val="both"/>
              <w:rPr>
                <w:rFonts w:ascii="Times New Roman" w:eastAsia="Times New Roman" w:hAnsi="Times New Roman" w:cs="Times New Roman"/>
                <w:color w:val="000000"/>
                <w:sz w:val="24"/>
              </w:rPr>
            </w:pPr>
            <w:r w:rsidRPr="00493467">
              <w:rPr>
                <w:rFonts w:ascii="Times New Roman" w:hAnsi="Times New Roman"/>
                <w:b/>
                <w:color w:val="000000" w:themeColor="text1"/>
                <w:sz w:val="24"/>
              </w:rPr>
              <w:t>Popis zásad a strategií pro snižování a zajištění rizika</w:t>
            </w:r>
          </w:p>
          <w:p w14:paraId="443DC7A5" w14:textId="7D68A10D" w:rsidR="00E5460F" w:rsidRPr="00493467" w:rsidDel="009A4E43" w:rsidRDefault="00E25C0C" w:rsidP="00E25C0C">
            <w:pPr>
              <w:spacing w:after="120"/>
              <w:jc w:val="both"/>
              <w:rPr>
                <w:rFonts w:ascii="Times New Roman" w:eastAsia="Times New Roman" w:hAnsi="Times New Roman" w:cs="Times New Roman"/>
                <w:b/>
                <w:color w:val="000000"/>
                <w:sz w:val="24"/>
              </w:rPr>
            </w:pPr>
            <w:r w:rsidRPr="00493467">
              <w:rPr>
                <w:rFonts w:ascii="Times New Roman" w:hAnsi="Times New Roman"/>
                <w:color w:val="000000" w:themeColor="text1"/>
                <w:sz w:val="24"/>
              </w:rPr>
              <w:t xml:space="preserve">V souladu s čl. 435 odst. 1 písm. d) nařízení (EU) č. 575/2013 zveřejní instituce své zásady a strategie pro snižování a zajištění rizika používané při řízení operačního rizika, včetně případů, kdy je snížení operačního rizika dosaženo prostřednictvím uplatňování určité zásady (v takovém případě zveřejní zásady týkající se kultury rizik, ochoty riskovat </w:t>
            </w:r>
            <w:r w:rsidRPr="00493467">
              <w:rPr>
                <w:rFonts w:ascii="Times New Roman" w:hAnsi="Times New Roman"/>
                <w:color w:val="000000" w:themeColor="text1"/>
                <w:sz w:val="24"/>
              </w:rPr>
              <w:lastRenderedPageBreak/>
              <w:t>a externího poskytování služeb), nebo kdy je dosaženo prostřednictvím odprodeje vysoce rizikových podniků nebo zavedením kontrolních mechanismů. Instituce zveřejní rovněž informace o zbývajících expozicích, které jsou absorbovány samotnými institucemi, nebo případně o zbývajících expozicích, jež jsou převáděny různým způsobem, a to i prostřednictvím pojištění.</w:t>
            </w:r>
          </w:p>
        </w:tc>
      </w:tr>
    </w:tbl>
    <w:p w14:paraId="0A37501D" w14:textId="77777777" w:rsidR="00E114F3" w:rsidRPr="00493467" w:rsidRDefault="00E114F3" w:rsidP="00E114F3">
      <w:pPr>
        <w:spacing w:after="120"/>
        <w:jc w:val="both"/>
        <w:rPr>
          <w:rFonts w:ascii="Times New Roman" w:hAnsi="Times New Roman" w:cs="Times New Roman"/>
          <w:b/>
          <w:bCs/>
          <w:sz w:val="24"/>
        </w:rPr>
      </w:pPr>
    </w:p>
    <w:p w14:paraId="73228265" w14:textId="2825D40F" w:rsidR="00E114F3" w:rsidRPr="00493467" w:rsidRDefault="00E114F3" w:rsidP="00E114F3">
      <w:pPr>
        <w:spacing w:after="120"/>
        <w:jc w:val="both"/>
        <w:rPr>
          <w:rFonts w:ascii="Times New Roman" w:hAnsi="Times New Roman" w:cs="Times New Roman"/>
          <w:bCs/>
          <w:sz w:val="24"/>
        </w:rPr>
      </w:pPr>
      <w:r w:rsidRPr="00493467">
        <w:rPr>
          <w:rFonts w:ascii="Times New Roman" w:hAnsi="Times New Roman"/>
          <w:b/>
          <w:sz w:val="24"/>
        </w:rPr>
        <w:t xml:space="preserve">Šablona EU OR1 – Ztráty z operačního rizika. </w:t>
      </w:r>
      <w:r w:rsidRPr="00493467">
        <w:rPr>
          <w:rFonts w:ascii="Times New Roman" w:hAnsi="Times New Roman"/>
          <w:sz w:val="24"/>
        </w:rPr>
        <w:t>Šablona s pevným formátem</w:t>
      </w:r>
    </w:p>
    <w:p w14:paraId="70B287DB" w14:textId="7164F419" w:rsidR="00D740B8" w:rsidRPr="00493467" w:rsidRDefault="00D740B8" w:rsidP="00D740B8">
      <w:pPr>
        <w:numPr>
          <w:ilvl w:val="0"/>
          <w:numId w:val="1"/>
        </w:numPr>
        <w:jc w:val="both"/>
        <w:rPr>
          <w:rFonts w:ascii="Times New Roman" w:hAnsi="Times New Roman" w:cs="Times New Roman"/>
          <w:bCs/>
          <w:sz w:val="24"/>
        </w:rPr>
      </w:pPr>
      <w:r w:rsidRPr="00493467">
        <w:rPr>
          <w:rFonts w:ascii="Times New Roman" w:hAnsi="Times New Roman"/>
          <w:sz w:val="24"/>
        </w:rPr>
        <w:t>Instituce zpřístupňují informace uvedené v šabloně EU OR1 v souladu s čl. 446 odst. 2 písm. a) a b) nařízení (EU) č. 575/2013. Tato šablona poskytuje informace o ročních ztrátách z operačního rizika vzniklých za posledních 10 účetních období, a to na základě data zaúčtování vzniklých ztrát. Tyto roční ztráty z operačního rizika se vypočítají v souladu s čl. 316 odst. 1 nařízení (EU) č. 575/2013 a zahrnují v souladu s čl. 317 odst. 2 nařízení (EU) č. 575/2013 veškeré ztráty plynoucí ze všech subjektů, které jsou součástí konsolidace, včetně ztrát z fúzovaných/nabytých podniků (podle čl. 321 odst. 1 nařízení (EU) č. 575/2013). Tyto informace se poskytují v rozsahu, v jakém jsou k dispozici, a s vynaložením maximálního úsilí, dokud nebudou použitelná ustanovení čl. 316 odst. 3, čl. 317 odst. 9, čl. 320 odst. 3 a čl. 321 odst. 2 nařízení (EU) č. 575/2013.</w:t>
      </w:r>
    </w:p>
    <w:p w14:paraId="0C12CA7B" w14:textId="77777777" w:rsidR="00D740B8" w:rsidRPr="00493467" w:rsidRDefault="00D740B8" w:rsidP="00D740B8">
      <w:pPr>
        <w:ind w:left="360"/>
        <w:jc w:val="both"/>
        <w:rPr>
          <w:rFonts w:ascii="Times New Roman" w:hAnsi="Times New Roman" w:cs="Times New Roman"/>
          <w:bCs/>
          <w:sz w:val="24"/>
        </w:rPr>
      </w:pPr>
    </w:p>
    <w:p w14:paraId="47EE9624" w14:textId="4A5B22B7" w:rsidR="00D740B8" w:rsidRPr="00493467" w:rsidRDefault="00D740B8" w:rsidP="00D740B8">
      <w:pPr>
        <w:numPr>
          <w:ilvl w:val="0"/>
          <w:numId w:val="1"/>
        </w:numPr>
        <w:jc w:val="both"/>
        <w:rPr>
          <w:rFonts w:ascii="Times New Roman" w:hAnsi="Times New Roman" w:cs="Times New Roman"/>
          <w:sz w:val="24"/>
        </w:rPr>
      </w:pPr>
      <w:r w:rsidRPr="00493467">
        <w:rPr>
          <w:rFonts w:ascii="Times New Roman" w:hAnsi="Times New Roman"/>
          <w:sz w:val="24"/>
        </w:rPr>
        <w:t>Instituce zpřístupňují za každé z posledních 10 účetních období údaje o počtu ztrát z operačního rizika a počtu vyloučených ztrát z operačního rizika, celkové výši ztrát z operačního rizika po odečtení výtěžků a celkové výši ztrát z operačního rizika po odečtení výtěžků a vyloučených ztrát. Celková roční výše ztrát z operačního rizika se vypočítá jako součet všech čistých ztrát za dané účetní období vypočtených v souladu s čl. 318 odst. 1 nařízení (EU) č. 575/2013, které se rovnají prahovým hodnotám vztahujícím se k údajům o ztrátách stanoveným v čl. 319 odst. 1 nebo 2 uvedeného nařízení nebo jsou vyšší (tj. 20 000 EUR, resp. 100 000 EUR). Ztráty způsobené společnou událostí operačního rizika nebo více událostmi spojenými se stejnou událostí operačního rizika („základní událost“), které jsou zaúčtovány v různých účetních obdobích, se však sečtou za posledních 10 účetních období za účelem určení, zda je překročena prahová hodnota pro zveřejnění, či nikoli. Ztráty a úpravy by měly být zveřejněny v souladu s ustanoveními čl. 317 odst. 3 písm. c) a článku 318 nařízení (EU) č. 575/2013. Tyto částky se vykazují v roce, ve kterém byly zaznamenány v účetní závěrce.</w:t>
      </w:r>
    </w:p>
    <w:p w14:paraId="2702CB88" w14:textId="77777777" w:rsidR="00D740B8" w:rsidRPr="00493467" w:rsidRDefault="00D740B8" w:rsidP="00D740B8">
      <w:pPr>
        <w:pStyle w:val="ListParagraph"/>
        <w:rPr>
          <w:rFonts w:ascii="Times New Roman" w:hAnsi="Times New Roman"/>
          <w:bCs/>
          <w:sz w:val="24"/>
        </w:rPr>
      </w:pPr>
    </w:p>
    <w:p w14:paraId="3146DBD3" w14:textId="48F555B9" w:rsidR="00D740B8" w:rsidRPr="00493467" w:rsidRDefault="00D740B8" w:rsidP="00D740B8">
      <w:pPr>
        <w:numPr>
          <w:ilvl w:val="0"/>
          <w:numId w:val="1"/>
        </w:numPr>
        <w:jc w:val="both"/>
        <w:rPr>
          <w:rFonts w:ascii="Times New Roman" w:hAnsi="Times New Roman" w:cs="Times New Roman"/>
          <w:bCs/>
          <w:sz w:val="24"/>
        </w:rPr>
      </w:pPr>
      <w:r w:rsidRPr="00493467">
        <w:rPr>
          <w:rFonts w:ascii="Times New Roman" w:hAnsi="Times New Roman"/>
          <w:sz w:val="24"/>
        </w:rPr>
        <w:t xml:space="preserve"> V připojeném komentáři zveřejní instituce souhrnné odůvodnění mimořádných událostí operačního rizika, které byly vyloučeny z výpočtu ročních ztrát z operačního rizika v souladu s čl. 446 odst. 2 písm. b) nařízení (EU) č. 575/2013.</w:t>
      </w:r>
    </w:p>
    <w:p w14:paraId="066C0912" w14:textId="77777777" w:rsidR="00D740B8" w:rsidRPr="00493467" w:rsidRDefault="00D740B8" w:rsidP="00D740B8">
      <w:pPr>
        <w:pStyle w:val="ListParagraph"/>
        <w:rPr>
          <w:rFonts w:ascii="Times New Roman" w:hAnsi="Times New Roman"/>
          <w:bCs/>
          <w:sz w:val="24"/>
        </w:rPr>
      </w:pPr>
    </w:p>
    <w:p w14:paraId="79A49BBA" w14:textId="5D2F1C9E" w:rsidR="00D740B8" w:rsidRPr="00493467" w:rsidRDefault="00D740B8" w:rsidP="00D740B8">
      <w:pPr>
        <w:numPr>
          <w:ilvl w:val="0"/>
          <w:numId w:val="1"/>
        </w:numPr>
        <w:jc w:val="both"/>
        <w:rPr>
          <w:rFonts w:ascii="Times New Roman" w:hAnsi="Times New Roman" w:cs="Times New Roman"/>
          <w:bCs/>
          <w:sz w:val="24"/>
        </w:rPr>
      </w:pPr>
      <w:r w:rsidRPr="00493467">
        <w:rPr>
          <w:rFonts w:ascii="Times New Roman" w:hAnsi="Times New Roman"/>
          <w:sz w:val="24"/>
        </w:rPr>
        <w:t xml:space="preserve"> Instituce rovněž v souhrnné podobě zpřístupní veškeré podstatné informace, které by mohly uživatelům pomoci pochopit historické ztráty, výtěžky a zákonné rezervy instituce, s výjimkou důvěrných a vyhrazených informací.</w:t>
      </w:r>
    </w:p>
    <w:p w14:paraId="3AF72482" w14:textId="77777777" w:rsidR="00D740B8" w:rsidRPr="00493467" w:rsidRDefault="00D740B8" w:rsidP="00D740B8">
      <w:pPr>
        <w:pStyle w:val="ListParagraph"/>
        <w:rPr>
          <w:rFonts w:ascii="Times New Roman" w:hAnsi="Times New Roman"/>
          <w:bCs/>
          <w:sz w:val="24"/>
        </w:rPr>
      </w:pPr>
    </w:p>
    <w:p w14:paraId="36406578" w14:textId="77777777" w:rsidR="00D740B8" w:rsidRPr="00493467" w:rsidRDefault="00D740B8" w:rsidP="00D740B8">
      <w:pPr>
        <w:pStyle w:val="ListParagraph"/>
        <w:rPr>
          <w:rFonts w:ascii="Times New Roman" w:hAnsi="Times New Roman"/>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745"/>
      </w:tblGrid>
      <w:tr w:rsidR="00D740B8" w:rsidRPr="00493467" w14:paraId="7E388732" w14:textId="77777777">
        <w:tc>
          <w:tcPr>
            <w:tcW w:w="1271" w:type="dxa"/>
            <w:shd w:val="clear" w:color="auto" w:fill="BFBFBF" w:themeFill="background1" w:themeFillShade="BF"/>
          </w:tcPr>
          <w:p w14:paraId="5F81890E" w14:textId="77777777" w:rsidR="00D740B8" w:rsidRPr="00493467" w:rsidRDefault="00D740B8" w:rsidP="00E515FD">
            <w:pPr>
              <w:pageBreakBefore/>
              <w:autoSpaceDE w:val="0"/>
              <w:autoSpaceDN w:val="0"/>
              <w:adjustRightInd w:val="0"/>
              <w:rPr>
                <w:rFonts w:ascii="Times New Roman" w:hAnsi="Times New Roman"/>
                <w:bCs/>
                <w:sz w:val="24"/>
              </w:rPr>
            </w:pPr>
            <w:r w:rsidRPr="00493467">
              <w:rPr>
                <w:rFonts w:ascii="Times New Roman" w:hAnsi="Times New Roman"/>
                <w:b/>
                <w:sz w:val="24"/>
              </w:rPr>
              <w:lastRenderedPageBreak/>
              <w:t>Sloupec</w:t>
            </w:r>
          </w:p>
        </w:tc>
        <w:tc>
          <w:tcPr>
            <w:tcW w:w="7745" w:type="dxa"/>
            <w:shd w:val="clear" w:color="auto" w:fill="BFBFBF" w:themeFill="background1" w:themeFillShade="BF"/>
          </w:tcPr>
          <w:p w14:paraId="0773BD79" w14:textId="77777777" w:rsidR="00D740B8" w:rsidRPr="00493467" w:rsidRDefault="00D740B8">
            <w:pPr>
              <w:spacing w:before="60" w:after="120"/>
              <w:jc w:val="both"/>
              <w:rPr>
                <w:rFonts w:ascii="Times New Roman" w:eastAsia="Times New Roman" w:hAnsi="Times New Roman" w:cs="Times New Roman"/>
                <w:b/>
                <w:sz w:val="24"/>
              </w:rPr>
            </w:pPr>
            <w:r w:rsidRPr="00493467">
              <w:rPr>
                <w:rFonts w:ascii="Times New Roman" w:hAnsi="Times New Roman"/>
                <w:b/>
                <w:sz w:val="24"/>
              </w:rPr>
              <w:t>Odkazy na právní předpisy a pokyny</w:t>
            </w:r>
          </w:p>
        </w:tc>
      </w:tr>
      <w:tr w:rsidR="00D740B8" w:rsidRPr="00493467" w14:paraId="4A7B0862" w14:textId="77777777">
        <w:tc>
          <w:tcPr>
            <w:tcW w:w="1271" w:type="dxa"/>
          </w:tcPr>
          <w:p w14:paraId="59A78ADD" w14:textId="77777777" w:rsidR="00D740B8" w:rsidRPr="00493467" w:rsidRDefault="00D740B8">
            <w:pPr>
              <w:autoSpaceDE w:val="0"/>
              <w:autoSpaceDN w:val="0"/>
              <w:adjustRightInd w:val="0"/>
              <w:jc w:val="center"/>
              <w:rPr>
                <w:rFonts w:ascii="Times New Roman" w:hAnsi="Times New Roman"/>
                <w:bCs/>
                <w:sz w:val="24"/>
              </w:rPr>
            </w:pPr>
            <w:r w:rsidRPr="00493467">
              <w:rPr>
                <w:rFonts w:ascii="Times New Roman" w:hAnsi="Times New Roman"/>
                <w:sz w:val="24"/>
              </w:rPr>
              <w:t>a až j</w:t>
            </w:r>
          </w:p>
        </w:tc>
        <w:tc>
          <w:tcPr>
            <w:tcW w:w="7745" w:type="dxa"/>
          </w:tcPr>
          <w:p w14:paraId="0B872A50" w14:textId="77777777" w:rsidR="00D740B8" w:rsidRPr="00493467" w:rsidRDefault="00D740B8">
            <w:pPr>
              <w:spacing w:before="120" w:after="120"/>
              <w:jc w:val="both"/>
              <w:rPr>
                <w:rFonts w:ascii="Times New Roman" w:eastAsia="Times New Roman" w:hAnsi="Times New Roman" w:cs="Times New Roman"/>
                <w:sz w:val="24"/>
              </w:rPr>
            </w:pPr>
            <w:r w:rsidRPr="00493467">
              <w:rPr>
                <w:rFonts w:ascii="Times New Roman" w:hAnsi="Times New Roman"/>
                <w:b/>
                <w:sz w:val="24"/>
              </w:rPr>
              <w:t>Rok (T, T-1, T-2, T-3, T-4, T-5, T-6, T-7, T-8, T-9)</w:t>
            </w:r>
          </w:p>
          <w:p w14:paraId="5B6EF35C" w14:textId="3033D1CC" w:rsidR="00D740B8" w:rsidRPr="00493467" w:rsidRDefault="00D740B8">
            <w:pPr>
              <w:spacing w:before="120" w:after="120"/>
              <w:rPr>
                <w:rFonts w:ascii="Times New Roman" w:hAnsi="Times New Roman"/>
                <w:sz w:val="24"/>
              </w:rPr>
            </w:pPr>
            <w:r w:rsidRPr="00493467">
              <w:rPr>
                <w:rFonts w:ascii="Times New Roman" w:hAnsi="Times New Roman"/>
                <w:sz w:val="24"/>
              </w:rPr>
              <w:t xml:space="preserve">Hodnota uvedená v příslušném řádku za posledních 10 účetních období. </w:t>
            </w:r>
          </w:p>
        </w:tc>
      </w:tr>
      <w:tr w:rsidR="00D740B8" w:rsidRPr="00493467" w14:paraId="7D63969A" w14:textId="77777777">
        <w:tc>
          <w:tcPr>
            <w:tcW w:w="1271" w:type="dxa"/>
          </w:tcPr>
          <w:p w14:paraId="6CFD6A05" w14:textId="77777777" w:rsidR="00D740B8" w:rsidRPr="00493467" w:rsidRDefault="00D740B8">
            <w:pPr>
              <w:autoSpaceDE w:val="0"/>
              <w:autoSpaceDN w:val="0"/>
              <w:adjustRightInd w:val="0"/>
              <w:jc w:val="center"/>
              <w:rPr>
                <w:rFonts w:ascii="Times New Roman" w:hAnsi="Times New Roman"/>
                <w:bCs/>
                <w:sz w:val="24"/>
              </w:rPr>
            </w:pPr>
            <w:r w:rsidRPr="00493467">
              <w:rPr>
                <w:rFonts w:ascii="Times New Roman" w:hAnsi="Times New Roman"/>
                <w:sz w:val="24"/>
              </w:rPr>
              <w:t>k</w:t>
            </w:r>
          </w:p>
        </w:tc>
        <w:tc>
          <w:tcPr>
            <w:tcW w:w="7745" w:type="dxa"/>
          </w:tcPr>
          <w:p w14:paraId="50D93A86" w14:textId="77777777" w:rsidR="00D740B8" w:rsidRPr="00493467" w:rsidRDefault="00D740B8">
            <w:pPr>
              <w:spacing w:before="120" w:after="120"/>
              <w:jc w:val="both"/>
              <w:rPr>
                <w:rFonts w:ascii="Times New Roman" w:eastAsia="Times New Roman" w:hAnsi="Times New Roman" w:cs="Times New Roman"/>
                <w:b/>
                <w:sz w:val="24"/>
              </w:rPr>
            </w:pPr>
            <w:r w:rsidRPr="00493467">
              <w:rPr>
                <w:rFonts w:ascii="Times New Roman" w:hAnsi="Times New Roman"/>
                <w:b/>
                <w:sz w:val="24"/>
              </w:rPr>
              <w:t>Desetiletý průměr</w:t>
            </w:r>
          </w:p>
          <w:p w14:paraId="38A7187F" w14:textId="0CB464F2" w:rsidR="00D740B8" w:rsidRPr="00493467" w:rsidRDefault="00D740B8">
            <w:pPr>
              <w:spacing w:before="120" w:after="120"/>
              <w:rPr>
                <w:rFonts w:ascii="Times New Roman" w:hAnsi="Times New Roman"/>
                <w:bCs/>
                <w:sz w:val="24"/>
              </w:rPr>
            </w:pPr>
            <w:r w:rsidRPr="00493467">
              <w:rPr>
                <w:rFonts w:ascii="Times New Roman" w:hAnsi="Times New Roman"/>
                <w:sz w:val="24"/>
              </w:rPr>
              <w:t>Průměr hodnot uvedených v příslušném řádku za posledních 10 účetních období.</w:t>
            </w:r>
          </w:p>
        </w:tc>
      </w:tr>
    </w:tbl>
    <w:p w14:paraId="7095834F" w14:textId="77777777" w:rsidR="00D740B8" w:rsidRPr="00493467" w:rsidRDefault="00D740B8" w:rsidP="00D740B8">
      <w:pPr>
        <w:pStyle w:val="ListParagraph"/>
        <w:rPr>
          <w:rFonts w:ascii="Times New Roman" w:hAnsi="Times New Roman"/>
          <w:bCs/>
          <w:sz w:val="24"/>
        </w:rPr>
      </w:pPr>
    </w:p>
    <w:p w14:paraId="32DB6729" w14:textId="77777777" w:rsidR="00D740B8" w:rsidRPr="00493467" w:rsidRDefault="00D740B8" w:rsidP="00D740B8">
      <w:pPr>
        <w:pStyle w:val="ListParagraph"/>
        <w:rPr>
          <w:rFonts w:ascii="Times New Roman" w:hAnsi="Times New Roman"/>
          <w:bCs/>
          <w:sz w:val="24"/>
        </w:rPr>
      </w:pPr>
    </w:p>
    <w:p w14:paraId="2611544E" w14:textId="77777777" w:rsidR="00D740B8" w:rsidRPr="00493467" w:rsidRDefault="00D740B8" w:rsidP="00D740B8">
      <w:pPr>
        <w:pStyle w:val="ListParagraph"/>
        <w:rPr>
          <w:rFonts w:ascii="Times New Roman" w:hAnsi="Times New Roman"/>
          <w:bCs/>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493467" w14:paraId="75D1924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C07F6" w14:textId="1ED352CF" w:rsidR="00D740B8" w:rsidRPr="00493467" w:rsidRDefault="00D740B8">
            <w:pPr>
              <w:autoSpaceDE w:val="0"/>
              <w:autoSpaceDN w:val="0"/>
              <w:adjustRightInd w:val="0"/>
              <w:rPr>
                <w:rFonts w:ascii="Times New Roman" w:hAnsi="Times New Roman" w:cs="Times New Roman"/>
                <w:b/>
                <w:sz w:val="24"/>
              </w:rPr>
            </w:pPr>
            <w:r w:rsidRPr="00493467">
              <w:rPr>
                <w:rFonts w:ascii="Times New Roman" w:hAnsi="Times New Roman"/>
                <w:b/>
                <w:sz w:val="24"/>
              </w:rPr>
              <w:t>Řádek</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A10C0" w14:textId="77777777" w:rsidR="00D740B8" w:rsidRPr="00493467" w:rsidRDefault="00D740B8">
            <w:pPr>
              <w:rPr>
                <w:rFonts w:ascii="Times New Roman" w:hAnsi="Times New Roman" w:cs="Times New Roman"/>
                <w:b/>
                <w:sz w:val="24"/>
              </w:rPr>
            </w:pPr>
            <w:r w:rsidRPr="00493467">
              <w:rPr>
                <w:rFonts w:ascii="Times New Roman" w:hAnsi="Times New Roman"/>
                <w:b/>
                <w:sz w:val="24"/>
              </w:rPr>
              <w:t>Odkazy na právní předpisy a pokyny</w:t>
            </w:r>
          </w:p>
        </w:tc>
      </w:tr>
      <w:tr w:rsidR="00D740B8" w:rsidRPr="00493467" w14:paraId="5B97976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C0BB" w14:textId="77777777" w:rsidR="00D740B8" w:rsidRPr="00493467" w:rsidRDefault="00D740B8">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810E" w14:textId="221857B7" w:rsidR="00D740B8" w:rsidRPr="00493467" w:rsidRDefault="00D740B8">
            <w:pPr>
              <w:spacing w:before="120" w:after="120"/>
              <w:jc w:val="both"/>
              <w:rPr>
                <w:rFonts w:ascii="Times New Roman" w:eastAsia="Times New Roman" w:hAnsi="Times New Roman" w:cs="Times New Roman"/>
                <w:b/>
                <w:sz w:val="24"/>
              </w:rPr>
            </w:pPr>
            <w:r w:rsidRPr="00493467">
              <w:rPr>
                <w:rFonts w:ascii="Times New Roman" w:hAnsi="Times New Roman"/>
                <w:b/>
                <w:sz w:val="24"/>
              </w:rPr>
              <w:t>Celková výše ztrát z operačního rizika po odečtení výtěžků (bez vyloučení)</w:t>
            </w:r>
          </w:p>
          <w:p w14:paraId="73A6B59F" w14:textId="42A729DD" w:rsidR="00D740B8" w:rsidRPr="00493467" w:rsidRDefault="00D740B8">
            <w:pPr>
              <w:spacing w:before="120" w:after="120"/>
              <w:jc w:val="both"/>
              <w:rPr>
                <w:rFonts w:ascii="Times New Roman" w:eastAsia="Times New Roman" w:hAnsi="Times New Roman" w:cs="Times New Roman"/>
                <w:sz w:val="24"/>
              </w:rPr>
            </w:pPr>
            <w:r w:rsidRPr="00493467">
              <w:rPr>
                <w:rFonts w:ascii="Times New Roman" w:hAnsi="Times New Roman"/>
                <w:sz w:val="24"/>
              </w:rPr>
              <w:t>Ustanovení čl. 446 odst. 2 písm. a) a čl. 316 odst. 1 nařízení (EU) č. 575/2013.</w:t>
            </w:r>
          </w:p>
          <w:p w14:paraId="5D929629" w14:textId="254FA976" w:rsidR="00D740B8" w:rsidRPr="00493467" w:rsidRDefault="002B0785">
            <w:pPr>
              <w:spacing w:before="120" w:after="120"/>
              <w:jc w:val="both"/>
              <w:rPr>
                <w:rFonts w:ascii="Times New Roman" w:eastAsia="Times New Roman" w:hAnsi="Times New Roman" w:cs="Times New Roman"/>
                <w:b/>
                <w:sz w:val="24"/>
              </w:rPr>
            </w:pPr>
            <w:r w:rsidRPr="00493467">
              <w:rPr>
                <w:rFonts w:ascii="Times New Roman" w:hAnsi="Times New Roman"/>
                <w:sz w:val="24"/>
              </w:rPr>
              <w:t>V tomto řádku se uvede celková výše ztrát po odečtení výtěžků vyplývajících ze ztrátových událostí přesahujících prahovou hodnotu ztrátové události ve výši 20 000 EUR za každé z posledních 10 vykazovaných období, včetně ztrát z fúzí a nabytí. Ztráty způsobené společnou událostí operačního rizika nebo více událostmi souvisejícími se stejnou událostí operačního rizika, které jsou zaúčtovány v různých účetních obdobích, se sečtou za posledních 10 účetních období za účelem určení, zda byla překročena prahová hodnota pro zveřejnění. Mimořádné události operačního rizika v daném roce, které již nejsou relevantní pro rizikový profil instituce a pro něž instituce získala od příslušného orgánu svolení k jejich vyloučení z ročních ztrát instituce souvisejících s operačním rizikem v souladu s čl. 320 odst. 1 nařízení (EU) č. 575/2013, se při výpočtu položky pro tento řádek stále zohledňují.</w:t>
            </w:r>
          </w:p>
        </w:tc>
      </w:tr>
      <w:tr w:rsidR="00D740B8" w:rsidRPr="00493467" w14:paraId="1A3189B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5BED" w14:textId="77777777" w:rsidR="00D740B8" w:rsidRPr="00493467" w:rsidRDefault="00D740B8">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0B8990" w14:textId="77777777" w:rsidR="00D740B8" w:rsidRPr="00493467" w:rsidRDefault="00D740B8">
            <w:pPr>
              <w:spacing w:before="120" w:after="120"/>
              <w:jc w:val="both"/>
              <w:rPr>
                <w:rFonts w:ascii="Times New Roman" w:eastAsia="Times New Roman" w:hAnsi="Times New Roman" w:cs="Times New Roman"/>
                <w:b/>
                <w:sz w:val="24"/>
              </w:rPr>
            </w:pPr>
            <w:r w:rsidRPr="00493467">
              <w:rPr>
                <w:rFonts w:ascii="Times New Roman" w:hAnsi="Times New Roman"/>
                <w:b/>
                <w:sz w:val="24"/>
              </w:rPr>
              <w:t>Celkový počet ztrát z operačního rizika</w:t>
            </w:r>
          </w:p>
          <w:p w14:paraId="2EA91375" w14:textId="28AF0058" w:rsidR="00D740B8" w:rsidRPr="00493467" w:rsidRDefault="00D740B8">
            <w:pPr>
              <w:spacing w:before="120" w:after="120"/>
              <w:jc w:val="both"/>
              <w:rPr>
                <w:rFonts w:ascii="Times New Roman" w:eastAsia="Times New Roman" w:hAnsi="Times New Roman" w:cs="Times New Roman"/>
                <w:sz w:val="24"/>
              </w:rPr>
            </w:pPr>
            <w:r w:rsidRPr="00493467">
              <w:rPr>
                <w:rFonts w:ascii="Times New Roman" w:hAnsi="Times New Roman"/>
                <w:sz w:val="24"/>
              </w:rPr>
              <w:t>Ustanovení čl. 446 odst. 2 písm. a) a čl. 316 odst. 1 nařízení (EU) č. 575/2013.</w:t>
            </w:r>
          </w:p>
          <w:p w14:paraId="275C478C" w14:textId="69738AFF" w:rsidR="00D740B8" w:rsidRPr="00493467" w:rsidRDefault="00471410">
            <w:pPr>
              <w:spacing w:before="120" w:after="120"/>
              <w:rPr>
                <w:rFonts w:ascii="Times New Roman" w:eastAsia="Times New Roman" w:hAnsi="Times New Roman" w:cs="Times New Roman"/>
                <w:sz w:val="24"/>
              </w:rPr>
            </w:pPr>
            <w:r w:rsidRPr="00493467">
              <w:rPr>
                <w:rFonts w:ascii="Times New Roman" w:hAnsi="Times New Roman"/>
                <w:sz w:val="24"/>
              </w:rPr>
              <w:t>Celkový počet ztrát z operačního rizika překračujících prahovou hodnotu ztrátové události ve výši 20 000 EUR.</w:t>
            </w:r>
          </w:p>
        </w:tc>
      </w:tr>
      <w:tr w:rsidR="00D740B8" w:rsidRPr="00493467" w14:paraId="30368E0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97E2D97" w14:textId="77777777" w:rsidR="00D740B8" w:rsidRPr="00493467" w:rsidRDefault="00D740B8">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A7E573" w14:textId="06E670C1" w:rsidR="00D740B8" w:rsidRPr="00493467" w:rsidRDefault="00D740B8">
            <w:pPr>
              <w:spacing w:before="120" w:after="120"/>
              <w:jc w:val="both"/>
              <w:rPr>
                <w:rFonts w:ascii="Times New Roman" w:eastAsia="Times New Roman" w:hAnsi="Times New Roman" w:cs="Times New Roman"/>
                <w:b/>
                <w:sz w:val="24"/>
              </w:rPr>
            </w:pPr>
            <w:r w:rsidRPr="00493467">
              <w:rPr>
                <w:rFonts w:ascii="Times New Roman" w:hAnsi="Times New Roman"/>
                <w:b/>
                <w:sz w:val="24"/>
              </w:rPr>
              <w:t>Celková výše vyloučených ztrát z operačního rizika</w:t>
            </w:r>
          </w:p>
          <w:p w14:paraId="5C1A66AF" w14:textId="5CAD041D" w:rsidR="00D740B8" w:rsidRPr="00493467" w:rsidRDefault="00D740B8">
            <w:pPr>
              <w:spacing w:before="120" w:after="120"/>
              <w:rPr>
                <w:rFonts w:ascii="Times New Roman" w:eastAsia="Times New Roman" w:hAnsi="Times New Roman" w:cs="Times New Roman"/>
                <w:sz w:val="24"/>
              </w:rPr>
            </w:pPr>
            <w:r w:rsidRPr="00493467">
              <w:rPr>
                <w:rFonts w:ascii="Times New Roman" w:hAnsi="Times New Roman"/>
                <w:sz w:val="24"/>
              </w:rPr>
              <w:t>Ustanovení čl. 446 odst. 2 písm. b) a čl. 320 odst. 1 nařízení (EU) č. 575/2013.</w:t>
            </w:r>
          </w:p>
          <w:p w14:paraId="7BE235CA" w14:textId="7483A5B2" w:rsidR="00D740B8" w:rsidRPr="00493467" w:rsidRDefault="002B0785">
            <w:pPr>
              <w:spacing w:before="120" w:after="120"/>
              <w:rPr>
                <w:rFonts w:ascii="Times New Roman" w:eastAsia="Times New Roman" w:hAnsi="Times New Roman" w:cs="Times New Roman"/>
                <w:sz w:val="24"/>
              </w:rPr>
            </w:pPr>
            <w:r w:rsidRPr="00493467">
              <w:rPr>
                <w:rFonts w:ascii="Times New Roman" w:hAnsi="Times New Roman"/>
                <w:sz w:val="24"/>
              </w:rPr>
              <w:t>Celkové částky čistých ztrát přesahující prahovou hodnotu ztrát ve výši 20 000 EUR, které byly vyloučeny v souladu s čl. 320 odst. 1 nařízení (EU) č. 575/2013, za každé z posledních 10 vykazovaných období.</w:t>
            </w:r>
          </w:p>
        </w:tc>
      </w:tr>
      <w:tr w:rsidR="00D740B8" w:rsidRPr="00493467" w14:paraId="2771244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F28D83" w14:textId="77777777" w:rsidR="00D740B8" w:rsidRPr="00493467" w:rsidRDefault="00D740B8">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F2BA990" w14:textId="77777777" w:rsidR="00D740B8" w:rsidRPr="00493467" w:rsidRDefault="00D740B8">
            <w:pPr>
              <w:spacing w:before="120" w:after="120"/>
              <w:jc w:val="both"/>
              <w:rPr>
                <w:rStyle w:val="InstructionsTabelleberschrift"/>
                <w:rFonts w:ascii="Times New Roman" w:eastAsia="Times New Roman" w:hAnsi="Times New Roman"/>
                <w:bCs w:val="0"/>
                <w:sz w:val="24"/>
                <w:u w:val="none"/>
              </w:rPr>
            </w:pPr>
            <w:r w:rsidRPr="00493467">
              <w:rPr>
                <w:rStyle w:val="InstructionsTabelleberschrift"/>
                <w:rFonts w:ascii="Times New Roman" w:hAnsi="Times New Roman"/>
                <w:sz w:val="24"/>
                <w:u w:val="none"/>
              </w:rPr>
              <w:t>Celkový počet vyloučených událostí operačního rizika</w:t>
            </w:r>
          </w:p>
          <w:p w14:paraId="7914E462" w14:textId="7978A3B5" w:rsidR="00D740B8" w:rsidRPr="00493467" w:rsidRDefault="00D740B8">
            <w:pPr>
              <w:spacing w:before="120" w:after="120"/>
              <w:rPr>
                <w:rFonts w:ascii="Times New Roman" w:eastAsia="Times New Roman" w:hAnsi="Times New Roman" w:cs="Times New Roman"/>
                <w:sz w:val="24"/>
              </w:rPr>
            </w:pPr>
            <w:r w:rsidRPr="00493467">
              <w:rPr>
                <w:rFonts w:ascii="Times New Roman" w:hAnsi="Times New Roman"/>
                <w:sz w:val="24"/>
              </w:rPr>
              <w:t>Ustanovení čl. 446 odst. 2 písm. b) a čl. 320 odst. 1 nařízení (EU) č. 575/2013.</w:t>
            </w:r>
          </w:p>
          <w:p w14:paraId="318A732C" w14:textId="242D554F" w:rsidR="00D740B8" w:rsidRPr="00493467" w:rsidRDefault="009D4A12">
            <w:pPr>
              <w:spacing w:before="120" w:after="120"/>
              <w:jc w:val="both"/>
              <w:rPr>
                <w:rFonts w:ascii="Times New Roman" w:eastAsia="Times New Roman" w:hAnsi="Times New Roman" w:cs="Times New Roman"/>
                <w:sz w:val="24"/>
              </w:rPr>
            </w:pPr>
            <w:r w:rsidRPr="00493467">
              <w:rPr>
                <w:rFonts w:ascii="Times New Roman" w:hAnsi="Times New Roman"/>
                <w:sz w:val="24"/>
              </w:rPr>
              <w:t xml:space="preserve">Celkový počet mimořádných událostí operačního rizika přesahujících prahovou hodnotu ztrátové události ve výši 20 000 EUR, které byly vyloučeny v souladu </w:t>
            </w:r>
            <w:r w:rsidRPr="00493467">
              <w:rPr>
                <w:rFonts w:ascii="Times New Roman" w:hAnsi="Times New Roman"/>
                <w:sz w:val="24"/>
              </w:rPr>
              <w:lastRenderedPageBreak/>
              <w:t xml:space="preserve">s čl. 320 odst. 1 nařízení (EU) č. 575/2013, za každé z posledních 10 vykazovaných období. </w:t>
            </w:r>
          </w:p>
        </w:tc>
      </w:tr>
      <w:tr w:rsidR="00D740B8" w:rsidRPr="00493467" w14:paraId="155A14DC"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2BC3" w14:textId="77777777" w:rsidR="00D740B8" w:rsidRPr="00493467" w:rsidRDefault="00D740B8">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lastRenderedPageBreak/>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D9B80" w14:textId="218BBE7C" w:rsidR="00D740B8" w:rsidRPr="00493467" w:rsidRDefault="00D740B8" w:rsidP="00762F17">
            <w:pPr>
              <w:keepNext/>
              <w:spacing w:before="120" w:after="120"/>
              <w:jc w:val="both"/>
              <w:rPr>
                <w:rStyle w:val="InstructionsTabelleberschrift"/>
                <w:rFonts w:ascii="Times New Roman" w:eastAsia="Times New Roman" w:hAnsi="Times New Roman"/>
                <w:bCs w:val="0"/>
                <w:sz w:val="24"/>
                <w:u w:val="none"/>
              </w:rPr>
            </w:pPr>
            <w:r w:rsidRPr="00493467">
              <w:rPr>
                <w:rStyle w:val="InstructionsTabelleberschrift"/>
                <w:rFonts w:ascii="Times New Roman" w:hAnsi="Times New Roman"/>
                <w:sz w:val="24"/>
                <w:u w:val="none"/>
              </w:rPr>
              <w:t>Celková výše ztrát z operačního rizika po odečtení výtěžků a vyloučených ztrát</w:t>
            </w:r>
          </w:p>
          <w:p w14:paraId="4203582A" w14:textId="7C24EBAE" w:rsidR="00D740B8" w:rsidRPr="00493467" w:rsidRDefault="002B0785" w:rsidP="00762F17">
            <w:pPr>
              <w:keepNext/>
              <w:spacing w:before="120" w:after="120"/>
              <w:jc w:val="both"/>
              <w:rPr>
                <w:rFonts w:ascii="Times New Roman" w:eastAsia="Times New Roman" w:hAnsi="Times New Roman" w:cs="Times New Roman"/>
                <w:sz w:val="24"/>
              </w:rPr>
            </w:pPr>
            <w:r w:rsidRPr="00493467">
              <w:rPr>
                <w:rFonts w:ascii="Times New Roman" w:hAnsi="Times New Roman"/>
                <w:sz w:val="24"/>
              </w:rPr>
              <w:t>Celková výše ztrát z operačního rizika, snížená o částku výtěžků vykázaných v řádku 1 a snížená o vyloučené ztráty vykázané v řádku 3.</w:t>
            </w:r>
          </w:p>
        </w:tc>
      </w:tr>
      <w:tr w:rsidR="00D740B8" w:rsidRPr="00493467" w14:paraId="533A412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EE7FB" w14:textId="77777777" w:rsidR="00D740B8" w:rsidRPr="00493467" w:rsidRDefault="00D740B8">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t>6</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765A87" w14:textId="409B91B6" w:rsidR="00D740B8" w:rsidRPr="00493467" w:rsidRDefault="00D740B8">
            <w:pPr>
              <w:spacing w:before="120" w:after="120"/>
              <w:jc w:val="both"/>
              <w:rPr>
                <w:rFonts w:ascii="Times New Roman" w:eastAsia="Times New Roman" w:hAnsi="Times New Roman" w:cs="Times New Roman"/>
                <w:b/>
                <w:sz w:val="24"/>
              </w:rPr>
            </w:pPr>
            <w:r w:rsidRPr="00493467">
              <w:rPr>
                <w:rFonts w:ascii="Times New Roman" w:hAnsi="Times New Roman"/>
                <w:b/>
                <w:sz w:val="24"/>
              </w:rPr>
              <w:t>Celková výše ztrát z operačního rizika po odečtení výtěžků (bez vyloučení)</w:t>
            </w:r>
          </w:p>
          <w:p w14:paraId="647BDEC8" w14:textId="66617A83" w:rsidR="00D740B8" w:rsidRPr="00493467" w:rsidRDefault="00D740B8">
            <w:pPr>
              <w:spacing w:before="120" w:after="120"/>
              <w:jc w:val="both"/>
              <w:rPr>
                <w:rFonts w:ascii="Times New Roman" w:eastAsia="Times New Roman" w:hAnsi="Times New Roman" w:cs="Times New Roman"/>
                <w:sz w:val="24"/>
              </w:rPr>
            </w:pPr>
            <w:r w:rsidRPr="00493467">
              <w:rPr>
                <w:rFonts w:ascii="Times New Roman" w:hAnsi="Times New Roman"/>
                <w:sz w:val="24"/>
              </w:rPr>
              <w:t>Ustanovení čl. 446 odst. 2 písm. a) a čl. 316 odst. 1 nařízení (EU) č. 575/2013.</w:t>
            </w:r>
          </w:p>
          <w:p w14:paraId="7F1E94AA" w14:textId="3C3700EE" w:rsidR="00D740B8" w:rsidRPr="00493467" w:rsidRDefault="003D54AC">
            <w:pPr>
              <w:spacing w:before="120" w:after="120"/>
              <w:jc w:val="both"/>
              <w:rPr>
                <w:rStyle w:val="InstructionsTabelleberschrift"/>
                <w:rFonts w:ascii="Times New Roman" w:eastAsia="Times New Roman" w:hAnsi="Times New Roman"/>
                <w:bCs w:val="0"/>
                <w:sz w:val="24"/>
              </w:rPr>
            </w:pPr>
            <w:r w:rsidRPr="00493467">
              <w:rPr>
                <w:rFonts w:ascii="Times New Roman" w:hAnsi="Times New Roman"/>
                <w:sz w:val="24"/>
              </w:rPr>
              <w:t>Celková výše ztrát z operačního rizika, snížená o částku výtěžků, vyplývající ze ztrátových událostí přesahujících prahovou hodnotu ztrátové události ve výši 100 000 EUR za každé z posledních 10 vykazovaných období, včetně ztrát z fúzí a nabytí. Ztráty způsobené společnou událostí operačního rizika nebo více událostmi souvisejícími se stejnou událostí operačního rizika, které jsou zaúčtovány v různých účetních obdobích, se sečtou za posledních 10 účetních období za účelem určení, zda byla překročena prahová hodnota pro zveřejnění. Mimořádné události operačního rizika v daném roce, které již nejsou relevantní pro rizikový profil instituce a pro něž instituce získala od příslušného orgánu svolení k jejich vyloučení z ročních ztrát instituce souvisejících s operačním rizikem v souladu s čl. 320 odst. 1 nařízení (EU) č. 575/2013, se při výpočtu položky pro tento řádek stále zohledňují.</w:t>
            </w:r>
          </w:p>
        </w:tc>
      </w:tr>
      <w:tr w:rsidR="00D740B8" w:rsidRPr="00493467" w14:paraId="55F7B96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372A0" w14:textId="77777777" w:rsidR="00D740B8" w:rsidRPr="00493467" w:rsidRDefault="00D740B8">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t>7</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15A10" w14:textId="77777777" w:rsidR="00D740B8" w:rsidRPr="00493467" w:rsidRDefault="00D740B8">
            <w:pPr>
              <w:spacing w:before="120" w:after="120"/>
              <w:jc w:val="both"/>
              <w:rPr>
                <w:rFonts w:ascii="Times New Roman" w:eastAsia="Times New Roman" w:hAnsi="Times New Roman" w:cs="Times New Roman"/>
                <w:b/>
                <w:sz w:val="24"/>
              </w:rPr>
            </w:pPr>
            <w:r w:rsidRPr="00493467">
              <w:rPr>
                <w:rFonts w:ascii="Times New Roman" w:hAnsi="Times New Roman"/>
                <w:b/>
                <w:sz w:val="24"/>
              </w:rPr>
              <w:t>Celkový počet ztrát z operačního rizika</w:t>
            </w:r>
          </w:p>
          <w:p w14:paraId="7AD8EE0D" w14:textId="092E19E2" w:rsidR="00D740B8" w:rsidRPr="00493467" w:rsidRDefault="00D740B8">
            <w:pPr>
              <w:spacing w:before="120" w:after="120"/>
              <w:jc w:val="both"/>
              <w:rPr>
                <w:rFonts w:ascii="Times New Roman" w:eastAsia="Times New Roman" w:hAnsi="Times New Roman" w:cs="Times New Roman"/>
                <w:sz w:val="24"/>
              </w:rPr>
            </w:pPr>
            <w:r w:rsidRPr="00493467">
              <w:rPr>
                <w:rFonts w:ascii="Times New Roman" w:hAnsi="Times New Roman"/>
                <w:sz w:val="24"/>
              </w:rPr>
              <w:t>Ustanovení čl. 446 odst. 2 písm. a) a čl. 316 odst. 1 nařízení (EU) č. 575/2013.</w:t>
            </w:r>
          </w:p>
          <w:p w14:paraId="6F316B8B" w14:textId="6ABB567B" w:rsidR="00D740B8" w:rsidRPr="00493467" w:rsidRDefault="00471410">
            <w:pPr>
              <w:spacing w:before="120" w:after="120"/>
              <w:jc w:val="both"/>
              <w:rPr>
                <w:rStyle w:val="InstructionsTabelleberschrift"/>
                <w:rFonts w:ascii="Times New Roman" w:eastAsia="Times New Roman" w:hAnsi="Times New Roman"/>
                <w:bCs w:val="0"/>
                <w:sz w:val="24"/>
              </w:rPr>
            </w:pPr>
            <w:r w:rsidRPr="00493467">
              <w:rPr>
                <w:rFonts w:ascii="Times New Roman" w:hAnsi="Times New Roman"/>
                <w:sz w:val="24"/>
              </w:rPr>
              <w:t>Celkový počet ztrát z operačního rizika překračujících prahovou hodnotu ztrátové události ve výši 100 000 EUR.</w:t>
            </w:r>
          </w:p>
        </w:tc>
      </w:tr>
      <w:tr w:rsidR="00D740B8" w:rsidRPr="00493467" w14:paraId="774B79F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021F3" w14:textId="77777777" w:rsidR="00D740B8" w:rsidRPr="00493467" w:rsidRDefault="00D740B8">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t>8</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31AFB" w14:textId="77777777" w:rsidR="00D740B8" w:rsidRPr="00493467" w:rsidRDefault="00D740B8">
            <w:pPr>
              <w:spacing w:before="120" w:after="120"/>
              <w:jc w:val="both"/>
              <w:rPr>
                <w:rFonts w:ascii="Times New Roman" w:eastAsia="Times New Roman" w:hAnsi="Times New Roman" w:cs="Times New Roman"/>
                <w:b/>
                <w:sz w:val="24"/>
              </w:rPr>
            </w:pPr>
            <w:r w:rsidRPr="00493467">
              <w:rPr>
                <w:rFonts w:ascii="Times New Roman" w:hAnsi="Times New Roman"/>
                <w:b/>
                <w:sz w:val="24"/>
              </w:rPr>
              <w:t>Celková výše vyloučených ztrát z operačního rizika</w:t>
            </w:r>
          </w:p>
          <w:p w14:paraId="71DECF65" w14:textId="48A395A5" w:rsidR="00D740B8" w:rsidRPr="00493467" w:rsidRDefault="00D740B8">
            <w:pPr>
              <w:spacing w:before="120" w:after="120"/>
              <w:rPr>
                <w:rFonts w:ascii="Times New Roman" w:eastAsia="Times New Roman" w:hAnsi="Times New Roman" w:cs="Times New Roman"/>
                <w:sz w:val="24"/>
              </w:rPr>
            </w:pPr>
            <w:r w:rsidRPr="00493467">
              <w:rPr>
                <w:rFonts w:ascii="Times New Roman" w:hAnsi="Times New Roman"/>
                <w:sz w:val="24"/>
              </w:rPr>
              <w:t>Ustanovení čl. 446 odst. 2 písm. b) a čl. 320 odst. 1 nařízení (EU) č. 575/2013.</w:t>
            </w:r>
          </w:p>
          <w:p w14:paraId="0BC74916" w14:textId="396B699A" w:rsidR="00D740B8" w:rsidRPr="00493467" w:rsidRDefault="003D54AC">
            <w:pPr>
              <w:spacing w:before="120" w:after="120"/>
              <w:jc w:val="both"/>
              <w:rPr>
                <w:rStyle w:val="InstructionsTabelleberschrift"/>
                <w:rFonts w:ascii="Times New Roman" w:eastAsia="Times New Roman" w:hAnsi="Times New Roman"/>
                <w:bCs w:val="0"/>
                <w:sz w:val="24"/>
              </w:rPr>
            </w:pPr>
            <w:r w:rsidRPr="00493467">
              <w:rPr>
                <w:rFonts w:ascii="Times New Roman" w:hAnsi="Times New Roman"/>
                <w:sz w:val="24"/>
              </w:rPr>
              <w:t>Celkové částky čistých ztrát přesahující prahovou hodnotu ztrátové události ve výši 100 000 EUR, které byly vyloučeny v souladu s čl. 320 odst. 1 nařízení (EU) č. 575/2013, za každé z posledních 10 vykazovaných období.</w:t>
            </w:r>
          </w:p>
        </w:tc>
      </w:tr>
      <w:tr w:rsidR="00D740B8" w:rsidRPr="00493467" w14:paraId="33C9C19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35360" w14:textId="77777777" w:rsidR="00D740B8" w:rsidRPr="00493467" w:rsidRDefault="00D740B8">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t>9</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23E8D" w14:textId="77777777" w:rsidR="00D740B8" w:rsidRPr="00493467" w:rsidRDefault="00D740B8">
            <w:pPr>
              <w:spacing w:before="120" w:after="120"/>
              <w:jc w:val="both"/>
              <w:rPr>
                <w:rStyle w:val="InstructionsTabelleberschrift"/>
                <w:rFonts w:ascii="Times New Roman" w:eastAsia="Times New Roman" w:hAnsi="Times New Roman"/>
                <w:bCs w:val="0"/>
                <w:sz w:val="24"/>
                <w:u w:val="none"/>
              </w:rPr>
            </w:pPr>
            <w:r w:rsidRPr="00493467">
              <w:rPr>
                <w:rStyle w:val="InstructionsTabelleberschrift"/>
                <w:rFonts w:ascii="Times New Roman" w:hAnsi="Times New Roman"/>
                <w:sz w:val="24"/>
                <w:u w:val="none"/>
              </w:rPr>
              <w:t>Celkový počet vyloučených událostí operačního rizika</w:t>
            </w:r>
          </w:p>
          <w:p w14:paraId="2B56754D" w14:textId="46B0AAAA" w:rsidR="00D740B8" w:rsidRPr="00493467" w:rsidRDefault="00D740B8">
            <w:pPr>
              <w:spacing w:before="120" w:after="120"/>
              <w:rPr>
                <w:rFonts w:ascii="Times New Roman" w:eastAsia="Times New Roman" w:hAnsi="Times New Roman" w:cs="Times New Roman"/>
                <w:sz w:val="24"/>
              </w:rPr>
            </w:pPr>
            <w:r w:rsidRPr="00493467">
              <w:rPr>
                <w:rFonts w:ascii="Times New Roman" w:hAnsi="Times New Roman"/>
                <w:sz w:val="24"/>
              </w:rPr>
              <w:t>Ustanovení čl. 446 odst. 2 písm. b) a čl. 320 odst. 1 nařízení (EU) č. 575/2013.</w:t>
            </w:r>
          </w:p>
          <w:p w14:paraId="2EDEC8CA" w14:textId="252B783D" w:rsidR="00D740B8" w:rsidRPr="00493467" w:rsidRDefault="00471410">
            <w:pPr>
              <w:spacing w:before="120" w:after="120"/>
              <w:jc w:val="both"/>
              <w:rPr>
                <w:rStyle w:val="InstructionsTabelleberschrift"/>
                <w:rFonts w:ascii="Times New Roman" w:eastAsia="Times New Roman" w:hAnsi="Times New Roman"/>
                <w:bCs w:val="0"/>
                <w:sz w:val="24"/>
              </w:rPr>
            </w:pPr>
            <w:r w:rsidRPr="00493467">
              <w:rPr>
                <w:rFonts w:ascii="Times New Roman" w:hAnsi="Times New Roman"/>
                <w:sz w:val="24"/>
              </w:rPr>
              <w:t>Celkový počet mimořádných událostí operačního rizika přesahujících prahovou hodnotu ztrátové události ve výši 100 000 EUR, které byly vyloučeny v souladu s čl. 320 odst. 1 nařízení (EU) č. 575/2013, za každé z posledních 10 vykazovaných období.</w:t>
            </w:r>
          </w:p>
        </w:tc>
      </w:tr>
      <w:tr w:rsidR="00D740B8" w:rsidRPr="00493467" w14:paraId="01B8CA90"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151114" w14:textId="77777777" w:rsidR="00D740B8" w:rsidRPr="00493467" w:rsidRDefault="00D740B8" w:rsidP="00E515FD">
            <w:pPr>
              <w:pageBreakBefore/>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lastRenderedPageBreak/>
              <w:t>10</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3D07D3" w14:textId="0C81ABEB" w:rsidR="00D740B8" w:rsidRPr="00493467" w:rsidRDefault="00D740B8">
            <w:pPr>
              <w:spacing w:before="120" w:after="120"/>
              <w:jc w:val="both"/>
              <w:rPr>
                <w:rStyle w:val="InstructionsTabelleberschrift"/>
                <w:rFonts w:ascii="Times New Roman" w:eastAsia="Times New Roman" w:hAnsi="Times New Roman"/>
                <w:bCs w:val="0"/>
                <w:sz w:val="24"/>
                <w:u w:val="none"/>
              </w:rPr>
            </w:pPr>
            <w:r w:rsidRPr="00493467">
              <w:rPr>
                <w:rStyle w:val="InstructionsTabelleberschrift"/>
                <w:rFonts w:ascii="Times New Roman" w:hAnsi="Times New Roman"/>
                <w:sz w:val="24"/>
                <w:u w:val="none"/>
              </w:rPr>
              <w:t>Celková výše ztrát z operačního rizika po odečtení výtěžků a vyloučených ztrát</w:t>
            </w:r>
          </w:p>
          <w:p w14:paraId="65622881" w14:textId="32C07686" w:rsidR="00D740B8" w:rsidRPr="00493467" w:rsidRDefault="006943D3">
            <w:pPr>
              <w:spacing w:before="120" w:after="120"/>
              <w:jc w:val="both"/>
              <w:rPr>
                <w:rStyle w:val="InstructionsTabelleberschrift"/>
                <w:rFonts w:ascii="Times New Roman" w:eastAsia="Times New Roman" w:hAnsi="Times New Roman"/>
                <w:bCs w:val="0"/>
                <w:sz w:val="24"/>
              </w:rPr>
            </w:pPr>
            <w:r w:rsidRPr="00493467">
              <w:rPr>
                <w:rFonts w:ascii="Times New Roman" w:hAnsi="Times New Roman"/>
                <w:sz w:val="24"/>
              </w:rPr>
              <w:t>V tomto řádku se uvede celková výše ztrát z operačního rizika snížená o částku výtěžků uvedenou v řádku 6 a snížená o výši vyloučených ztrát uvedených v řádku 8.</w:t>
            </w:r>
          </w:p>
        </w:tc>
      </w:tr>
      <w:tr w:rsidR="00D740B8" w:rsidRPr="00493467" w14:paraId="1DE089DB"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FA6CB" w14:textId="77777777" w:rsidR="00D740B8" w:rsidRPr="00493467" w:rsidRDefault="00D740B8">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t>11</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E813C" w14:textId="77777777" w:rsidR="00D740B8" w:rsidRPr="00493467" w:rsidRDefault="00D740B8">
            <w:pPr>
              <w:autoSpaceDE w:val="0"/>
              <w:autoSpaceDN w:val="0"/>
              <w:adjustRightInd w:val="0"/>
              <w:spacing w:before="120" w:after="120"/>
              <w:rPr>
                <w:rStyle w:val="InstructionsTabelleberschrift"/>
                <w:rFonts w:ascii="Times New Roman" w:eastAsia="Times New Roman" w:hAnsi="Times New Roman"/>
                <w:bCs w:val="0"/>
                <w:sz w:val="24"/>
              </w:rPr>
            </w:pPr>
            <w:r w:rsidRPr="00493467">
              <w:rPr>
                <w:rFonts w:ascii="Times New Roman" w:hAnsi="Times New Roman"/>
                <w:sz w:val="24"/>
              </w:rPr>
              <w:t>Nepoužije se.</w:t>
            </w:r>
          </w:p>
        </w:tc>
      </w:tr>
      <w:tr w:rsidR="00D740B8" w:rsidRPr="00493467" w14:paraId="23D23702"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54CBB" w14:textId="77777777" w:rsidR="00D740B8" w:rsidRPr="00493467" w:rsidRDefault="00D740B8">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t>12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D8849" w14:textId="77777777" w:rsidR="00D740B8" w:rsidRPr="00493467" w:rsidRDefault="00D740B8">
            <w:pPr>
              <w:spacing w:before="120" w:after="120"/>
              <w:jc w:val="both"/>
              <w:rPr>
                <w:rStyle w:val="InstructionsTabelleberschrift"/>
                <w:rFonts w:ascii="Times New Roman" w:eastAsia="Times New Roman" w:hAnsi="Times New Roman"/>
                <w:b w:val="0"/>
                <w:bCs w:val="0"/>
                <w:sz w:val="24"/>
                <w:u w:val="none"/>
              </w:rPr>
            </w:pPr>
            <w:r w:rsidRPr="00493467">
              <w:rPr>
                <w:rStyle w:val="InstructionsTabelleberschrift"/>
                <w:rFonts w:ascii="Times New Roman" w:hAnsi="Times New Roman"/>
                <w:b w:val="0"/>
                <w:sz w:val="24"/>
                <w:u w:val="none"/>
              </w:rPr>
              <w:t>Nepoužije se.</w:t>
            </w:r>
          </w:p>
        </w:tc>
      </w:tr>
      <w:tr w:rsidR="00D740B8" w:rsidRPr="00493467" w14:paraId="5EEF83F8"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4FD13" w14:textId="77777777" w:rsidR="00D740B8" w:rsidRPr="00493467" w:rsidRDefault="00D740B8">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t>13</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DA855" w14:textId="77777777" w:rsidR="00D740B8" w:rsidRPr="00493467" w:rsidRDefault="00D740B8">
            <w:pPr>
              <w:spacing w:before="120" w:after="120"/>
              <w:jc w:val="both"/>
              <w:rPr>
                <w:rStyle w:val="InstructionsTabelleberschrift"/>
                <w:rFonts w:ascii="Times New Roman" w:eastAsia="Times New Roman" w:hAnsi="Times New Roman"/>
                <w:b w:val="0"/>
                <w:bCs w:val="0"/>
                <w:sz w:val="24"/>
                <w:u w:val="none"/>
              </w:rPr>
            </w:pPr>
            <w:r w:rsidRPr="00493467">
              <w:rPr>
                <w:rStyle w:val="InstructionsTabelleberschrift"/>
                <w:rFonts w:ascii="Times New Roman" w:hAnsi="Times New Roman"/>
                <w:b w:val="0"/>
                <w:sz w:val="24"/>
                <w:u w:val="none"/>
              </w:rPr>
              <w:t>Nepoužije se.</w:t>
            </w:r>
          </w:p>
        </w:tc>
      </w:tr>
    </w:tbl>
    <w:p w14:paraId="25A698B0" w14:textId="77777777" w:rsidR="00D740B8" w:rsidRPr="00493467" w:rsidRDefault="00D740B8" w:rsidP="00D740B8">
      <w:pPr>
        <w:pStyle w:val="InstructionsText2"/>
        <w:numPr>
          <w:ilvl w:val="0"/>
          <w:numId w:val="0"/>
        </w:numPr>
        <w:ind w:left="360"/>
        <w:rPr>
          <w:lang w:val="en-US"/>
        </w:rPr>
      </w:pPr>
    </w:p>
    <w:p w14:paraId="033C5861" w14:textId="77777777" w:rsidR="00D740B8" w:rsidRPr="00493467" w:rsidRDefault="00D740B8" w:rsidP="00D740B8">
      <w:pPr>
        <w:jc w:val="both"/>
        <w:rPr>
          <w:rFonts w:ascii="Times New Roman" w:hAnsi="Times New Roman" w:cs="Times New Roman"/>
          <w:bCs/>
          <w:sz w:val="24"/>
        </w:rPr>
      </w:pPr>
      <w:r w:rsidRPr="00493467">
        <w:rPr>
          <w:rFonts w:ascii="Times New Roman" w:hAnsi="Times New Roman"/>
          <w:b/>
          <w:sz w:val="24"/>
        </w:rPr>
        <w:t xml:space="preserve">Šablona EU OR2 – Obchodní ukazatel, složky a dílčí složky. </w:t>
      </w:r>
      <w:r w:rsidRPr="00493467">
        <w:rPr>
          <w:rFonts w:ascii="Times New Roman" w:hAnsi="Times New Roman"/>
          <w:sz w:val="24"/>
        </w:rPr>
        <w:t>Šablona s pevným formátem</w:t>
      </w:r>
    </w:p>
    <w:p w14:paraId="3D173CCF" w14:textId="77777777" w:rsidR="00D740B8" w:rsidRPr="00493467" w:rsidRDefault="00D740B8" w:rsidP="00D740B8">
      <w:pPr>
        <w:ind w:left="360"/>
        <w:jc w:val="both"/>
        <w:rPr>
          <w:rFonts w:ascii="Times New Roman" w:hAnsi="Times New Roman" w:cs="Times New Roman"/>
          <w:bCs/>
          <w:sz w:val="24"/>
        </w:rPr>
      </w:pPr>
    </w:p>
    <w:p w14:paraId="3F849430" w14:textId="414C531B" w:rsidR="00D740B8" w:rsidRPr="00493467" w:rsidRDefault="00D740B8" w:rsidP="00D740B8">
      <w:pPr>
        <w:numPr>
          <w:ilvl w:val="0"/>
          <w:numId w:val="1"/>
        </w:numPr>
        <w:jc w:val="both"/>
        <w:rPr>
          <w:rFonts w:ascii="Times New Roman" w:hAnsi="Times New Roman" w:cs="Times New Roman"/>
          <w:bCs/>
          <w:sz w:val="24"/>
        </w:rPr>
      </w:pPr>
      <w:r w:rsidRPr="00493467">
        <w:rPr>
          <w:rFonts w:ascii="Times New Roman" w:hAnsi="Times New Roman"/>
          <w:sz w:val="24"/>
        </w:rPr>
        <w:t>Instituce zpřístupňují informace uvedené v šabloně EU OR2 v souladu s čl. 446 odst. 1 písm. c) a d) nařízení (EU) č. 575/2013. Tato šablona poskytuje informace o výpočtu složky obchodního ukazatele (BIC) v souladu s článkem 313 nařízení (EU) č. 575/2013 a o výpočtu složek a dílčích složek obchodního ukazatele (BI) v souladu s článkem 314 nařízení (EU) č. 575/2013. V této šabloně jsou navíc v souladu s čl. 315 odst. 2 uvedeny také informace o částkách vyloučených z obchodního ukazatele v souvislosti s odprodanými subjekty nebo ukončenými činnostmi.</w:t>
      </w:r>
    </w:p>
    <w:p w14:paraId="5C35CEC0" w14:textId="77777777" w:rsidR="00D740B8" w:rsidRPr="00493467" w:rsidRDefault="00D740B8" w:rsidP="00D740B8">
      <w:pPr>
        <w:ind w:left="360"/>
        <w:jc w:val="both"/>
        <w:rPr>
          <w:rFonts w:ascii="Times New Roman" w:hAnsi="Times New Roman" w:cs="Times New Roman"/>
          <w:bCs/>
          <w:sz w:val="24"/>
        </w:rPr>
      </w:pPr>
    </w:p>
    <w:p w14:paraId="1749895F" w14:textId="07869965" w:rsidR="00D740B8" w:rsidRPr="00493467" w:rsidRDefault="00D740B8" w:rsidP="00D740B8">
      <w:pPr>
        <w:numPr>
          <w:ilvl w:val="0"/>
          <w:numId w:val="1"/>
        </w:numPr>
        <w:jc w:val="both"/>
        <w:rPr>
          <w:rFonts w:ascii="Times New Roman" w:hAnsi="Times New Roman" w:cs="Times New Roman"/>
          <w:bCs/>
          <w:sz w:val="24"/>
        </w:rPr>
      </w:pPr>
      <w:r w:rsidRPr="00493467">
        <w:rPr>
          <w:rFonts w:ascii="Times New Roman" w:hAnsi="Times New Roman"/>
          <w:sz w:val="24"/>
        </w:rPr>
        <w:t>Za každé z posledních tří účetních období zpřístupňují instituce informace o hodnotě příslušného seznamu položek, které by měly být součástí výpočtu dílčích složek obchodního ukazatele, jež přispívají k výpočtu kapitálových požadavků vztahujících se k operačnímu riziku.</w:t>
      </w:r>
    </w:p>
    <w:p w14:paraId="7B27D162" w14:textId="77777777" w:rsidR="00D740B8" w:rsidRPr="00493467" w:rsidRDefault="00D740B8" w:rsidP="00D740B8">
      <w:pPr>
        <w:pStyle w:val="ListParagraph"/>
        <w:rPr>
          <w:rFonts w:ascii="Times New Roman" w:hAnsi="Times New Roman"/>
          <w:bCs/>
          <w:sz w:val="24"/>
        </w:rPr>
      </w:pPr>
    </w:p>
    <w:p w14:paraId="41988E91" w14:textId="281D16EA" w:rsidR="00D740B8" w:rsidRPr="00493467" w:rsidRDefault="00D740B8" w:rsidP="00D740B8">
      <w:pPr>
        <w:numPr>
          <w:ilvl w:val="0"/>
          <w:numId w:val="1"/>
        </w:numPr>
        <w:jc w:val="both"/>
        <w:rPr>
          <w:rFonts w:ascii="Times New Roman" w:hAnsi="Times New Roman" w:cs="Times New Roman"/>
          <w:bCs/>
          <w:sz w:val="24"/>
        </w:rPr>
      </w:pPr>
      <w:r w:rsidRPr="00493467">
        <w:rPr>
          <w:rFonts w:ascii="Times New Roman" w:hAnsi="Times New Roman"/>
          <w:sz w:val="24"/>
        </w:rPr>
        <w:t>V souladu s čl. 314 odst. 8 nařízení (EU) č. 575/2013 vykazují instituce v případě, že nejsou k dispozici historické údaje, výhledové obchodní odhady.</w:t>
      </w:r>
    </w:p>
    <w:p w14:paraId="14A23528" w14:textId="485ED75C" w:rsidR="00D740B8" w:rsidRPr="00493467" w:rsidRDefault="00D740B8" w:rsidP="00D740B8">
      <w:pPr>
        <w:pStyle w:val="numberedparagraph"/>
        <w:numPr>
          <w:ilvl w:val="0"/>
          <w:numId w:val="1"/>
        </w:numPr>
        <w:rPr>
          <w:rFonts w:ascii="Times New Roman" w:hAnsi="Times New Roman" w:cs="Times New Roman"/>
          <w:sz w:val="24"/>
        </w:rPr>
      </w:pPr>
      <w:r w:rsidRPr="00493467">
        <w:rPr>
          <w:rFonts w:ascii="Times New Roman" w:hAnsi="Times New Roman"/>
          <w:sz w:val="24"/>
        </w:rPr>
        <w:t>Má-li instituce k dispozici údaje týkající se podrobných položek, které spadají do složek obchodního ukazatele, za méně než 3 roky, dostupné historické údaje se podle priority přiřadí do odpovídajících sloupců šablony. Pokud mají instituce k dispozici historické údaje týkající se složek obchodního ukazatele pouze za jeden rok, uvedou se tyto údaje ve sloupci odpovídajícím nejbližšímu roku (např. „minulý rok“). Pokud se to jeví jako přiměřené, výhledové odhady se zahrnou do roku T-1 resp. do roku T-2, dokud nebudou tyto údaje k dispozici.</w:t>
      </w:r>
    </w:p>
    <w:p w14:paraId="2DDE0943" w14:textId="7F04DC41" w:rsidR="00D740B8" w:rsidRPr="00493467" w:rsidRDefault="00D740B8" w:rsidP="00D740B8">
      <w:pPr>
        <w:pStyle w:val="numberedparagraph"/>
        <w:numPr>
          <w:ilvl w:val="0"/>
          <w:numId w:val="1"/>
        </w:numPr>
        <w:rPr>
          <w:rFonts w:ascii="Times New Roman" w:hAnsi="Times New Roman" w:cs="Times New Roman"/>
          <w:sz w:val="24"/>
        </w:rPr>
      </w:pPr>
      <w:r w:rsidRPr="00493467">
        <w:rPr>
          <w:rFonts w:ascii="Times New Roman" w:hAnsi="Times New Roman"/>
          <w:sz w:val="24"/>
        </w:rPr>
        <w:t>Instituce nezahrnou do podpoložek, které jsou součástí výpočtu úrokové, leasingové a dividendové složky (ILDC), údaje týkající se konkrétních dceřiných institucí, jejichž úroková, leasingová a dividendová složka se vypočítá samostatně v souladu s čl. 314 odst. 3 nařízení (EU) č. 575/2013.</w:t>
      </w:r>
    </w:p>
    <w:p w14:paraId="3512454B" w14:textId="27224DC8" w:rsidR="00841A0D" w:rsidRPr="00493467" w:rsidRDefault="00D740B8" w:rsidP="00D740B8">
      <w:pPr>
        <w:numPr>
          <w:ilvl w:val="0"/>
          <w:numId w:val="1"/>
        </w:numPr>
        <w:jc w:val="both"/>
        <w:rPr>
          <w:rFonts w:ascii="Times New Roman" w:hAnsi="Times New Roman" w:cs="Times New Roman"/>
          <w:bCs/>
          <w:sz w:val="24"/>
        </w:rPr>
      </w:pPr>
      <w:r w:rsidRPr="00493467">
        <w:rPr>
          <w:rFonts w:ascii="Times New Roman" w:hAnsi="Times New Roman"/>
          <w:sz w:val="24"/>
        </w:rPr>
        <w:t>Instituce nezahrnou do podpoložek, které jsou součástí výpočtu úrokové, leasingové a dividendové složky, údaje z linií podnikání retailového bankovnictví a/nebo komerčního bankovnictví v případech, kdy instituce obdržela svolení k použití čl. 314 odst. 4 nařízení (EU) č. 575/2013.</w:t>
      </w:r>
    </w:p>
    <w:p w14:paraId="22AE3E22" w14:textId="77777777" w:rsidR="00841A0D" w:rsidRPr="00493467" w:rsidRDefault="00841A0D" w:rsidP="00841A0D">
      <w:pPr>
        <w:ind w:left="360"/>
        <w:jc w:val="both"/>
        <w:rPr>
          <w:rFonts w:ascii="Times New Roman" w:hAnsi="Times New Roman" w:cs="Times New Roman"/>
          <w:bCs/>
          <w:sz w:val="24"/>
        </w:rPr>
      </w:pPr>
    </w:p>
    <w:p w14:paraId="3A161EFD" w14:textId="7882B43A" w:rsidR="00D740B8" w:rsidRPr="00493467" w:rsidRDefault="003826D3" w:rsidP="00D740B8">
      <w:pPr>
        <w:numPr>
          <w:ilvl w:val="0"/>
          <w:numId w:val="1"/>
        </w:numPr>
        <w:jc w:val="both"/>
        <w:rPr>
          <w:rFonts w:ascii="Times New Roman" w:hAnsi="Times New Roman" w:cs="Times New Roman"/>
          <w:bCs/>
          <w:sz w:val="24"/>
        </w:rPr>
      </w:pPr>
      <w:r w:rsidRPr="00493467">
        <w:rPr>
          <w:rFonts w:ascii="Times New Roman" w:hAnsi="Times New Roman"/>
          <w:sz w:val="24"/>
        </w:rPr>
        <w:t>Instituce však v řádku 1 vykazují celkovou hodnotu úrokové, leasingové a dividendové složky včetně částek vypočtených v souladu s čl. 314 odst. 3 nařízení (EU) č. 575/2013. V řádku EU 1 se vykazuje rovněž úroková, leasingová a dividendová složka s vyloučením subjektů uvedených v čl. 314 odst. 3.</w:t>
      </w:r>
    </w:p>
    <w:p w14:paraId="7DAFACF8" w14:textId="77777777" w:rsidR="00D740B8" w:rsidRPr="00493467" w:rsidRDefault="00D740B8" w:rsidP="00D740B8">
      <w:pPr>
        <w:ind w:left="360"/>
        <w:jc w:val="both"/>
        <w:rPr>
          <w:rFonts w:ascii="Times New Roman" w:hAnsi="Times New Roman" w:cs="Times New Roman"/>
          <w:bCs/>
          <w:sz w:val="24"/>
        </w:rPr>
      </w:pPr>
    </w:p>
    <w:p w14:paraId="578B96DC" w14:textId="494916C5" w:rsidR="00D740B8" w:rsidRPr="00493467" w:rsidRDefault="00D740B8" w:rsidP="00D740B8">
      <w:pPr>
        <w:numPr>
          <w:ilvl w:val="0"/>
          <w:numId w:val="1"/>
        </w:numPr>
        <w:jc w:val="both"/>
        <w:rPr>
          <w:rFonts w:ascii="Times New Roman" w:hAnsi="Times New Roman" w:cs="Times New Roman"/>
          <w:bCs/>
          <w:sz w:val="24"/>
        </w:rPr>
      </w:pPr>
      <w:r w:rsidRPr="00493467">
        <w:rPr>
          <w:rFonts w:ascii="Times New Roman" w:hAnsi="Times New Roman"/>
          <w:sz w:val="24"/>
        </w:rPr>
        <w:t>V připojeném komentáři instituce v souladu s čl. 446 odst. 1 nařízení (EU) č. 575/2013 zveřejní odůvodnění každého vyloučení z obchodního ukazatele s výjimkou vyloučení linií podnikání retailového a komerčního bankovnictví uvedených v čl. 314 odst. 4.</w:t>
      </w:r>
    </w:p>
    <w:p w14:paraId="22C673C4" w14:textId="77777777" w:rsidR="00393FEF" w:rsidRPr="00493467" w:rsidRDefault="00393FEF" w:rsidP="00532CFA">
      <w:pPr>
        <w:pStyle w:val="ListParagraph"/>
        <w:rPr>
          <w:rFonts w:ascii="Times New Roman" w:hAnsi="Times New Roman"/>
          <w:bCs/>
          <w:sz w:val="24"/>
        </w:rPr>
      </w:pPr>
    </w:p>
    <w:p w14:paraId="7DD11602" w14:textId="2BC0B288" w:rsidR="00393FEF" w:rsidRPr="00493467" w:rsidRDefault="006020C0" w:rsidP="00D740B8">
      <w:pPr>
        <w:numPr>
          <w:ilvl w:val="0"/>
          <w:numId w:val="1"/>
        </w:numPr>
        <w:jc w:val="both"/>
        <w:rPr>
          <w:rFonts w:ascii="Times New Roman" w:hAnsi="Times New Roman" w:cs="Times New Roman"/>
          <w:bCs/>
          <w:sz w:val="24"/>
        </w:rPr>
      </w:pPr>
      <w:r w:rsidRPr="00493467">
        <w:rPr>
          <w:rFonts w:ascii="Times New Roman" w:hAnsi="Times New Roman"/>
          <w:sz w:val="24"/>
        </w:rPr>
        <w:t>Vzhledem k úzké vazbě mezi požadavky na zpřístupňování informací o operačním riziku a účetními závěrkami instituce byly v pokynech zohledněny odkazy na požadavky na vykazování uvedené v příloze V řešení orgánu EBA v oblasti informačních technologií (FINREP).</w:t>
      </w:r>
    </w:p>
    <w:p w14:paraId="1D4913E2" w14:textId="77777777" w:rsidR="00DD1D82" w:rsidRPr="00493467" w:rsidRDefault="00DD1D82" w:rsidP="00DD1D82">
      <w:pPr>
        <w:pStyle w:val="ListParagraph"/>
        <w:rPr>
          <w:rFonts w:ascii="Times New Roman" w:hAnsi="Times New Roman"/>
          <w:bCs/>
          <w:sz w:val="24"/>
        </w:rPr>
      </w:pPr>
    </w:p>
    <w:p w14:paraId="11E51AFD" w14:textId="3D720718" w:rsidR="00DD1D82" w:rsidRPr="00493467" w:rsidRDefault="00050ABA" w:rsidP="001257B6">
      <w:pPr>
        <w:numPr>
          <w:ilvl w:val="0"/>
          <w:numId w:val="1"/>
        </w:numPr>
        <w:jc w:val="both"/>
        <w:rPr>
          <w:rFonts w:ascii="Times New Roman" w:hAnsi="Times New Roman" w:cs="Times New Roman"/>
          <w:bCs/>
          <w:sz w:val="24"/>
        </w:rPr>
      </w:pPr>
      <w:r w:rsidRPr="00493467">
        <w:rPr>
          <w:rFonts w:ascii="Times New Roman" w:hAnsi="Times New Roman"/>
          <w:sz w:val="24"/>
        </w:rPr>
        <w:t>Konvence v oblasti znamének pro vyplnění této šablony jsou v souladu s konvencemi uvedenými v příloze V řešení orgánu EBA v oblasti informačních technologií.</w:t>
      </w:r>
    </w:p>
    <w:p w14:paraId="21275E00" w14:textId="77777777" w:rsidR="00D740B8" w:rsidRPr="00493467" w:rsidRDefault="00D740B8" w:rsidP="00D740B8">
      <w:pPr>
        <w:pStyle w:val="ListParagraph"/>
        <w:rPr>
          <w:rFonts w:ascii="Times New Roman" w:hAnsi="Times New Roman"/>
          <w:bCs/>
          <w:sz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D740B8" w:rsidRPr="00493467" w14:paraId="069EA903" w14:textId="77777777">
        <w:trPr>
          <w:trHeight w:val="300"/>
        </w:trPr>
        <w:tc>
          <w:tcPr>
            <w:tcW w:w="1260" w:type="dxa"/>
            <w:shd w:val="clear" w:color="auto" w:fill="BFBFBF" w:themeFill="background1" w:themeFillShade="BF"/>
          </w:tcPr>
          <w:p w14:paraId="7E4DE4F0" w14:textId="77777777" w:rsidR="00D740B8" w:rsidRPr="00493467" w:rsidRDefault="00D740B8">
            <w:pPr>
              <w:autoSpaceDE w:val="0"/>
              <w:autoSpaceDN w:val="0"/>
              <w:adjustRightInd w:val="0"/>
              <w:rPr>
                <w:rFonts w:ascii="Times New Roman" w:hAnsi="Times New Roman" w:cs="Times New Roman"/>
                <w:b/>
                <w:sz w:val="24"/>
              </w:rPr>
            </w:pPr>
            <w:r w:rsidRPr="00493467">
              <w:rPr>
                <w:rFonts w:ascii="Times New Roman" w:hAnsi="Times New Roman"/>
                <w:b/>
                <w:sz w:val="24"/>
              </w:rPr>
              <w:t>Sloupec</w:t>
            </w:r>
          </w:p>
        </w:tc>
        <w:tc>
          <w:tcPr>
            <w:tcW w:w="7756" w:type="dxa"/>
            <w:shd w:val="clear" w:color="auto" w:fill="BFBFBF" w:themeFill="background1" w:themeFillShade="BF"/>
          </w:tcPr>
          <w:p w14:paraId="0D54BB35" w14:textId="77777777" w:rsidR="00D740B8" w:rsidRPr="00493467" w:rsidDel="00B46ADB" w:rsidRDefault="00D740B8">
            <w:pPr>
              <w:autoSpaceDE w:val="0"/>
              <w:autoSpaceDN w:val="0"/>
              <w:adjustRightInd w:val="0"/>
              <w:rPr>
                <w:bCs/>
              </w:rPr>
            </w:pPr>
            <w:r w:rsidRPr="00493467">
              <w:rPr>
                <w:rFonts w:ascii="Times New Roman" w:hAnsi="Times New Roman"/>
                <w:b/>
                <w:sz w:val="24"/>
              </w:rPr>
              <w:t>Odkazy na právní předpisy a pokyny</w:t>
            </w:r>
          </w:p>
        </w:tc>
      </w:tr>
      <w:tr w:rsidR="00D740B8" w:rsidRPr="00493467" w14:paraId="7AE7216D" w14:textId="77777777">
        <w:trPr>
          <w:trHeight w:val="300"/>
        </w:trPr>
        <w:tc>
          <w:tcPr>
            <w:tcW w:w="1260" w:type="dxa"/>
          </w:tcPr>
          <w:p w14:paraId="0FC699E1" w14:textId="0D76C831" w:rsidR="00D740B8" w:rsidRPr="00493467" w:rsidRDefault="00D740B8" w:rsidP="00165BEF">
            <w:pPr>
              <w:autoSpaceDE w:val="0"/>
              <w:autoSpaceDN w:val="0"/>
              <w:adjustRightInd w:val="0"/>
              <w:jc w:val="center"/>
              <w:rPr>
                <w:rFonts w:ascii="Times New Roman" w:hAnsi="Times New Roman"/>
                <w:bCs/>
                <w:sz w:val="24"/>
              </w:rPr>
            </w:pPr>
            <w:r w:rsidRPr="00493467">
              <w:rPr>
                <w:rFonts w:ascii="Times New Roman" w:hAnsi="Times New Roman"/>
                <w:sz w:val="24"/>
              </w:rPr>
              <w:t>a, b, c</w:t>
            </w:r>
          </w:p>
        </w:tc>
        <w:tc>
          <w:tcPr>
            <w:tcW w:w="7756" w:type="dxa"/>
          </w:tcPr>
          <w:p w14:paraId="510A12A5" w14:textId="13FB6D98" w:rsidR="00D740B8" w:rsidRPr="00493467" w:rsidRDefault="00D740B8">
            <w:pPr>
              <w:autoSpaceDE w:val="0"/>
              <w:autoSpaceDN w:val="0"/>
              <w:adjustRightInd w:val="0"/>
              <w:rPr>
                <w:rStyle w:val="InstructionsTabelleberschrift"/>
                <w:rFonts w:ascii="Times New Roman" w:hAnsi="Times New Roman"/>
                <w:sz w:val="24"/>
                <w:u w:val="none"/>
              </w:rPr>
            </w:pPr>
            <w:r w:rsidRPr="00493467">
              <w:rPr>
                <w:rStyle w:val="InstructionsTabelleberschrift"/>
                <w:rFonts w:ascii="Times New Roman" w:hAnsi="Times New Roman"/>
                <w:sz w:val="24"/>
                <w:u w:val="none"/>
              </w:rPr>
              <w:t>Hodnota</w:t>
            </w:r>
          </w:p>
          <w:p w14:paraId="0A7A2FD7" w14:textId="77777777" w:rsidR="00D740B8" w:rsidRPr="00493467" w:rsidRDefault="00D740B8">
            <w:pPr>
              <w:rPr>
                <w:rFonts w:ascii="Times New Roman" w:hAnsi="Times New Roman"/>
                <w:sz w:val="24"/>
                <w:lang w:eastAsia="de-DE"/>
              </w:rPr>
            </w:pPr>
          </w:p>
          <w:p w14:paraId="0C8A142A" w14:textId="4CAB13C5" w:rsidR="00D740B8" w:rsidRPr="00493467" w:rsidRDefault="00D740B8">
            <w:pPr>
              <w:autoSpaceDE w:val="0"/>
              <w:autoSpaceDN w:val="0"/>
              <w:adjustRightInd w:val="0"/>
              <w:rPr>
                <w:rFonts w:ascii="Times New Roman" w:hAnsi="Times New Roman" w:cs="Times New Roman"/>
                <w:bCs/>
                <w:sz w:val="24"/>
              </w:rPr>
            </w:pPr>
            <w:r w:rsidRPr="00493467">
              <w:rPr>
                <w:rFonts w:ascii="Times New Roman" w:hAnsi="Times New Roman"/>
                <w:sz w:val="24"/>
              </w:rPr>
              <w:t>Ustanovení čl. 446 odst. 1 písm. d) a čl. 314 odst. 1 nařízení (EU) č. 575/2013.</w:t>
            </w:r>
          </w:p>
          <w:p w14:paraId="7883915F" w14:textId="77777777" w:rsidR="00D740B8" w:rsidRPr="00493467" w:rsidRDefault="00D740B8">
            <w:pPr>
              <w:autoSpaceDE w:val="0"/>
              <w:autoSpaceDN w:val="0"/>
              <w:adjustRightInd w:val="0"/>
              <w:rPr>
                <w:rFonts w:ascii="Times New Roman" w:hAnsi="Times New Roman"/>
                <w:bCs/>
                <w:sz w:val="24"/>
                <w:lang w:eastAsia="nl-BE"/>
              </w:rPr>
            </w:pPr>
          </w:p>
          <w:p w14:paraId="558CD9DA" w14:textId="2FA81485" w:rsidR="00EA10B1" w:rsidRPr="00493467" w:rsidRDefault="002F3CFA">
            <w:pPr>
              <w:pStyle w:val="paragraph"/>
              <w:spacing w:before="0" w:beforeAutospacing="0" w:after="0" w:afterAutospacing="0"/>
              <w:textAlignment w:val="baseline"/>
            </w:pPr>
            <w:r w:rsidRPr="00493467">
              <w:t>Hodnota pro seznam položek, které jsou součástí výpočtu obchodního ukazatele a jeho složek (výpočet úrokové, leasingové a dividendové složky (ILDC), složky služeb (SC) a finanční složky (FC)) v souladu s účetními standardy platnými pro každé z posledních tří účetních období.</w:t>
            </w:r>
          </w:p>
          <w:p w14:paraId="3414DDFE" w14:textId="77777777" w:rsidR="007B3E62" w:rsidRPr="00493467" w:rsidRDefault="007B3E62">
            <w:pPr>
              <w:pStyle w:val="paragraph"/>
              <w:spacing w:before="0" w:beforeAutospacing="0" w:after="0" w:afterAutospacing="0"/>
              <w:textAlignment w:val="baseline"/>
              <w:rPr>
                <w:lang w:eastAsia="de-DE"/>
              </w:rPr>
            </w:pPr>
          </w:p>
          <w:p w14:paraId="374E1BCA" w14:textId="5E2803E9" w:rsidR="007B3E62" w:rsidRPr="00493467" w:rsidRDefault="00B76B25">
            <w:pPr>
              <w:pStyle w:val="paragraph"/>
              <w:spacing w:before="0" w:beforeAutospacing="0" w:after="0" w:afterAutospacing="0"/>
              <w:textAlignment w:val="baseline"/>
            </w:pPr>
            <w:r w:rsidRPr="00493467">
              <w:t>Částky se vykazují po provedení úprav v souvislosti s fúzemi/nabytím a ukončovanými činnostmi.</w:t>
            </w:r>
          </w:p>
          <w:p w14:paraId="00BACA37" w14:textId="77777777" w:rsidR="00EA10B1" w:rsidRPr="00493467" w:rsidRDefault="00EA10B1">
            <w:pPr>
              <w:pStyle w:val="paragraph"/>
              <w:spacing w:before="0" w:beforeAutospacing="0" w:after="0" w:afterAutospacing="0"/>
              <w:textAlignment w:val="baseline"/>
              <w:rPr>
                <w:lang w:eastAsia="de-DE"/>
              </w:rPr>
            </w:pPr>
          </w:p>
          <w:p w14:paraId="21635601" w14:textId="1A8DE566" w:rsidR="00D740B8" w:rsidRPr="00493467" w:rsidRDefault="00D740B8" w:rsidP="000F6C61">
            <w:pPr>
              <w:pStyle w:val="paragraph"/>
              <w:spacing w:before="0" w:beforeAutospacing="0" w:after="0" w:afterAutospacing="0"/>
              <w:textAlignment w:val="baseline"/>
            </w:pPr>
            <w:r w:rsidRPr="00493467">
              <w:t>V případě finanční složky budou hodnoty, které mají být zpřístupněny, odrážet účetní hodnoty určené pomocí účetní hranice nebo obezřetnostní hranice (přístup založený na obezřetnostní hranici – PBA) k identifikaci položek obchodního portfolia a investičního portfolia pro každé z posledních 3 účetních období v souladu s čl. 314 odst. 6 nařízení (EU) č. 575/2013.</w:t>
            </w:r>
          </w:p>
        </w:tc>
      </w:tr>
      <w:tr w:rsidR="00D740B8" w:rsidRPr="00493467" w14:paraId="3103AD05" w14:textId="77777777">
        <w:trPr>
          <w:trHeight w:val="300"/>
        </w:trPr>
        <w:tc>
          <w:tcPr>
            <w:tcW w:w="1260" w:type="dxa"/>
          </w:tcPr>
          <w:p w14:paraId="0FFA543A" w14:textId="77777777" w:rsidR="00D740B8" w:rsidRPr="00493467" w:rsidRDefault="00D740B8" w:rsidP="00165BEF">
            <w:pPr>
              <w:autoSpaceDE w:val="0"/>
              <w:autoSpaceDN w:val="0"/>
              <w:adjustRightInd w:val="0"/>
              <w:jc w:val="center"/>
              <w:rPr>
                <w:rFonts w:ascii="Times New Roman" w:hAnsi="Times New Roman"/>
                <w:bCs/>
                <w:sz w:val="24"/>
              </w:rPr>
            </w:pPr>
            <w:r w:rsidRPr="00493467">
              <w:rPr>
                <w:rFonts w:ascii="Times New Roman" w:hAnsi="Times New Roman"/>
                <w:sz w:val="24"/>
              </w:rPr>
              <w:t>d</w:t>
            </w:r>
          </w:p>
        </w:tc>
        <w:tc>
          <w:tcPr>
            <w:tcW w:w="7756" w:type="dxa"/>
          </w:tcPr>
          <w:p w14:paraId="117DF1D7" w14:textId="77777777" w:rsidR="00D740B8" w:rsidRPr="00493467" w:rsidRDefault="00D740B8">
            <w:pPr>
              <w:autoSpaceDE w:val="0"/>
              <w:autoSpaceDN w:val="0"/>
              <w:adjustRightInd w:val="0"/>
              <w:rPr>
                <w:rStyle w:val="InstructionsTabelleberschrift"/>
                <w:rFonts w:ascii="Times New Roman" w:hAnsi="Times New Roman"/>
                <w:sz w:val="24"/>
                <w:u w:val="none"/>
              </w:rPr>
            </w:pPr>
            <w:r w:rsidRPr="00493467">
              <w:rPr>
                <w:rStyle w:val="InstructionsTabelleberschrift"/>
                <w:rFonts w:ascii="Times New Roman" w:hAnsi="Times New Roman"/>
                <w:sz w:val="24"/>
                <w:u w:val="none"/>
              </w:rPr>
              <w:t>Průměrné hodnoty</w:t>
            </w:r>
          </w:p>
          <w:p w14:paraId="27B3847F" w14:textId="77777777" w:rsidR="00D740B8" w:rsidRPr="00493467" w:rsidRDefault="00D740B8">
            <w:pPr>
              <w:autoSpaceDE w:val="0"/>
              <w:autoSpaceDN w:val="0"/>
              <w:adjustRightInd w:val="0"/>
              <w:rPr>
                <w:rFonts w:ascii="Times New Roman" w:hAnsi="Times New Roman"/>
                <w:sz w:val="24"/>
                <w:lang w:eastAsia="de-DE"/>
              </w:rPr>
            </w:pPr>
          </w:p>
          <w:p w14:paraId="2CEEC93D" w14:textId="277817D6" w:rsidR="00D740B8" w:rsidRPr="00493467" w:rsidRDefault="00D740B8">
            <w:pPr>
              <w:autoSpaceDE w:val="0"/>
              <w:autoSpaceDN w:val="0"/>
              <w:adjustRightInd w:val="0"/>
              <w:rPr>
                <w:rFonts w:ascii="Times New Roman" w:hAnsi="Times New Roman" w:cs="Times New Roman"/>
                <w:bCs/>
                <w:sz w:val="24"/>
              </w:rPr>
            </w:pPr>
            <w:r w:rsidRPr="00493467">
              <w:rPr>
                <w:rFonts w:ascii="Times New Roman" w:hAnsi="Times New Roman"/>
                <w:sz w:val="24"/>
              </w:rPr>
              <w:t>Ustanovení čl. 314 odst. 2, 5 a 6 nařízení (EU) č. 575/2013.</w:t>
            </w:r>
          </w:p>
          <w:p w14:paraId="5FAAFF7A" w14:textId="77777777" w:rsidR="00D740B8" w:rsidRPr="00493467" w:rsidRDefault="00D740B8">
            <w:pPr>
              <w:autoSpaceDE w:val="0"/>
              <w:autoSpaceDN w:val="0"/>
              <w:adjustRightInd w:val="0"/>
              <w:rPr>
                <w:rStyle w:val="InstructionsTabelleberschrift"/>
                <w:rFonts w:ascii="Times New Roman" w:hAnsi="Times New Roman"/>
                <w:sz w:val="24"/>
              </w:rPr>
            </w:pPr>
          </w:p>
          <w:p w14:paraId="3E17CEC0" w14:textId="402AFA6E" w:rsidR="00D740B8" w:rsidRPr="00493467" w:rsidRDefault="00D740B8">
            <w:pPr>
              <w:pStyle w:val="paragraph"/>
              <w:spacing w:before="0" w:beforeAutospacing="0" w:after="0" w:afterAutospacing="0"/>
              <w:textAlignment w:val="baseline"/>
              <w:rPr>
                <w:rStyle w:val="normaltextrun"/>
              </w:rPr>
            </w:pPr>
            <w:r w:rsidRPr="00493467">
              <w:rPr>
                <w:rStyle w:val="normaltextrun"/>
              </w:rPr>
              <w:t>Vypočtené hodnoty složek ILDC, SC a FC a průměrná hodnota souvisejících dílčích složek vypočítaná za poslední tři účetní období a vztahující se k roku T.</w:t>
            </w:r>
          </w:p>
          <w:p w14:paraId="32637704" w14:textId="35682543" w:rsidR="00D740B8" w:rsidRPr="00493467" w:rsidRDefault="00D740B8">
            <w:pPr>
              <w:pStyle w:val="paragraph"/>
              <w:spacing w:before="0" w:beforeAutospacing="0" w:after="0" w:afterAutospacing="0"/>
              <w:textAlignment w:val="baseline"/>
              <w:rPr>
                <w:rStyle w:val="normaltextrun"/>
              </w:rPr>
            </w:pPr>
          </w:p>
          <w:p w14:paraId="6C270BFC" w14:textId="453723AA" w:rsidR="00D740B8" w:rsidRPr="00493467" w:rsidRDefault="00D740B8" w:rsidP="008006BD">
            <w:pPr>
              <w:pStyle w:val="paragraph"/>
              <w:spacing w:before="0" w:beforeAutospacing="0" w:after="0" w:afterAutospacing="0"/>
              <w:textAlignment w:val="baseline"/>
              <w:rPr>
                <w:rStyle w:val="InstructionsTabelleberschrift"/>
                <w:rFonts w:ascii="Times New Roman" w:hAnsi="Times New Roman"/>
                <w:sz w:val="24"/>
              </w:rPr>
            </w:pPr>
            <w:r w:rsidRPr="00493467">
              <w:rPr>
                <w:rStyle w:val="normaltextrun"/>
              </w:rPr>
              <w:t xml:space="preserve">Průměr se vypočítá zohledněním účetních hodnot každého z posledních 3 účetních období. </w:t>
            </w:r>
          </w:p>
        </w:tc>
      </w:tr>
    </w:tbl>
    <w:p w14:paraId="75117700" w14:textId="77777777" w:rsidR="00D740B8" w:rsidRPr="00493467" w:rsidRDefault="00D740B8" w:rsidP="00D740B8">
      <w:pPr>
        <w:pStyle w:val="numberedparagraph"/>
        <w:numPr>
          <w:ilvl w:val="0"/>
          <w:numId w:val="0"/>
        </w:numPr>
        <w:ind w:left="284" w:hanging="284"/>
        <w:rPr>
          <w:rStyle w:val="InstructionsTabelleberschrif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493467" w14:paraId="60D9E4A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F2134" w14:textId="77777777" w:rsidR="00D740B8" w:rsidRPr="00493467" w:rsidRDefault="00D740B8">
            <w:pPr>
              <w:autoSpaceDE w:val="0"/>
              <w:autoSpaceDN w:val="0"/>
              <w:adjustRightInd w:val="0"/>
              <w:rPr>
                <w:rFonts w:ascii="Times New Roman" w:hAnsi="Times New Roman" w:cs="Times New Roman"/>
                <w:b/>
                <w:sz w:val="24"/>
              </w:rPr>
            </w:pPr>
            <w:r w:rsidRPr="00493467">
              <w:rPr>
                <w:rFonts w:ascii="Times New Roman" w:hAnsi="Times New Roman"/>
                <w:b/>
                <w:sz w:val="24"/>
              </w:rPr>
              <w:lastRenderedPageBreak/>
              <w:t>Řádek</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9870" w14:textId="77777777" w:rsidR="00D740B8" w:rsidRPr="00493467" w:rsidRDefault="00D740B8">
            <w:pPr>
              <w:rPr>
                <w:rFonts w:ascii="Times New Roman" w:hAnsi="Times New Roman" w:cs="Times New Roman"/>
                <w:b/>
                <w:sz w:val="24"/>
              </w:rPr>
            </w:pPr>
            <w:r w:rsidRPr="00493467">
              <w:rPr>
                <w:rFonts w:ascii="Times New Roman" w:hAnsi="Times New Roman"/>
                <w:b/>
                <w:sz w:val="24"/>
              </w:rPr>
              <w:t>Odkazy na právní předpisy a pokyny</w:t>
            </w:r>
          </w:p>
        </w:tc>
      </w:tr>
      <w:tr w:rsidR="00D740B8" w:rsidRPr="00493467" w14:paraId="1AE63B2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4D68" w14:textId="77777777" w:rsidR="00D740B8" w:rsidRPr="00493467" w:rsidRDefault="00D740B8">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1762DB" w14:textId="4BD6204F" w:rsidR="00D740B8" w:rsidRPr="00493467" w:rsidRDefault="00D740B8">
            <w:pPr>
              <w:spacing w:before="60" w:after="120"/>
              <w:jc w:val="both"/>
              <w:rPr>
                <w:rFonts w:ascii="Times New Roman" w:eastAsia="Times New Roman" w:hAnsi="Times New Roman" w:cs="Times New Roman"/>
                <w:b/>
                <w:sz w:val="24"/>
              </w:rPr>
            </w:pPr>
            <w:r w:rsidRPr="00493467">
              <w:rPr>
                <w:rFonts w:ascii="Times New Roman" w:hAnsi="Times New Roman"/>
                <w:b/>
                <w:sz w:val="24"/>
              </w:rPr>
              <w:t>Úroková, leasingová a dividendová složka (ILDC)</w:t>
            </w:r>
          </w:p>
          <w:p w14:paraId="78381763" w14:textId="2625CE0B" w:rsidR="00D740B8" w:rsidRPr="00493467" w:rsidRDefault="00D740B8">
            <w:pPr>
              <w:spacing w:before="60" w:after="120"/>
              <w:jc w:val="both"/>
              <w:rPr>
                <w:rFonts w:ascii="Times New Roman" w:eastAsia="Times New Roman" w:hAnsi="Times New Roman" w:cs="Times New Roman"/>
                <w:b/>
                <w:sz w:val="24"/>
              </w:rPr>
            </w:pPr>
            <w:r w:rsidRPr="00493467">
              <w:rPr>
                <w:rFonts w:ascii="Times New Roman" w:hAnsi="Times New Roman"/>
                <w:sz w:val="24"/>
              </w:rPr>
              <w:t>Úroková, leasingová a dividendová složka se vypočítá v souladu s čl. 314 odst. 2 nařízení (EU) č. 575/2013, v příslušných případech včetně částek vypočtených v souladu s čl. 314 odst. 3 nařízení (EU) č. 575/2013. Pokud se na instituci vztahuje odchylka uvedená v čl. 314 odst. 4 nařízení (EU) č. 575/2013, nezahrne instituce údaje z linií podnikání retailového a komerčního bankovnictví.</w:t>
            </w:r>
          </w:p>
        </w:tc>
      </w:tr>
      <w:tr w:rsidR="00456F97" w:rsidRPr="00493467" w14:paraId="2142E78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650228B" w14:textId="2F42AD3B" w:rsidR="00456F97" w:rsidRPr="00493467" w:rsidRDefault="00E03FA1">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ED9357" w14:textId="2BE8631A" w:rsidR="00456F97" w:rsidRPr="00493467" w:rsidRDefault="00E2624F">
            <w:pPr>
              <w:spacing w:before="60" w:after="120"/>
              <w:jc w:val="both"/>
              <w:rPr>
                <w:rFonts w:ascii="Times New Roman" w:eastAsia="Times New Roman" w:hAnsi="Times New Roman" w:cs="Times New Roman"/>
                <w:b/>
                <w:sz w:val="24"/>
              </w:rPr>
            </w:pPr>
            <w:r w:rsidRPr="00493467">
              <w:rPr>
                <w:rFonts w:ascii="Times New Roman" w:hAnsi="Times New Roman"/>
                <w:b/>
                <w:sz w:val="24"/>
              </w:rPr>
              <w:t>Úroková, leasingová a dividendová složka týkající se jednotlivé instituce / konsolidované skupiny (s výjimkou subjektů uvedených v čl. 314 odst. 3)</w:t>
            </w:r>
          </w:p>
          <w:p w14:paraId="3B4A0231" w14:textId="6A33703B" w:rsidR="00E2624F" w:rsidRPr="00493467" w:rsidRDefault="00E2624F" w:rsidP="00413B96">
            <w:pPr>
              <w:rPr>
                <w:rFonts w:ascii="Times New Roman" w:hAnsi="Times New Roman"/>
                <w:color w:val="000000" w:themeColor="text1"/>
                <w:sz w:val="24"/>
              </w:rPr>
            </w:pPr>
            <w:r w:rsidRPr="00493467">
              <w:rPr>
                <w:rFonts w:ascii="Times New Roman" w:hAnsi="Times New Roman"/>
                <w:sz w:val="24"/>
              </w:rPr>
              <w:t>Úroková, leasingová a dividendová složka (ILDC) vypočítaná v souladu s čl. 314 odst. 2 nařízení (EU) č. 575/2013, bez zahrnutí údajů, které jsou součástí výpočtu složky ILDC v případech, kdy instituce uplatňuje odchylku v souladu s čl. 314 odst. 3 nařízení (EU) č. 575/2013.</w:t>
            </w:r>
          </w:p>
        </w:tc>
      </w:tr>
      <w:tr w:rsidR="00D740B8" w:rsidRPr="00493467" w14:paraId="687AA3E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5F19" w14:textId="77777777" w:rsidR="00D740B8" w:rsidRPr="00493467" w:rsidRDefault="00D740B8">
            <w:pPr>
              <w:autoSpaceDE w:val="0"/>
              <w:autoSpaceDN w:val="0"/>
              <w:adjustRightInd w:val="0"/>
              <w:spacing w:before="60" w:after="120"/>
              <w:jc w:val="center"/>
              <w:rPr>
                <w:rFonts w:ascii="Times New Roman" w:hAnsi="Times New Roman" w:cs="Times New Roman"/>
                <w:b/>
                <w:sz w:val="24"/>
              </w:rPr>
            </w:pPr>
            <w:proofErr w:type="gramStart"/>
            <w:r w:rsidRPr="00493467">
              <w:rPr>
                <w:rFonts w:ascii="Times New Roman" w:hAnsi="Times New Roman"/>
                <w:b/>
                <w:sz w:val="24"/>
              </w:rPr>
              <w:t>1a</w:t>
            </w:r>
            <w:proofErr w:type="gramEnd"/>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787EA18" w14:textId="77777777" w:rsidR="00D740B8" w:rsidRPr="00493467" w:rsidRDefault="00D740B8">
            <w:pPr>
              <w:spacing w:before="60" w:after="120"/>
              <w:jc w:val="both"/>
              <w:rPr>
                <w:rFonts w:ascii="Times New Roman" w:eastAsia="Times New Roman" w:hAnsi="Times New Roman" w:cs="Times New Roman"/>
                <w:b/>
                <w:sz w:val="24"/>
              </w:rPr>
            </w:pPr>
            <w:r w:rsidRPr="00493467">
              <w:rPr>
                <w:rFonts w:ascii="Times New Roman" w:hAnsi="Times New Roman"/>
                <w:b/>
                <w:sz w:val="24"/>
              </w:rPr>
              <w:t>Úrokové výnosy a výnosy z pronájmu</w:t>
            </w:r>
          </w:p>
          <w:p w14:paraId="33CCD1CB" w14:textId="130AE220" w:rsidR="00BD248A" w:rsidRPr="00493467" w:rsidRDefault="00D740B8">
            <w:pPr>
              <w:rPr>
                <w:rFonts w:ascii="Times New Roman" w:eastAsia="Times New Roman" w:hAnsi="Times New Roman" w:cs="Times New Roman"/>
                <w:sz w:val="24"/>
              </w:rPr>
            </w:pPr>
            <w:r w:rsidRPr="00493467">
              <w:rPr>
                <w:rFonts w:ascii="Times New Roman" w:hAnsi="Times New Roman"/>
                <w:sz w:val="24"/>
              </w:rPr>
              <w:t>Součet úrokových výnosů ze všech finančních aktiv, ostatních výnosů z pronajatých aktiv a zisků z pronajatých aktiv v souladu s přílohou V řešení orgánu EBA v oblasti informačních technologií.</w:t>
            </w:r>
          </w:p>
          <w:p w14:paraId="76D4A1E7" w14:textId="77777777" w:rsidR="00BD248A" w:rsidRPr="00493467" w:rsidRDefault="00BD248A">
            <w:pPr>
              <w:rPr>
                <w:rFonts w:ascii="Times New Roman" w:eastAsia="Times New Roman" w:hAnsi="Times New Roman" w:cs="Times New Roman"/>
                <w:sz w:val="24"/>
              </w:rPr>
            </w:pPr>
          </w:p>
          <w:p w14:paraId="19841383" w14:textId="08257E38" w:rsidR="00F5221D" w:rsidRPr="00493467" w:rsidRDefault="004F220F">
            <w:pPr>
              <w:rPr>
                <w:rFonts w:ascii="Times New Roman" w:eastAsia="Times New Roman" w:hAnsi="Times New Roman" w:cs="Times New Roman"/>
                <w:sz w:val="24"/>
              </w:rPr>
            </w:pPr>
            <w:r w:rsidRPr="00493467">
              <w:rPr>
                <w:rFonts w:ascii="Times New Roman" w:hAnsi="Times New Roman"/>
                <w:sz w:val="24"/>
              </w:rPr>
              <w:t>Úrokové výnosy ze všech finančních aktiv se vypočítají v souladu s přílohou V částí 2 odstavcem 31 řešení orgánu EBA v oblasti informačních technologií a podle dalších specifikací uvedených v příloze V části 2 odstavcích 187, 189 a 194ii řešení orgánu EBA v oblasti informačních technologií.</w:t>
            </w:r>
          </w:p>
          <w:p w14:paraId="55B6FFE6" w14:textId="77777777" w:rsidR="00F5221D" w:rsidRPr="00493467" w:rsidRDefault="00F5221D">
            <w:pPr>
              <w:rPr>
                <w:rFonts w:ascii="Times New Roman" w:eastAsia="Times New Roman" w:hAnsi="Times New Roman" w:cs="Times New Roman"/>
                <w:sz w:val="24"/>
              </w:rPr>
            </w:pPr>
          </w:p>
          <w:p w14:paraId="00ED9136" w14:textId="12CD18AE" w:rsidR="00E76AA5" w:rsidRPr="00493467" w:rsidRDefault="00F5221D" w:rsidP="007535CB">
            <w:pPr>
              <w:rPr>
                <w:rFonts w:ascii="Times New Roman" w:eastAsia="Times New Roman" w:hAnsi="Times New Roman" w:cs="Times New Roman"/>
                <w:sz w:val="24"/>
              </w:rPr>
            </w:pPr>
            <w:r w:rsidRPr="00493467">
              <w:rPr>
                <w:rFonts w:ascii="Times New Roman" w:hAnsi="Times New Roman"/>
                <w:sz w:val="24"/>
              </w:rPr>
              <w:t xml:space="preserve">Ostatní výnosy z pronajatých aktiv (finanční a operativní leasing) nezahrnují úrokové výnosy. Tato částka se vypočítá v souladu s přílohou V částí 2 odstavci 314 a 315 řešení orgánu EBA v oblasti informačních technologií a představuje: i) výnosy ze změn reálné hodnoty investičního nemovitého majetku, který generuje nájemné a je oceňován podle modelu oceňování reálnou hodnotou; a/nebo </w:t>
            </w:r>
            <w:proofErr w:type="spellStart"/>
            <w:r w:rsidRPr="00493467">
              <w:rPr>
                <w:rFonts w:ascii="Times New Roman" w:hAnsi="Times New Roman"/>
                <w:sz w:val="24"/>
              </w:rPr>
              <w:t>ii</w:t>
            </w:r>
            <w:proofErr w:type="spellEnd"/>
            <w:r w:rsidRPr="00493467">
              <w:rPr>
                <w:rFonts w:ascii="Times New Roman" w:hAnsi="Times New Roman"/>
                <w:sz w:val="24"/>
              </w:rPr>
              <w:t>) výnosy z operativního leasingu, včetně výnosů z pronájmu investičního nemovitého majetku.</w:t>
            </w:r>
          </w:p>
          <w:p w14:paraId="6C1BE770" w14:textId="77777777" w:rsidR="007535CB" w:rsidRPr="00493467" w:rsidRDefault="007535CB" w:rsidP="007535CB">
            <w:pPr>
              <w:rPr>
                <w:rFonts w:ascii="Times New Roman" w:eastAsia="Times New Roman" w:hAnsi="Times New Roman" w:cs="Times New Roman"/>
                <w:sz w:val="24"/>
              </w:rPr>
            </w:pPr>
          </w:p>
          <w:p w14:paraId="742C7468" w14:textId="3A50C109" w:rsidR="00D740B8" w:rsidRPr="00493467" w:rsidRDefault="00BB0B3D" w:rsidP="004F34D4">
            <w:pPr>
              <w:rPr>
                <w:rFonts w:ascii="Times New Roman" w:eastAsia="Times New Roman" w:hAnsi="Times New Roman" w:cs="Times New Roman"/>
                <w:sz w:val="24"/>
              </w:rPr>
            </w:pPr>
            <w:r w:rsidRPr="00493467">
              <w:rPr>
                <w:rFonts w:ascii="Times New Roman" w:hAnsi="Times New Roman"/>
                <w:sz w:val="24"/>
              </w:rPr>
              <w:t xml:space="preserve">Zisky z pronajatých aktiv (finanční a operativní leasing) zahrnují: i) zisky z modifikací leasingu v souladu s přílohou V částí 2 odstavcem 49 řešení orgánu EBA v oblasti informačních technologií, </w:t>
            </w:r>
            <w:proofErr w:type="spellStart"/>
            <w:r w:rsidRPr="00493467">
              <w:rPr>
                <w:rFonts w:ascii="Times New Roman" w:hAnsi="Times New Roman"/>
                <w:sz w:val="24"/>
              </w:rPr>
              <w:t>ii</w:t>
            </w:r>
            <w:proofErr w:type="spellEnd"/>
            <w:r w:rsidRPr="00493467">
              <w:rPr>
                <w:rFonts w:ascii="Times New Roman" w:hAnsi="Times New Roman"/>
                <w:sz w:val="24"/>
              </w:rPr>
              <w:t>) zbývající část ostatních provozních výnosů (Ostatní provozní výnosy) v souladu s přílohou V částí 2 odstavci 314 a 316 řešení orgánu EBA v oblasti informačních technologií, pokud souvisejí s pronajatými aktivy (finanční a operativní leasing).</w:t>
            </w:r>
          </w:p>
        </w:tc>
      </w:tr>
      <w:tr w:rsidR="00D740B8" w:rsidRPr="00493467" w14:paraId="07825B9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DD05F" w14:textId="77777777" w:rsidR="00D740B8" w:rsidRPr="00493467" w:rsidRDefault="00D740B8">
            <w:pPr>
              <w:autoSpaceDE w:val="0"/>
              <w:autoSpaceDN w:val="0"/>
              <w:adjustRightInd w:val="0"/>
              <w:spacing w:before="60" w:after="120"/>
              <w:jc w:val="center"/>
              <w:rPr>
                <w:rFonts w:ascii="Times New Roman" w:hAnsi="Times New Roman" w:cs="Times New Roman"/>
                <w:b/>
                <w:sz w:val="24"/>
              </w:rPr>
            </w:pPr>
            <w:proofErr w:type="gramStart"/>
            <w:r w:rsidRPr="00493467">
              <w:rPr>
                <w:rFonts w:ascii="Times New Roman" w:hAnsi="Times New Roman"/>
                <w:b/>
                <w:sz w:val="24"/>
              </w:rPr>
              <w:t>1b</w:t>
            </w:r>
            <w:proofErr w:type="gramEnd"/>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F99FE" w14:textId="5114D538" w:rsidR="00D740B8" w:rsidRPr="00493467" w:rsidRDefault="00D740B8">
            <w:pPr>
              <w:spacing w:before="60" w:after="120"/>
              <w:jc w:val="both"/>
              <w:rPr>
                <w:rFonts w:ascii="Times New Roman" w:eastAsia="Times New Roman" w:hAnsi="Times New Roman" w:cs="Times New Roman"/>
                <w:b/>
                <w:sz w:val="24"/>
              </w:rPr>
            </w:pPr>
            <w:r w:rsidRPr="00493467">
              <w:rPr>
                <w:rFonts w:ascii="Times New Roman" w:hAnsi="Times New Roman"/>
                <w:b/>
                <w:sz w:val="24"/>
              </w:rPr>
              <w:t>Úrokové náklady a náklady z pronajatých aktiv</w:t>
            </w:r>
          </w:p>
          <w:p w14:paraId="65B73157" w14:textId="72BA8427" w:rsidR="00EC1398" w:rsidRPr="00493467" w:rsidRDefault="00D740B8">
            <w:pPr>
              <w:rPr>
                <w:rFonts w:ascii="Times New Roman" w:eastAsia="Times New Roman" w:hAnsi="Times New Roman" w:cs="Times New Roman"/>
                <w:sz w:val="24"/>
              </w:rPr>
            </w:pPr>
            <w:r w:rsidRPr="00493467">
              <w:rPr>
                <w:rFonts w:ascii="Times New Roman" w:hAnsi="Times New Roman"/>
                <w:sz w:val="24"/>
              </w:rPr>
              <w:t>Součet úrokových nákladů ze všech finančních závazků, nákladů z pronajatých aktiv a odpisů, snížení hodnoty a ztrát u pronajatých aktiv, jak je uvedeno v příloze V řešení orgánu EBA v oblasti informačních technologií.</w:t>
            </w:r>
          </w:p>
          <w:p w14:paraId="06CEDDA9" w14:textId="77777777" w:rsidR="00BA33C3" w:rsidRPr="00493467" w:rsidRDefault="00BA33C3">
            <w:pPr>
              <w:rPr>
                <w:rFonts w:ascii="Times New Roman" w:eastAsia="Times New Roman" w:hAnsi="Times New Roman" w:cs="Times New Roman"/>
                <w:sz w:val="24"/>
              </w:rPr>
            </w:pPr>
          </w:p>
          <w:p w14:paraId="3ACFF991" w14:textId="1BCDC8C4" w:rsidR="00BA33C3" w:rsidRPr="00493467" w:rsidRDefault="00BA33C3">
            <w:pPr>
              <w:rPr>
                <w:rFonts w:ascii="Times New Roman" w:eastAsia="Times New Roman" w:hAnsi="Times New Roman" w:cs="Times New Roman"/>
                <w:sz w:val="24"/>
              </w:rPr>
            </w:pPr>
            <w:r w:rsidRPr="00493467">
              <w:rPr>
                <w:rFonts w:ascii="Times New Roman" w:hAnsi="Times New Roman"/>
                <w:sz w:val="24"/>
              </w:rPr>
              <w:t xml:space="preserve">Úrokové náklady ze všech finančních závazků se vypočítají v souladu s přílohou V částí 2 odstavcem 31 řešení orgánu EBA v oblasti informačních technologií a podle dalších specifikací uvedených v příloze V části 2 </w:t>
            </w:r>
            <w:r w:rsidRPr="00493467">
              <w:rPr>
                <w:rFonts w:ascii="Times New Roman" w:hAnsi="Times New Roman"/>
                <w:sz w:val="24"/>
              </w:rPr>
              <w:lastRenderedPageBreak/>
              <w:t>odstavcích 188, 190 a 194ii řešení orgánu EBA v oblasti informačních technologií. Úrokové náklady, které jsou způsobeny událostmi operačního rizika, se nevykazují. Místo toho jsou zahrnuty do složky služeb v souladu s čl. 314 odst. 5 nařízení (EU) č. 575/2013.</w:t>
            </w:r>
          </w:p>
          <w:p w14:paraId="2D079DF5" w14:textId="77777777" w:rsidR="003D0A4B" w:rsidRPr="00493467" w:rsidRDefault="003D0A4B">
            <w:pPr>
              <w:rPr>
                <w:rFonts w:ascii="Times New Roman" w:eastAsia="Times New Roman" w:hAnsi="Times New Roman" w:cs="Times New Roman"/>
                <w:sz w:val="24"/>
              </w:rPr>
            </w:pPr>
          </w:p>
          <w:p w14:paraId="08A94531" w14:textId="1EA15404" w:rsidR="003D0A4B" w:rsidRPr="00493467" w:rsidRDefault="003D0A4B" w:rsidP="00D136A0">
            <w:pPr>
              <w:rPr>
                <w:rFonts w:ascii="Times New Roman" w:eastAsia="Times New Roman" w:hAnsi="Times New Roman" w:cs="Times New Roman"/>
                <w:sz w:val="24"/>
              </w:rPr>
            </w:pPr>
            <w:r w:rsidRPr="00493467">
              <w:rPr>
                <w:rFonts w:ascii="Times New Roman" w:hAnsi="Times New Roman"/>
                <w:sz w:val="24"/>
              </w:rPr>
              <w:t>Náklady z pronajatých aktiv (operativní leasing) zahrnují náklady v souladu s přílohou V částí 2 odstavci 314 a 315 řešení orgánu EBA v oblasti informačních technologií, které představují: i) náklady ze změn reálné hodnoty investičního nemovitého majetku, který generuje nájemné a je oceňován pomocí modelu oceňování reálnou hodnotou, z aktiv pronajatých v rámci operativního leasingu, a </w:t>
            </w:r>
            <w:proofErr w:type="spellStart"/>
            <w:r w:rsidRPr="00493467">
              <w:rPr>
                <w:rFonts w:ascii="Times New Roman" w:hAnsi="Times New Roman"/>
                <w:sz w:val="24"/>
              </w:rPr>
              <w:t>ii</w:t>
            </w:r>
            <w:proofErr w:type="spellEnd"/>
            <w:r w:rsidRPr="00493467">
              <w:rPr>
                <w:rFonts w:ascii="Times New Roman" w:hAnsi="Times New Roman"/>
                <w:sz w:val="24"/>
              </w:rPr>
              <w:t>) náklady na operativní leasing, včetně přímých provozních nákladů z investičního nemovitého majetku, který generuje nájemné. Instituce by zde měly navíc zahrnout ostatní správní náklady z aktiv pronajatých v rámci operativního leasingu v souladu s přílohou V částí 2 odstavcem 208ix řešení orgánu EBA v oblasti informačních technologií. Náklady, které jsou způsobeny událostmi operačního rizika, se nezahrnují. Místo toho jsou zahrnuty do složky služeb v souladu s čl. 314 odst. 5 nařízení (EU) č. 575/2013.</w:t>
            </w:r>
          </w:p>
          <w:p w14:paraId="61020FEC" w14:textId="77777777" w:rsidR="00376B14" w:rsidRPr="00493467" w:rsidRDefault="00376B14">
            <w:pPr>
              <w:rPr>
                <w:rFonts w:ascii="Times New Roman" w:eastAsia="Times New Roman" w:hAnsi="Times New Roman" w:cs="Times New Roman"/>
                <w:sz w:val="24"/>
              </w:rPr>
            </w:pPr>
          </w:p>
          <w:p w14:paraId="5D976FDD" w14:textId="0FB08478" w:rsidR="00376B14" w:rsidRPr="00493467" w:rsidRDefault="00376B14">
            <w:pPr>
              <w:rPr>
                <w:rFonts w:ascii="Times New Roman" w:eastAsia="Times New Roman" w:hAnsi="Times New Roman" w:cs="Times New Roman"/>
                <w:sz w:val="24"/>
              </w:rPr>
            </w:pPr>
            <w:r w:rsidRPr="00493467">
              <w:rPr>
                <w:rFonts w:ascii="Times New Roman" w:hAnsi="Times New Roman"/>
                <w:sz w:val="24"/>
              </w:rPr>
              <w:t>Odpisy pronajatých aktiv odpovídají nákladům na odpisy vykázaným v souladu s odstavci 102 a 104 mezinárodních účetních standardů (IAS) 1, ale pouze z aktiv pronajatých v rámci operativního leasingu, jejichž výnosy nebo náklady jsou zahrnuty do výpočtu úrokových výnosů/nákladů.</w:t>
            </w:r>
          </w:p>
          <w:p w14:paraId="5D82FC67" w14:textId="77777777" w:rsidR="00DA24A2" w:rsidRPr="00493467" w:rsidRDefault="00DA24A2">
            <w:pPr>
              <w:rPr>
                <w:rFonts w:ascii="Times New Roman" w:eastAsia="Times New Roman" w:hAnsi="Times New Roman" w:cs="Times New Roman"/>
                <w:sz w:val="24"/>
              </w:rPr>
            </w:pPr>
          </w:p>
          <w:p w14:paraId="1D89DE9C" w14:textId="6D7B59E2" w:rsidR="00DA24A2" w:rsidRPr="00493467" w:rsidRDefault="00DA24A2">
            <w:pPr>
              <w:rPr>
                <w:rFonts w:ascii="Times New Roman" w:eastAsia="Times New Roman" w:hAnsi="Times New Roman" w:cs="Times New Roman"/>
                <w:sz w:val="24"/>
              </w:rPr>
            </w:pPr>
            <w:r w:rsidRPr="00493467">
              <w:rPr>
                <w:rFonts w:ascii="Times New Roman" w:hAnsi="Times New Roman"/>
                <w:sz w:val="24"/>
              </w:rPr>
              <w:t>Snížení hodnoty pronajatých aktiv odpovídá nákladům z aktiv pronajatých v rámci operativního leasingu, které představují snížení hodnoty nebo zrušení snížení hodnoty aktiv pronajatých v rámci operativního leasingu v souladu s odst. 126 písm. a) a b) IAS 36.</w:t>
            </w:r>
          </w:p>
          <w:p w14:paraId="11B36ACB" w14:textId="77777777" w:rsidR="00DA24A2" w:rsidRPr="00493467" w:rsidRDefault="00DA24A2">
            <w:pPr>
              <w:rPr>
                <w:rFonts w:ascii="Times New Roman" w:eastAsia="Times New Roman" w:hAnsi="Times New Roman" w:cs="Times New Roman"/>
                <w:sz w:val="24"/>
              </w:rPr>
            </w:pPr>
          </w:p>
          <w:p w14:paraId="0FA351B6" w14:textId="470A5833" w:rsidR="00D740B8" w:rsidRPr="00493467" w:rsidRDefault="00DA24A2" w:rsidP="004F34D4">
            <w:pPr>
              <w:rPr>
                <w:rFonts w:ascii="Times New Roman" w:hAnsi="Times New Roman"/>
                <w:sz w:val="24"/>
              </w:rPr>
            </w:pPr>
            <w:r w:rsidRPr="00493467">
              <w:rPr>
                <w:rFonts w:ascii="Times New Roman" w:hAnsi="Times New Roman"/>
                <w:sz w:val="24"/>
              </w:rPr>
              <w:t>Ztráty z pronajatých aktiv odpovídají zbývající části ostatních provozních nákladů (Ostatní provozní náklady) v souladu s přílohou V částí 2 oddílem 29.3 odstavcem 316 řešení orgánu EBA v oblasti informačních technologií, pokud souvisejí s aktivy pronajatými v rámci operativního leasingu. Ztráty, které jsou způsobeny událostmi operačního rizika, se nezahrnují. Místo toho jsou zahrnuty do složky služeb v souladu s čl. 314 odst. 5 nařízení (EU) č. 575/2013.</w:t>
            </w:r>
          </w:p>
        </w:tc>
      </w:tr>
      <w:tr w:rsidR="00D740B8" w:rsidRPr="00493467" w14:paraId="49B58D8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019E7" w14:textId="77777777" w:rsidR="00D740B8" w:rsidRPr="00493467" w:rsidRDefault="00D740B8">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lastRenderedPageBreak/>
              <w:t>1c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EE844B" w14:textId="18CAFF49" w:rsidR="00D740B8" w:rsidRPr="00493467" w:rsidRDefault="00B76736">
            <w:pPr>
              <w:spacing w:before="60" w:after="120"/>
              <w:jc w:val="both"/>
              <w:rPr>
                <w:rStyle w:val="InstructionsTabelleberschrift"/>
                <w:rFonts w:ascii="Times New Roman" w:eastAsia="Times New Roman" w:hAnsi="Times New Roman"/>
                <w:sz w:val="24"/>
                <w:u w:val="none"/>
              </w:rPr>
            </w:pPr>
            <w:r w:rsidRPr="00493467">
              <w:rPr>
                <w:rStyle w:val="InstructionsTabelleberschrift"/>
                <w:rFonts w:ascii="Times New Roman" w:hAnsi="Times New Roman"/>
                <w:sz w:val="24"/>
                <w:u w:val="none"/>
              </w:rPr>
              <w:t>Aktiva / složka aktiv celkem</w:t>
            </w:r>
          </w:p>
          <w:p w14:paraId="15501679" w14:textId="3EB04379" w:rsidR="00D740B8" w:rsidRPr="00493467" w:rsidRDefault="00B76736">
            <w:pPr>
              <w:spacing w:before="60" w:after="120"/>
              <w:jc w:val="both"/>
              <w:rPr>
                <w:rFonts w:ascii="Times New Roman" w:eastAsia="Times New Roman" w:hAnsi="Times New Roman" w:cs="Times New Roman"/>
                <w:sz w:val="24"/>
              </w:rPr>
            </w:pPr>
            <w:r w:rsidRPr="00493467">
              <w:rPr>
                <w:rFonts w:ascii="Times New Roman" w:hAnsi="Times New Roman"/>
                <w:sz w:val="24"/>
              </w:rPr>
              <w:t>Ve sloupci d) složka aktiv vypočítaná v souladu s čl. 314 odst. 2 nařízení (EU) č. 575/2013.</w:t>
            </w:r>
          </w:p>
          <w:p w14:paraId="65FF56C9" w14:textId="24401D0D" w:rsidR="004E3E86" w:rsidRPr="00493467" w:rsidRDefault="003E3201" w:rsidP="00373F9D">
            <w:pPr>
              <w:rPr>
                <w:rFonts w:ascii="Times New Roman" w:hAnsi="Times New Roman"/>
                <w:sz w:val="24"/>
              </w:rPr>
            </w:pPr>
            <w:r w:rsidRPr="00493467">
              <w:rPr>
                <w:rFonts w:ascii="Times New Roman" w:hAnsi="Times New Roman"/>
                <w:sz w:val="24"/>
              </w:rPr>
              <w:t>V ostatních sloupcích musí celková hodnota aktiv odpovídat součtu hrubé účetní hodnoty zůstatků hotovosti u centrálních bank a jiných vkladů na požádání, dluhových cenných papírů, úvěrů a jiných pohledávek, jakož i účetní hodnoty derivátů (obchodování a ekonomické zajištění a zajišťovací účetnictví) a aktiv, která jsou předmětem leasingu (hmotná a nehmotná aktiva). Tyto položky se vztahují k příloze V řešení orgánu EBA v oblasti informačních technologií.</w:t>
            </w:r>
          </w:p>
          <w:p w14:paraId="2655EEC4" w14:textId="6116BB66" w:rsidR="00BC1F18" w:rsidRPr="00493467" w:rsidRDefault="00BC1F18" w:rsidP="00BC1F18">
            <w:pPr>
              <w:rPr>
                <w:rFonts w:ascii="Times New Roman" w:hAnsi="Times New Roman"/>
                <w:sz w:val="24"/>
              </w:rPr>
            </w:pPr>
          </w:p>
        </w:tc>
      </w:tr>
      <w:tr w:rsidR="00D740B8" w:rsidRPr="00493467" w14:paraId="431D95B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504247A" w14:textId="77777777" w:rsidR="00D740B8" w:rsidRPr="00493467" w:rsidRDefault="00D740B8">
            <w:pPr>
              <w:autoSpaceDE w:val="0"/>
              <w:autoSpaceDN w:val="0"/>
              <w:adjustRightInd w:val="0"/>
              <w:spacing w:before="60" w:after="120"/>
              <w:jc w:val="center"/>
              <w:rPr>
                <w:rFonts w:ascii="Times New Roman" w:hAnsi="Times New Roman" w:cs="Times New Roman"/>
                <w:b/>
                <w:sz w:val="24"/>
              </w:rPr>
            </w:pPr>
            <w:proofErr w:type="gramStart"/>
            <w:r w:rsidRPr="00493467">
              <w:rPr>
                <w:rFonts w:ascii="Times New Roman" w:hAnsi="Times New Roman"/>
                <w:b/>
                <w:sz w:val="24"/>
              </w:rPr>
              <w:lastRenderedPageBreak/>
              <w:t>1d</w:t>
            </w:r>
            <w:proofErr w:type="gramEnd"/>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83663" w14:textId="03959A67" w:rsidR="00D740B8" w:rsidRPr="00493467" w:rsidRDefault="00B76736" w:rsidP="00E515FD">
            <w:pPr>
              <w:keepNext/>
              <w:spacing w:before="60" w:after="120"/>
              <w:jc w:val="both"/>
              <w:rPr>
                <w:rStyle w:val="InstructionsTabelleberschrift"/>
                <w:rFonts w:ascii="Times New Roman" w:eastAsia="Times New Roman" w:hAnsi="Times New Roman"/>
                <w:bCs w:val="0"/>
                <w:sz w:val="24"/>
                <w:u w:val="none"/>
              </w:rPr>
            </w:pPr>
            <w:r w:rsidRPr="00493467">
              <w:rPr>
                <w:rStyle w:val="InstructionsTabelleberschrift"/>
                <w:rFonts w:ascii="Times New Roman" w:hAnsi="Times New Roman"/>
                <w:sz w:val="24"/>
                <w:u w:val="none"/>
              </w:rPr>
              <w:t>Výnosy z dividend / dividendová složka</w:t>
            </w:r>
          </w:p>
          <w:p w14:paraId="1A066B7B" w14:textId="4AA7538A" w:rsidR="00D740B8" w:rsidRPr="00493467" w:rsidRDefault="00B76736" w:rsidP="004E3E86">
            <w:pPr>
              <w:spacing w:before="60" w:after="120"/>
              <w:jc w:val="both"/>
              <w:rPr>
                <w:rFonts w:ascii="Times New Roman" w:eastAsia="Times New Roman" w:hAnsi="Times New Roman" w:cs="Times New Roman"/>
                <w:sz w:val="24"/>
              </w:rPr>
            </w:pPr>
            <w:r w:rsidRPr="00493467">
              <w:rPr>
                <w:rFonts w:ascii="Times New Roman" w:hAnsi="Times New Roman"/>
                <w:sz w:val="24"/>
              </w:rPr>
              <w:t>Ve sloupci d) dividendová složka vypočítaná v souladu s čl. 314 odst. 2 nařízení (EU) č. 575/2013.</w:t>
            </w:r>
          </w:p>
          <w:p w14:paraId="3F4B342E" w14:textId="23DB8876" w:rsidR="004E3E86" w:rsidRPr="00493467" w:rsidRDefault="004E3E86" w:rsidP="004E3E86">
            <w:pPr>
              <w:rPr>
                <w:rFonts w:ascii="Times New Roman" w:hAnsi="Times New Roman"/>
                <w:sz w:val="24"/>
              </w:rPr>
            </w:pPr>
            <w:r w:rsidRPr="00493467">
              <w:rPr>
                <w:rFonts w:ascii="Times New Roman" w:hAnsi="Times New Roman"/>
                <w:sz w:val="24"/>
              </w:rPr>
              <w:t>Instituce vykazují výnosy z dividend v souladu s přílohou V částí 2 odstavci 40 až 42 řešení EBA v oblasti informačních technologií.</w:t>
            </w:r>
          </w:p>
        </w:tc>
      </w:tr>
      <w:tr w:rsidR="003826D3" w:rsidRPr="00493467" w14:paraId="3A9CE2B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064302" w14:textId="77777777" w:rsidR="003826D3" w:rsidRPr="00493467" w:rsidRDefault="003826D3" w:rsidP="003826D3">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58B47" w14:textId="103CAA7B" w:rsidR="003826D3" w:rsidRPr="00493467" w:rsidRDefault="003826D3" w:rsidP="003826D3">
            <w:pPr>
              <w:spacing w:before="60" w:after="120"/>
              <w:jc w:val="both"/>
              <w:rPr>
                <w:rFonts w:ascii="Times New Roman" w:eastAsia="Times New Roman" w:hAnsi="Times New Roman" w:cs="Times New Roman"/>
                <w:b/>
                <w:sz w:val="24"/>
              </w:rPr>
            </w:pPr>
            <w:r w:rsidRPr="00493467">
              <w:rPr>
                <w:rFonts w:ascii="Times New Roman" w:hAnsi="Times New Roman"/>
                <w:b/>
                <w:sz w:val="24"/>
              </w:rPr>
              <w:t>Složka služeb (SC)</w:t>
            </w:r>
          </w:p>
          <w:p w14:paraId="2D48B659" w14:textId="0264DFE4" w:rsidR="00080F37" w:rsidRPr="00493467" w:rsidRDefault="005E7C4C" w:rsidP="003826D3">
            <w:pPr>
              <w:spacing w:before="60" w:after="120"/>
              <w:jc w:val="both"/>
              <w:rPr>
                <w:rFonts w:ascii="Times New Roman" w:eastAsia="Times New Roman" w:hAnsi="Times New Roman" w:cs="Times New Roman"/>
                <w:sz w:val="24"/>
              </w:rPr>
            </w:pPr>
            <w:r w:rsidRPr="00493467">
              <w:rPr>
                <w:rFonts w:ascii="Times New Roman" w:hAnsi="Times New Roman"/>
                <w:sz w:val="24"/>
              </w:rPr>
              <w:t>Složka služeb vypočítaná v souladu s čl. 314 odst. 5 nařízení (EU) č. 575/2013.</w:t>
            </w:r>
          </w:p>
          <w:p w14:paraId="2EFCFDAF" w14:textId="3F07E77F" w:rsidR="003826D3" w:rsidRPr="00493467" w:rsidRDefault="0094124B" w:rsidP="003826D3">
            <w:pPr>
              <w:spacing w:before="60" w:after="120"/>
              <w:jc w:val="both"/>
              <w:rPr>
                <w:rStyle w:val="InstructionsTabelleberschrift"/>
                <w:rFonts w:ascii="Times New Roman" w:eastAsia="Times New Roman" w:hAnsi="Times New Roman"/>
                <w:bCs w:val="0"/>
                <w:sz w:val="24"/>
              </w:rPr>
            </w:pPr>
            <w:r w:rsidRPr="00493467">
              <w:rPr>
                <w:rFonts w:ascii="Times New Roman" w:hAnsi="Times New Roman"/>
                <w:sz w:val="24"/>
              </w:rPr>
              <w:t xml:space="preserve">Pokud se na instituci vztahuje odchylka uvedená v čl. 314 odst. 4 nařízení (EU) č. 575/2013, nezahrne instituce údaje z linií podnikání retailového a komerčního bankovnictví. </w:t>
            </w:r>
          </w:p>
        </w:tc>
      </w:tr>
      <w:tr w:rsidR="003826D3" w:rsidRPr="00493467" w14:paraId="74CC77A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24C8A" w14:textId="77777777" w:rsidR="003826D3" w:rsidRPr="00493467" w:rsidRDefault="003826D3" w:rsidP="003826D3">
            <w:pPr>
              <w:autoSpaceDE w:val="0"/>
              <w:autoSpaceDN w:val="0"/>
              <w:adjustRightInd w:val="0"/>
              <w:spacing w:before="60" w:after="120"/>
              <w:jc w:val="center"/>
              <w:rPr>
                <w:rFonts w:ascii="Times New Roman" w:hAnsi="Times New Roman" w:cs="Times New Roman"/>
                <w:b/>
                <w:sz w:val="24"/>
              </w:rPr>
            </w:pPr>
            <w:proofErr w:type="gramStart"/>
            <w:r w:rsidRPr="00493467">
              <w:rPr>
                <w:rFonts w:ascii="Times New Roman" w:hAnsi="Times New Roman"/>
                <w:b/>
                <w:sz w:val="24"/>
              </w:rPr>
              <w:t>2a</w:t>
            </w:r>
            <w:proofErr w:type="gramEnd"/>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F1D9A" w14:textId="77777777" w:rsidR="003826D3" w:rsidRPr="00493467" w:rsidRDefault="003826D3" w:rsidP="003826D3">
            <w:pPr>
              <w:spacing w:before="60" w:after="120"/>
              <w:jc w:val="both"/>
              <w:rPr>
                <w:rFonts w:ascii="Times New Roman" w:eastAsia="Times New Roman" w:hAnsi="Times New Roman" w:cs="Times New Roman"/>
                <w:b/>
                <w:sz w:val="24"/>
              </w:rPr>
            </w:pPr>
            <w:r w:rsidRPr="00493467">
              <w:rPr>
                <w:rFonts w:ascii="Times New Roman" w:hAnsi="Times New Roman"/>
                <w:b/>
                <w:sz w:val="24"/>
              </w:rPr>
              <w:t>Výnosy z poplatků a provizí</w:t>
            </w:r>
          </w:p>
          <w:p w14:paraId="1394D6AF" w14:textId="06AD3617" w:rsidR="003826D3" w:rsidRPr="00493467" w:rsidRDefault="009816D6" w:rsidP="003826D3">
            <w:pPr>
              <w:spacing w:before="60" w:after="120"/>
              <w:jc w:val="both"/>
              <w:rPr>
                <w:rFonts w:ascii="Times New Roman" w:eastAsia="Times New Roman" w:hAnsi="Times New Roman" w:cs="Times New Roman"/>
                <w:sz w:val="24"/>
              </w:rPr>
            </w:pPr>
            <w:r w:rsidRPr="00493467">
              <w:rPr>
                <w:rFonts w:ascii="Times New Roman" w:hAnsi="Times New Roman"/>
                <w:sz w:val="24"/>
              </w:rPr>
              <w:t>Výnosy z poplatků a provizí uvedené v příloze V části 2 odstavcích 281 až 284 řešení orgánu EBA v oblasti informačních technologií a vypočítané v souladu s čl. 314 odst. 5 nařízení (EU) č. 575/2013.</w:t>
            </w:r>
          </w:p>
          <w:p w14:paraId="0EA5E8EE" w14:textId="07382D3A" w:rsidR="008D318E" w:rsidRPr="00493467" w:rsidRDefault="008D318E" w:rsidP="003826D3">
            <w:pPr>
              <w:spacing w:before="60" w:after="120"/>
              <w:jc w:val="both"/>
              <w:rPr>
                <w:rFonts w:ascii="Times New Roman" w:eastAsia="Times New Roman" w:hAnsi="Times New Roman" w:cs="Times New Roman"/>
                <w:sz w:val="24"/>
              </w:rPr>
            </w:pPr>
            <w:r w:rsidRPr="00493467">
              <w:rPr>
                <w:rFonts w:ascii="Times New Roman" w:hAnsi="Times New Roman"/>
                <w:sz w:val="24"/>
              </w:rPr>
              <w:t>V souladu s článkem 7 regulačních technických norem, které mají být vypracovány podle čl. 314 odst. 9 nařízení (EU) č. 575/2013, by do této položky měly být zahrnuty také výnosy z podpůrných činností, jako jsou činnosti v oblasti informačních technologií nezbytné k provádění určité finanční služby.</w:t>
            </w:r>
          </w:p>
          <w:p w14:paraId="388F841F" w14:textId="1B0267DB" w:rsidR="00D91B18" w:rsidRPr="00493467" w:rsidRDefault="007D3710" w:rsidP="003826D3">
            <w:pPr>
              <w:spacing w:before="60" w:after="120"/>
              <w:jc w:val="both"/>
              <w:rPr>
                <w:rStyle w:val="InstructionsTabelleberschrift"/>
                <w:rFonts w:ascii="Times New Roman" w:eastAsia="Times New Roman" w:hAnsi="Times New Roman"/>
                <w:b w:val="0"/>
                <w:bCs w:val="0"/>
                <w:sz w:val="24"/>
                <w:u w:val="none"/>
              </w:rPr>
            </w:pPr>
            <w:r w:rsidRPr="00493467">
              <w:rPr>
                <w:rStyle w:val="InstructionsTabelleberschrift"/>
                <w:rFonts w:ascii="Times New Roman" w:hAnsi="Times New Roman"/>
                <w:b w:val="0"/>
                <w:sz w:val="24"/>
                <w:u w:val="none"/>
              </w:rPr>
              <w:t>Vyloučí se část výnosů z poplatků a provizí obdržených od institucí, které jsou členy stejného institucionálního systému ochrany, v souladu s čl. 314 odst. 5 nařízení (EU) č. 575/2013.</w:t>
            </w:r>
          </w:p>
        </w:tc>
      </w:tr>
      <w:tr w:rsidR="003826D3" w:rsidRPr="00493467" w14:paraId="2067785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17D63A" w14:textId="77777777" w:rsidR="003826D3" w:rsidRPr="00493467" w:rsidRDefault="003826D3" w:rsidP="003826D3">
            <w:pPr>
              <w:autoSpaceDE w:val="0"/>
              <w:autoSpaceDN w:val="0"/>
              <w:adjustRightInd w:val="0"/>
              <w:spacing w:before="60" w:after="120"/>
              <w:jc w:val="center"/>
              <w:rPr>
                <w:rFonts w:ascii="Times New Roman" w:hAnsi="Times New Roman" w:cs="Times New Roman"/>
                <w:b/>
                <w:sz w:val="24"/>
              </w:rPr>
            </w:pPr>
            <w:proofErr w:type="gramStart"/>
            <w:r w:rsidRPr="00493467">
              <w:rPr>
                <w:rFonts w:ascii="Times New Roman" w:hAnsi="Times New Roman"/>
                <w:b/>
                <w:sz w:val="24"/>
              </w:rPr>
              <w:t>2b</w:t>
            </w:r>
            <w:proofErr w:type="gramEnd"/>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48259B2" w14:textId="5A4319DA" w:rsidR="003826D3" w:rsidRPr="00493467" w:rsidRDefault="003826D3" w:rsidP="003826D3">
            <w:pPr>
              <w:spacing w:before="60" w:after="120"/>
              <w:jc w:val="both"/>
              <w:rPr>
                <w:rFonts w:ascii="Times New Roman" w:eastAsia="Times New Roman" w:hAnsi="Times New Roman" w:cs="Times New Roman"/>
                <w:b/>
                <w:sz w:val="24"/>
              </w:rPr>
            </w:pPr>
            <w:r w:rsidRPr="00493467">
              <w:rPr>
                <w:rFonts w:ascii="Times New Roman" w:hAnsi="Times New Roman"/>
                <w:b/>
                <w:sz w:val="24"/>
              </w:rPr>
              <w:t>Náklady na poplatky a provize</w:t>
            </w:r>
          </w:p>
          <w:p w14:paraId="241530E4" w14:textId="72E685E0" w:rsidR="003826D3" w:rsidRPr="00493467" w:rsidRDefault="009816D6" w:rsidP="003826D3">
            <w:pPr>
              <w:spacing w:before="60" w:after="120"/>
              <w:jc w:val="both"/>
              <w:rPr>
                <w:rFonts w:ascii="Times New Roman" w:eastAsia="Times New Roman" w:hAnsi="Times New Roman" w:cs="Times New Roman"/>
                <w:sz w:val="24"/>
              </w:rPr>
            </w:pPr>
            <w:r w:rsidRPr="00493467">
              <w:rPr>
                <w:rFonts w:ascii="Times New Roman" w:hAnsi="Times New Roman"/>
                <w:sz w:val="24"/>
              </w:rPr>
              <w:t>Náklady na poplatky a provize v souladu s přílohou V částí 2 odstavci 281 až 284 řešení orgánu EBA v oblasti informačních technologií a vypočítané v souladu s čl. 314 odst. 5 nařízení (EU) č. 575/2013.</w:t>
            </w:r>
          </w:p>
          <w:p w14:paraId="03E34B08" w14:textId="2D67624D" w:rsidR="00126683" w:rsidRPr="00493467" w:rsidRDefault="00126683" w:rsidP="003826D3">
            <w:pPr>
              <w:spacing w:before="60" w:after="120"/>
              <w:jc w:val="both"/>
              <w:rPr>
                <w:rFonts w:ascii="Times New Roman" w:eastAsia="Times New Roman" w:hAnsi="Times New Roman" w:cs="Times New Roman"/>
                <w:sz w:val="24"/>
              </w:rPr>
            </w:pPr>
            <w:r w:rsidRPr="00493467">
              <w:rPr>
                <w:rFonts w:ascii="Times New Roman" w:hAnsi="Times New Roman"/>
                <w:sz w:val="24"/>
              </w:rPr>
              <w:t>V tomto řádku by měly být uvedeny poplatky zaplacené externím poskytovatelům za finanční služby, reprezentované seznamem činností uvedených v článku 8 regulačních technických norem, které mají být vypracovány podle čl. 314 odst. 9 nařízení (EU) č. 575/2013, pokud jsou podle uplatňovaného účetního rámce zahrnuty do správních nákladů v souladu s článkem 16 uvedených regulačních technických norem. Do této položky by měly být zahrnuty rovněž náklady z podpůrných činností, jako jsou činnosti v oblasti informačních technologií nezbytné k provádění určité finanční služby.</w:t>
            </w:r>
          </w:p>
          <w:p w14:paraId="37B7C759" w14:textId="401F429B" w:rsidR="00A87543" w:rsidRPr="00493467" w:rsidRDefault="00A87543" w:rsidP="003826D3">
            <w:pPr>
              <w:spacing w:before="60" w:after="120"/>
              <w:jc w:val="both"/>
              <w:rPr>
                <w:rStyle w:val="InstructionsTabelleberschrift"/>
                <w:rFonts w:ascii="Times New Roman" w:eastAsia="Times New Roman" w:hAnsi="Times New Roman"/>
                <w:b w:val="0"/>
                <w:sz w:val="24"/>
              </w:rPr>
            </w:pPr>
            <w:r w:rsidRPr="00493467">
              <w:rPr>
                <w:rFonts w:ascii="Times New Roman" w:hAnsi="Times New Roman"/>
                <w:sz w:val="24"/>
              </w:rPr>
              <w:t>Vyloučí se část poplatků a provizí zaplacených institucím, které jsou členy stejného institucionálního systému ochrany, v souladu s čl. 314 odst. 5 nařízení (EU) č. 575/2013.</w:t>
            </w:r>
          </w:p>
        </w:tc>
      </w:tr>
      <w:tr w:rsidR="003826D3" w:rsidRPr="00493467" w14:paraId="56FE999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C7FDD92" w14:textId="77777777" w:rsidR="003826D3" w:rsidRPr="00493467" w:rsidRDefault="003826D3" w:rsidP="003826D3">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t>2c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40694" w14:textId="77777777" w:rsidR="003826D3" w:rsidRPr="00493467" w:rsidRDefault="003826D3" w:rsidP="003826D3">
            <w:pPr>
              <w:spacing w:before="60" w:after="120"/>
              <w:jc w:val="both"/>
              <w:rPr>
                <w:rStyle w:val="InstructionsTabelleberschrift"/>
                <w:rFonts w:ascii="Times New Roman" w:eastAsia="Times New Roman" w:hAnsi="Times New Roman"/>
                <w:sz w:val="24"/>
                <w:u w:val="none"/>
              </w:rPr>
            </w:pPr>
            <w:r w:rsidRPr="00493467">
              <w:rPr>
                <w:rStyle w:val="InstructionsTabelleberschrift"/>
                <w:rFonts w:ascii="Times New Roman" w:hAnsi="Times New Roman"/>
                <w:sz w:val="24"/>
                <w:u w:val="none"/>
              </w:rPr>
              <w:t>Ostatní provozní výnosy</w:t>
            </w:r>
          </w:p>
          <w:p w14:paraId="035A399D" w14:textId="7232F3EB" w:rsidR="00671F1C" w:rsidRPr="00493467" w:rsidRDefault="009816D6" w:rsidP="003826D3">
            <w:pPr>
              <w:spacing w:before="60" w:after="120"/>
              <w:jc w:val="both"/>
              <w:rPr>
                <w:rFonts w:ascii="Times New Roman" w:eastAsia="Times New Roman" w:hAnsi="Times New Roman" w:cs="Times New Roman"/>
                <w:sz w:val="24"/>
              </w:rPr>
            </w:pPr>
            <w:r w:rsidRPr="00493467">
              <w:rPr>
                <w:rFonts w:ascii="Times New Roman" w:hAnsi="Times New Roman"/>
                <w:sz w:val="24"/>
              </w:rPr>
              <w:t xml:space="preserve">Ostatní provozní výnosy včetně: zisků z dlouhodobých aktiv a vyřazovaných skupin určených k prodeji, které nesplňují podmínky pro ukončované činnosti (v případě ztrát se hodnoty považují za nulové) podle přílohy V části 2 odstavce 55 řešení orgánu EBA v oblasti informačních technologií, a ostatních provozních výnosů podle přílohy V části 2 odstavců 314 a 316 řešení orgánu </w:t>
            </w:r>
            <w:r w:rsidRPr="00493467">
              <w:rPr>
                <w:rFonts w:ascii="Times New Roman" w:hAnsi="Times New Roman"/>
                <w:sz w:val="24"/>
              </w:rPr>
              <w:lastRenderedPageBreak/>
              <w:t>EBA v oblasti informačních technologií, avšak s vyloučením výnosů z operativního leasingu a jakékoli položky určené podle čl. 314 odst. 7 nařízení (EU) 2021/451.</w:t>
            </w:r>
          </w:p>
          <w:p w14:paraId="39451B35" w14:textId="17278A47" w:rsidR="00A471E8" w:rsidRPr="00493467" w:rsidRDefault="007863F3" w:rsidP="003826D3">
            <w:pPr>
              <w:spacing w:before="60" w:after="120"/>
              <w:jc w:val="both"/>
              <w:rPr>
                <w:rFonts w:ascii="Times New Roman" w:eastAsia="Times New Roman" w:hAnsi="Times New Roman" w:cs="Times New Roman"/>
                <w:sz w:val="24"/>
              </w:rPr>
            </w:pPr>
            <w:r w:rsidRPr="00493467">
              <w:rPr>
                <w:rFonts w:ascii="Times New Roman" w:hAnsi="Times New Roman"/>
                <w:sz w:val="24"/>
              </w:rPr>
              <w:t>Výtěžek ze zpětného získávání správních nákladů by se neměl zohlednit v souladu s článkem 5 regulačních technických norem týkajících se složek obchodního ukazatele, které mají být vypracovány podle čl. 314 odst. 9 nařízení (EU) č. 575/2013.</w:t>
            </w:r>
          </w:p>
          <w:p w14:paraId="0B35E56E" w14:textId="27C4774F" w:rsidR="00695D35" w:rsidRPr="00493467" w:rsidRDefault="00695D35" w:rsidP="003826D3">
            <w:pPr>
              <w:spacing w:before="60" w:after="120"/>
              <w:jc w:val="both"/>
              <w:rPr>
                <w:rFonts w:ascii="Times New Roman" w:eastAsia="Times New Roman" w:hAnsi="Times New Roman" w:cs="Times New Roman"/>
                <w:sz w:val="24"/>
              </w:rPr>
            </w:pPr>
            <w:r w:rsidRPr="00493467">
              <w:rPr>
                <w:rFonts w:ascii="Times New Roman" w:hAnsi="Times New Roman"/>
                <w:sz w:val="24"/>
              </w:rPr>
              <w:t>Vyloučí se částka ostatních provozních výnosů obdržených od institucí, které jsou členy stejného institucionálního systému ochrany, v souladu s čl. 314 odst. 5 nařízení (EU) č. 575/2013.</w:t>
            </w:r>
          </w:p>
          <w:p w14:paraId="685D1BC1" w14:textId="04DD0137" w:rsidR="00695D35" w:rsidRPr="00493467" w:rsidRDefault="00695D35" w:rsidP="003826D3">
            <w:pPr>
              <w:spacing w:before="60" w:after="120"/>
              <w:jc w:val="both"/>
              <w:rPr>
                <w:rStyle w:val="InstructionsTabelleberschrift"/>
                <w:rFonts w:ascii="Times New Roman" w:eastAsia="Times New Roman" w:hAnsi="Times New Roman"/>
                <w:b w:val="0"/>
                <w:bCs w:val="0"/>
                <w:sz w:val="24"/>
                <w:u w:val="none"/>
              </w:rPr>
            </w:pPr>
            <w:r w:rsidRPr="00493467">
              <w:rPr>
                <w:rFonts w:ascii="Times New Roman" w:hAnsi="Times New Roman"/>
                <w:sz w:val="24"/>
              </w:rPr>
              <w:t>Částka v tomto řádku se vypočítá v souladu s čl. 314 odst. 5 nařízení (EU) č. 575/2013.</w:t>
            </w:r>
          </w:p>
        </w:tc>
      </w:tr>
      <w:tr w:rsidR="003826D3" w:rsidRPr="00493467" w14:paraId="278E4D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75E4C" w14:textId="77777777" w:rsidR="003826D3" w:rsidRPr="00493467" w:rsidRDefault="003826D3" w:rsidP="003826D3">
            <w:pPr>
              <w:autoSpaceDE w:val="0"/>
              <w:autoSpaceDN w:val="0"/>
              <w:adjustRightInd w:val="0"/>
              <w:spacing w:before="60" w:after="120"/>
              <w:jc w:val="center"/>
              <w:rPr>
                <w:rFonts w:ascii="Times New Roman" w:hAnsi="Times New Roman" w:cs="Times New Roman"/>
                <w:b/>
                <w:sz w:val="24"/>
              </w:rPr>
            </w:pPr>
            <w:proofErr w:type="gramStart"/>
            <w:r w:rsidRPr="00493467">
              <w:rPr>
                <w:rFonts w:ascii="Times New Roman" w:hAnsi="Times New Roman"/>
                <w:b/>
                <w:sz w:val="24"/>
              </w:rPr>
              <w:lastRenderedPageBreak/>
              <w:t>2d</w:t>
            </w:r>
            <w:proofErr w:type="gramEnd"/>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2C949AD" w14:textId="3ED4D7E2" w:rsidR="003826D3" w:rsidRPr="00493467" w:rsidRDefault="003826D3" w:rsidP="003826D3">
            <w:pPr>
              <w:spacing w:before="60" w:after="120"/>
              <w:jc w:val="both"/>
              <w:rPr>
                <w:rStyle w:val="InstructionsTabelleberschrift"/>
                <w:rFonts w:ascii="Times New Roman" w:eastAsia="Times New Roman" w:hAnsi="Times New Roman"/>
                <w:sz w:val="24"/>
                <w:u w:val="none"/>
              </w:rPr>
            </w:pPr>
            <w:r w:rsidRPr="00493467">
              <w:rPr>
                <w:rStyle w:val="InstructionsTabelleberschrift"/>
                <w:rFonts w:ascii="Times New Roman" w:hAnsi="Times New Roman"/>
                <w:sz w:val="24"/>
                <w:u w:val="none"/>
              </w:rPr>
              <w:t>Ostatní provozní náklady</w:t>
            </w:r>
          </w:p>
          <w:p w14:paraId="13FCDFA5" w14:textId="269315A4" w:rsidR="00B722D0" w:rsidRPr="00493467" w:rsidRDefault="009816D6" w:rsidP="003826D3">
            <w:pPr>
              <w:spacing w:before="60" w:after="120"/>
              <w:jc w:val="both"/>
              <w:rPr>
                <w:rFonts w:ascii="Times New Roman" w:eastAsia="Times New Roman" w:hAnsi="Times New Roman" w:cs="Times New Roman"/>
                <w:sz w:val="24"/>
              </w:rPr>
            </w:pPr>
            <w:r w:rsidRPr="00493467">
              <w:rPr>
                <w:rFonts w:ascii="Times New Roman" w:hAnsi="Times New Roman"/>
                <w:sz w:val="24"/>
              </w:rPr>
              <w:t>Ostatní provozní náklady včetně:</w:t>
            </w:r>
          </w:p>
          <w:p w14:paraId="0E760CEE" w14:textId="74A56BE8" w:rsidR="00643568" w:rsidRPr="00493467" w:rsidRDefault="004D0A0E" w:rsidP="002A26E9">
            <w:pPr>
              <w:pStyle w:val="ListParagraph"/>
              <w:numPr>
                <w:ilvl w:val="0"/>
                <w:numId w:val="9"/>
              </w:numPr>
              <w:spacing w:before="60" w:after="120"/>
              <w:jc w:val="both"/>
              <w:rPr>
                <w:rFonts w:ascii="Times New Roman" w:eastAsia="Times New Roman" w:hAnsi="Times New Roman"/>
                <w:sz w:val="24"/>
              </w:rPr>
            </w:pPr>
            <w:r w:rsidRPr="00493467">
              <w:rPr>
                <w:rFonts w:ascii="Times New Roman" w:hAnsi="Times New Roman"/>
                <w:sz w:val="24"/>
              </w:rPr>
              <w:t>ztrát z dlouhodobých aktiv a vyřazovaných skupin určených k prodeji, které nesplňují podmínky pro ukončované činnosti: ztráty z dlouhodobých aktiv a vyřazovaných skupin určených k prodeji, které nesplňují podmínky pro ukončované činnosti, jiné než vyplývající z událostí operačního rizika, v souladu s přílohou V částí 2 odstavcem 55 řešení orgánu EBA v oblasti informačních technologií. Vykazují se pouze ztráty; v případě zisku se hodnota pro účely tohoto řádku považuje za nulovou.</w:t>
            </w:r>
          </w:p>
          <w:p w14:paraId="0334035E" w14:textId="19D6E763" w:rsidR="00EE7608" w:rsidRPr="00493467" w:rsidRDefault="004D0A0E" w:rsidP="00EE7608">
            <w:pPr>
              <w:pStyle w:val="ListParagraph"/>
              <w:numPr>
                <w:ilvl w:val="0"/>
                <w:numId w:val="9"/>
              </w:numPr>
              <w:spacing w:before="60" w:after="120"/>
              <w:jc w:val="both"/>
              <w:rPr>
                <w:rFonts w:ascii="Times New Roman" w:eastAsia="Times New Roman" w:hAnsi="Times New Roman"/>
                <w:sz w:val="24"/>
              </w:rPr>
            </w:pPr>
            <w:r w:rsidRPr="00493467">
              <w:rPr>
                <w:rFonts w:ascii="Times New Roman" w:hAnsi="Times New Roman"/>
                <w:sz w:val="24"/>
              </w:rPr>
              <w:t>Celkové ztráty, náklady, rezervy a jiné finanční dopady způsobené událostmi operačního rizika: součet všech ztrát, nákladů, rezerv a jiných finančních dopadů souvisejících s událostmi operačního rizika vykázaných v řádku 0080 šablony C.16.03 obsažené v příloze I řešení orgánu EBA v oblasti informačních technologií.</w:t>
            </w:r>
          </w:p>
          <w:p w14:paraId="2C93E8CD" w14:textId="64776E12" w:rsidR="004D0A0E" w:rsidRPr="00493467" w:rsidRDefault="00A37C45" w:rsidP="00EE7608">
            <w:pPr>
              <w:pStyle w:val="ListParagraph"/>
              <w:numPr>
                <w:ilvl w:val="0"/>
                <w:numId w:val="9"/>
              </w:numPr>
              <w:spacing w:before="60" w:after="120"/>
              <w:jc w:val="both"/>
              <w:rPr>
                <w:rFonts w:ascii="Times New Roman" w:eastAsia="Times New Roman" w:hAnsi="Times New Roman"/>
                <w:sz w:val="24"/>
              </w:rPr>
            </w:pPr>
            <w:r w:rsidRPr="00493467">
              <w:rPr>
                <w:rFonts w:ascii="Times New Roman" w:hAnsi="Times New Roman"/>
                <w:sz w:val="24"/>
              </w:rPr>
              <w:t>Ostatní provozní náklady, jiné než náklady vyplývající z událostí operačního rizika v souladu s přílohou V částí 2 odstavci 314 a 316 řešení orgánu EBA v oblasti informačních technologií, které představují:</w:t>
            </w:r>
          </w:p>
          <w:p w14:paraId="01D56412" w14:textId="77777777" w:rsidR="004A5BBA" w:rsidRPr="00493467" w:rsidRDefault="004A5BBA" w:rsidP="004A5BBA">
            <w:pPr>
              <w:pStyle w:val="ListParagraph"/>
              <w:numPr>
                <w:ilvl w:val="1"/>
                <w:numId w:val="10"/>
              </w:numPr>
              <w:spacing w:before="60" w:after="120"/>
              <w:jc w:val="both"/>
              <w:rPr>
                <w:rFonts w:ascii="Times New Roman" w:eastAsia="Times New Roman" w:hAnsi="Times New Roman"/>
                <w:sz w:val="24"/>
              </w:rPr>
            </w:pPr>
            <w:r w:rsidRPr="00493467">
              <w:rPr>
                <w:rFonts w:ascii="Times New Roman" w:hAnsi="Times New Roman"/>
                <w:sz w:val="24"/>
              </w:rPr>
              <w:t>náklady ze změn reálné hodnoty hmotných aktiv oceněných pomocí modelu oceňování reálnou hodnotou, s výjimkou nákladů ze změn reálné hodnoty investičního nemovitého majetku, který generuje nájemné a je oceňován pomocí modelu oceňování reálnou hodnotou, z aktiv pronajatých v rámci operativního leasingu,</w:t>
            </w:r>
          </w:p>
          <w:p w14:paraId="4F8244A1" w14:textId="2CF47DAA" w:rsidR="004A5BBA" w:rsidRPr="00493467" w:rsidRDefault="004A5BBA" w:rsidP="004A5BBA">
            <w:pPr>
              <w:pStyle w:val="ListParagraph"/>
              <w:numPr>
                <w:ilvl w:val="1"/>
                <w:numId w:val="10"/>
              </w:numPr>
              <w:spacing w:before="60" w:after="120"/>
              <w:jc w:val="both"/>
              <w:rPr>
                <w:rFonts w:ascii="Times New Roman" w:eastAsia="Times New Roman" w:hAnsi="Times New Roman"/>
                <w:sz w:val="24"/>
              </w:rPr>
            </w:pPr>
            <w:r w:rsidRPr="00493467">
              <w:rPr>
                <w:rFonts w:ascii="Times New Roman" w:hAnsi="Times New Roman"/>
                <w:sz w:val="24"/>
              </w:rPr>
              <w:t>zbývající část ostatních provozních nákladů (Ostatní provozní náklady) v souladu s přílohou V částí 2 odstavci 314 a 316 řešení orgánu EBA v oblasti informačních technologií, pokud nesouvisejí s pronajatými aktivy.</w:t>
            </w:r>
          </w:p>
          <w:p w14:paraId="6CDC5FBE" w14:textId="54C68FB7" w:rsidR="004A3C86" w:rsidRPr="00493467" w:rsidRDefault="004A3C86" w:rsidP="00EE7608">
            <w:pPr>
              <w:spacing w:before="60" w:after="120"/>
              <w:jc w:val="both"/>
              <w:rPr>
                <w:rStyle w:val="InstructionsTabelleberschrift"/>
                <w:rFonts w:ascii="Times New Roman" w:eastAsia="Times New Roman" w:hAnsi="Times New Roman"/>
                <w:b w:val="0"/>
                <w:bCs w:val="0"/>
                <w:sz w:val="24"/>
                <w:u w:val="none"/>
              </w:rPr>
            </w:pPr>
            <w:r w:rsidRPr="00493467">
              <w:rPr>
                <w:rStyle w:val="InstructionsTabelleberschrift"/>
                <w:rFonts w:ascii="Times New Roman" w:hAnsi="Times New Roman"/>
                <w:b w:val="0"/>
                <w:sz w:val="24"/>
                <w:u w:val="none"/>
              </w:rPr>
              <w:t>Vyloučí se částka ostatních provozních nákladů uhrazených institucím, které jsou členy stejného institucionálního systému ochrany, v souladu s čl. 314 odst. 5 nařízení (EU) č. 575/2013.</w:t>
            </w:r>
          </w:p>
          <w:p w14:paraId="6F1C30F0" w14:textId="3B05E985" w:rsidR="003826D3" w:rsidRPr="00493467" w:rsidRDefault="00DE3384" w:rsidP="003826D3">
            <w:pPr>
              <w:spacing w:before="60" w:after="120"/>
              <w:jc w:val="both"/>
              <w:rPr>
                <w:rStyle w:val="InstructionsTabelleberschrift"/>
                <w:rFonts w:ascii="Times New Roman" w:eastAsia="Times New Roman" w:hAnsi="Times New Roman"/>
                <w:sz w:val="24"/>
              </w:rPr>
            </w:pPr>
            <w:r w:rsidRPr="00493467">
              <w:rPr>
                <w:rFonts w:ascii="Times New Roman" w:hAnsi="Times New Roman"/>
                <w:sz w:val="24"/>
              </w:rPr>
              <w:lastRenderedPageBreak/>
              <w:t>Částka v tomto řádku se vypočítá v souladu s čl. 314 odst. 5 nařízení (EU) č. 575/2013.</w:t>
            </w:r>
          </w:p>
        </w:tc>
      </w:tr>
      <w:tr w:rsidR="003826D3" w:rsidRPr="00493467" w14:paraId="7FA7A9F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4E87AB3" w14:textId="77777777" w:rsidR="003826D3" w:rsidRPr="00493467" w:rsidRDefault="003826D3" w:rsidP="003826D3">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lastRenderedPageBreak/>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5B7EDDC" w14:textId="77777777" w:rsidR="003826D3" w:rsidRPr="00493467" w:rsidRDefault="003826D3" w:rsidP="003826D3">
            <w:pPr>
              <w:spacing w:before="60" w:after="120"/>
              <w:jc w:val="both"/>
              <w:rPr>
                <w:rStyle w:val="InstructionsTabelleberschrift"/>
                <w:rFonts w:ascii="Times New Roman" w:eastAsia="Times New Roman" w:hAnsi="Times New Roman"/>
                <w:bCs w:val="0"/>
                <w:sz w:val="24"/>
                <w:u w:val="none"/>
              </w:rPr>
            </w:pPr>
            <w:r w:rsidRPr="00493467">
              <w:rPr>
                <w:rStyle w:val="InstructionsTabelleberschrift"/>
                <w:rFonts w:ascii="Times New Roman" w:hAnsi="Times New Roman"/>
                <w:sz w:val="24"/>
                <w:u w:val="none"/>
              </w:rPr>
              <w:t>Finanční složka (FC)</w:t>
            </w:r>
          </w:p>
          <w:p w14:paraId="1C2CD9AE" w14:textId="16B8F7FC" w:rsidR="003826D3" w:rsidRPr="00493467" w:rsidRDefault="00DE3384" w:rsidP="003826D3">
            <w:pPr>
              <w:spacing w:before="60" w:after="120"/>
              <w:jc w:val="both"/>
              <w:rPr>
                <w:rStyle w:val="InstructionsTabelleberschrift"/>
                <w:rFonts w:ascii="Times New Roman" w:eastAsia="Times New Roman" w:hAnsi="Times New Roman"/>
                <w:b w:val="0"/>
                <w:bCs w:val="0"/>
                <w:sz w:val="24"/>
                <w:u w:val="none"/>
              </w:rPr>
            </w:pPr>
            <w:r w:rsidRPr="00493467">
              <w:rPr>
                <w:rStyle w:val="InstructionsTabelleberschrift"/>
                <w:rFonts w:ascii="Times New Roman" w:hAnsi="Times New Roman"/>
                <w:b w:val="0"/>
                <w:sz w:val="24"/>
                <w:u w:val="none"/>
              </w:rPr>
              <w:t xml:space="preserve">Finanční složka (FC) vypočítaná v souladu s čl. 314 odst. 6 nařízení (EU) č. 575/2013. </w:t>
            </w:r>
            <w:r w:rsidRPr="00493467">
              <w:rPr>
                <w:rFonts w:ascii="Times New Roman" w:hAnsi="Times New Roman"/>
                <w:sz w:val="24"/>
              </w:rPr>
              <w:t>Pokud se na instituci vztahuje odchylka uvedená v čl. 314 odst. 4 nařízení (EU) č. 575/2013, nezahrne instituce údaje z linií podnikání retailového a komerčního bankovnictví.</w:t>
            </w:r>
          </w:p>
        </w:tc>
      </w:tr>
      <w:tr w:rsidR="003826D3" w:rsidRPr="00493467" w14:paraId="2B14924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3187E8" w14:textId="77777777" w:rsidR="003826D3" w:rsidRPr="00493467" w:rsidRDefault="003826D3" w:rsidP="003826D3">
            <w:pPr>
              <w:autoSpaceDE w:val="0"/>
              <w:autoSpaceDN w:val="0"/>
              <w:adjustRightInd w:val="0"/>
              <w:spacing w:before="60" w:after="120"/>
              <w:jc w:val="center"/>
              <w:rPr>
                <w:rFonts w:ascii="Times New Roman" w:hAnsi="Times New Roman" w:cs="Times New Roman"/>
                <w:b/>
                <w:sz w:val="24"/>
              </w:rPr>
            </w:pPr>
            <w:proofErr w:type="gramStart"/>
            <w:r w:rsidRPr="00493467">
              <w:rPr>
                <w:rFonts w:ascii="Times New Roman" w:hAnsi="Times New Roman"/>
                <w:b/>
                <w:sz w:val="24"/>
              </w:rPr>
              <w:t>3a</w:t>
            </w:r>
            <w:proofErr w:type="gramEnd"/>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37BB41" w14:textId="6F0E6551" w:rsidR="003826D3" w:rsidRPr="00493467" w:rsidRDefault="003826D3" w:rsidP="003826D3">
            <w:pPr>
              <w:spacing w:before="60" w:after="120"/>
              <w:jc w:val="both"/>
              <w:rPr>
                <w:rStyle w:val="InstructionsTabelleberschrift"/>
                <w:rFonts w:ascii="Times New Roman" w:eastAsia="Times New Roman" w:hAnsi="Times New Roman"/>
                <w:bCs w:val="0"/>
                <w:sz w:val="24"/>
                <w:u w:val="none"/>
              </w:rPr>
            </w:pPr>
            <w:r w:rsidRPr="00493467">
              <w:rPr>
                <w:rStyle w:val="InstructionsTabelleberschrift"/>
                <w:rFonts w:ascii="Times New Roman" w:hAnsi="Times New Roman"/>
                <w:sz w:val="24"/>
                <w:u w:val="none"/>
              </w:rPr>
              <w:t>Čistý zisk nebo ztráta vztahující se na obchodní portfolio</w:t>
            </w:r>
          </w:p>
          <w:p w14:paraId="4E177CA3" w14:textId="4C472892" w:rsidR="003826D3" w:rsidRPr="00493467" w:rsidRDefault="003826D3" w:rsidP="003826D3">
            <w:pPr>
              <w:spacing w:before="60" w:after="120"/>
              <w:jc w:val="both"/>
              <w:rPr>
                <w:rStyle w:val="InstructionsTabelleberschrift"/>
                <w:rFonts w:ascii="Times New Roman" w:hAnsi="Times New Roman"/>
                <w:b w:val="0"/>
                <w:bCs w:val="0"/>
                <w:sz w:val="24"/>
                <w:u w:val="none"/>
              </w:rPr>
            </w:pPr>
            <w:r w:rsidRPr="00493467">
              <w:rPr>
                <w:rStyle w:val="InstructionsTabelleberschrift"/>
                <w:rFonts w:ascii="Times New Roman" w:hAnsi="Times New Roman"/>
                <w:b w:val="0"/>
                <w:sz w:val="24"/>
                <w:u w:val="none"/>
              </w:rPr>
              <w:t>Čistý zisk nebo ztráta vztahující se na obchodní portfolio se vypočítá jako součet:</w:t>
            </w:r>
          </w:p>
          <w:p w14:paraId="6324889B" w14:textId="380EDA28" w:rsidR="008A379C" w:rsidRPr="00493467" w:rsidRDefault="008A379C" w:rsidP="00232265">
            <w:pPr>
              <w:pStyle w:val="Style1"/>
              <w:rPr>
                <w:rStyle w:val="InstructionsTabelleberschrift"/>
                <w:rFonts w:ascii="Times New Roman" w:hAnsi="Times New Roman"/>
                <w:b w:val="0"/>
                <w:bCs w:val="0"/>
                <w:sz w:val="24"/>
                <w:u w:val="none"/>
              </w:rPr>
            </w:pPr>
            <w:r w:rsidRPr="00493467">
              <w:rPr>
                <w:u w:val="single"/>
              </w:rPr>
              <w:t>čistých zisků nebo (-) ztrát z finančních aktiv a závazků k obchodování a obchodovatelných:</w:t>
            </w:r>
            <w:r w:rsidRPr="00493467">
              <w:t xml:space="preserve"> zisky nebo (-) ztráty z finančních aktiv a závazků k obchodování v souladu s přílohou V částí 2 odstavci 43 a 46 řešení orgánu EBA v oblasti informačních technologií nebo z obchodovatelných finančních aktiv a závazků v souladu s článkem 27 (Vertikální formát (bod 6)) směrnice Rady 86/635/EHS („směrnice o účetních závěrkách bank“),</w:t>
            </w:r>
          </w:p>
          <w:p w14:paraId="0B998657" w14:textId="654F8692" w:rsidR="008A379C" w:rsidRPr="00493467" w:rsidRDefault="008A379C" w:rsidP="00232265">
            <w:pPr>
              <w:pStyle w:val="Style1"/>
              <w:rPr>
                <w:rStyle w:val="InstructionsTabelleberschrift"/>
                <w:rFonts w:ascii="Times New Roman" w:hAnsi="Times New Roman"/>
                <w:b w:val="0"/>
                <w:bCs w:val="0"/>
                <w:sz w:val="24"/>
                <w:u w:val="none"/>
              </w:rPr>
            </w:pPr>
            <w:r w:rsidRPr="00493467">
              <w:rPr>
                <w:u w:val="single"/>
              </w:rPr>
              <w:t>čistých zisků nebo (-) ztrát ze zajišťovacího účetnictví</w:t>
            </w:r>
            <w:r w:rsidRPr="00493467">
              <w:t>: čisté zisky nebo (-) ztráty ze zajišťovacího účetnictví v rámci složky obchodního portfolia pouze za výjimečných okolností, kdy se zajišťovací účetnictví v souladu s přílohou V částí 2 odstavcem 47 řešení orgánu EBA v oblasti informačních technologií nebo v souladu s čl. 8 odst. 1 písm. a), odst. 6 a 8 směrnice o účetnictví používá pro zajištění finančních aktiv a závazků k obchodování nebo obchodovatelných finančních aktiv a závazků, a</w:t>
            </w:r>
          </w:p>
          <w:p w14:paraId="1BC37DE4" w14:textId="36EA6A27" w:rsidR="008A379C" w:rsidRPr="00493467" w:rsidRDefault="008A379C" w:rsidP="00232265">
            <w:pPr>
              <w:pStyle w:val="Style1"/>
              <w:rPr>
                <w:rStyle w:val="InstructionsTabelleberschrift"/>
                <w:rFonts w:ascii="Times New Roman" w:hAnsi="Times New Roman"/>
                <w:b w:val="0"/>
                <w:bCs w:val="0"/>
                <w:sz w:val="24"/>
                <w:u w:val="none"/>
              </w:rPr>
            </w:pPr>
            <w:r w:rsidRPr="00493467">
              <w:rPr>
                <w:u w:val="single"/>
              </w:rPr>
              <w:t>čistých kurzových rozdílů [zisk nebo (-) ztráta] souvisejících s obchodním portfoliem:</w:t>
            </w:r>
            <w:r w:rsidRPr="00493467">
              <w:t xml:space="preserve"> čisté kurzové rozdíly [zisk nebo (-) ztráta], pouze pokud tyto rozdíly vypočtené podle IAS 21 odst. 28, odst. 52 písm. a) nebo podle článku 39 směrnice o účetních závěrkách bank pocházejí z finančních aktiv a závazků k obchodování nebo obchodovatelných finančních aktiv a závazků.</w:t>
            </w:r>
          </w:p>
          <w:p w14:paraId="761552C0" w14:textId="5BF82331" w:rsidR="001E5563" w:rsidRPr="00493467" w:rsidRDefault="001E5563" w:rsidP="00762F17">
            <w:pPr>
              <w:pStyle w:val="paragraph"/>
              <w:jc w:val="both"/>
              <w:textAlignment w:val="baseline"/>
              <w:rPr>
                <w:rStyle w:val="InstructionsTabelleberschrift"/>
                <w:rFonts w:ascii="Segoe UI" w:hAnsi="Segoe UI" w:cs="Segoe UI"/>
              </w:rPr>
            </w:pPr>
            <w:r w:rsidRPr="00493467">
              <w:t>Hodnoty, které mají být zpřístupněny, budou odrážet účetní hodnoty stanovené s použitím účetní hranice nebo obezřetnostní hranice (přístup založený na obezřetnostní hranici) k identifikaci položek obchodního portfolia a investičního portfolia za každé z posledních 3 účetních období v souladu s čl. 314 odst. 6 nařízení (EU) č. 575/2013.</w:t>
            </w:r>
          </w:p>
        </w:tc>
      </w:tr>
      <w:tr w:rsidR="003826D3" w:rsidRPr="00493467" w14:paraId="769832B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F3C7174" w14:textId="77777777" w:rsidR="003826D3" w:rsidRPr="00493467" w:rsidRDefault="003826D3" w:rsidP="003826D3">
            <w:pPr>
              <w:autoSpaceDE w:val="0"/>
              <w:autoSpaceDN w:val="0"/>
              <w:adjustRightInd w:val="0"/>
              <w:spacing w:before="60" w:after="120"/>
              <w:jc w:val="center"/>
              <w:rPr>
                <w:rFonts w:ascii="Times New Roman" w:hAnsi="Times New Roman" w:cs="Times New Roman"/>
                <w:b/>
                <w:sz w:val="24"/>
              </w:rPr>
            </w:pPr>
            <w:proofErr w:type="gramStart"/>
            <w:r w:rsidRPr="00493467">
              <w:rPr>
                <w:rFonts w:ascii="Times New Roman" w:hAnsi="Times New Roman"/>
                <w:b/>
                <w:sz w:val="24"/>
              </w:rPr>
              <w:t>3b</w:t>
            </w:r>
            <w:proofErr w:type="gramEnd"/>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949CD" w14:textId="505506A8" w:rsidR="003826D3" w:rsidRPr="00493467" w:rsidRDefault="003826D3" w:rsidP="003826D3">
            <w:pPr>
              <w:spacing w:before="60" w:after="120"/>
              <w:jc w:val="both"/>
              <w:rPr>
                <w:rStyle w:val="InstructionsTabelleberschrift"/>
                <w:rFonts w:ascii="Times New Roman" w:eastAsia="Times New Roman" w:hAnsi="Times New Roman"/>
                <w:bCs w:val="0"/>
                <w:sz w:val="24"/>
                <w:u w:val="none"/>
              </w:rPr>
            </w:pPr>
            <w:r w:rsidRPr="00493467">
              <w:rPr>
                <w:rStyle w:val="InstructionsTabelleberschrift"/>
                <w:rFonts w:ascii="Times New Roman" w:hAnsi="Times New Roman"/>
                <w:sz w:val="24"/>
                <w:u w:val="none"/>
              </w:rPr>
              <w:t>Čistý zisk nebo ztráta vztahující se na investiční portfolio</w:t>
            </w:r>
          </w:p>
          <w:p w14:paraId="16F13570" w14:textId="0B537F1A" w:rsidR="003826D3" w:rsidRPr="00493467" w:rsidRDefault="003826D3" w:rsidP="003826D3">
            <w:pPr>
              <w:spacing w:before="60" w:after="120"/>
              <w:jc w:val="both"/>
              <w:rPr>
                <w:rStyle w:val="InstructionsTabelleberschrift"/>
                <w:rFonts w:ascii="Times New Roman" w:eastAsia="Times New Roman" w:hAnsi="Times New Roman"/>
                <w:b w:val="0"/>
                <w:bCs w:val="0"/>
                <w:sz w:val="24"/>
                <w:u w:val="none"/>
              </w:rPr>
            </w:pPr>
            <w:r w:rsidRPr="00493467">
              <w:rPr>
                <w:rStyle w:val="InstructionsTabelleberschrift"/>
                <w:rFonts w:ascii="Times New Roman" w:hAnsi="Times New Roman"/>
                <w:b w:val="0"/>
                <w:sz w:val="24"/>
                <w:u w:val="none"/>
              </w:rPr>
              <w:t>Čistý zisk nebo ztráta vztahující se na investiční portfolio se vypočítá jako součet:</w:t>
            </w:r>
          </w:p>
          <w:p w14:paraId="4816B36A" w14:textId="59F72F36" w:rsidR="008F0781" w:rsidRPr="00493467" w:rsidRDefault="008F0781" w:rsidP="00232265">
            <w:pPr>
              <w:pStyle w:val="Style1"/>
            </w:pPr>
            <w:r w:rsidRPr="00493467">
              <w:rPr>
                <w:u w:val="single"/>
              </w:rPr>
              <w:t>čistých zisků nebo (-) ztrát z odúčtování finančních aktiv a závazků neoceňovaných v reálné hodnotě do zisku nebo ztráty</w:t>
            </w:r>
            <w:r w:rsidRPr="00493467">
              <w:t xml:space="preserve">: čisté zisky nebo (-) ztráty z odúčtování finančních aktiv a závazků neoceňovaných v reálné hodnotě do zisku nebo ztráty v souladu s přílohou V částí 2 odstavcem 45 řešení orgánu EBA v oblasti informačních technologií </w:t>
            </w:r>
            <w:r w:rsidRPr="00493467">
              <w:lastRenderedPageBreak/>
              <w:t>nebo článkem 27 (Vertikální formát (bod 6)) směrnice o účetních závěrkách bank,</w:t>
            </w:r>
          </w:p>
          <w:p w14:paraId="29EDCF43" w14:textId="7ADB0AAC" w:rsidR="008F0781" w:rsidRPr="00493467" w:rsidRDefault="008F0781" w:rsidP="00232265">
            <w:pPr>
              <w:pStyle w:val="Style1"/>
            </w:pPr>
            <w:r w:rsidRPr="00493467">
              <w:rPr>
                <w:u w:val="single"/>
              </w:rPr>
              <w:t>čistých zisků nebo (-) ztrát z neobchodních finančních aktiv povinně oceňovaných v reálné hodnotě vykázaných do zisku nebo ztráty</w:t>
            </w:r>
            <w:r w:rsidRPr="00493467">
              <w:t>: vykazují se čisté zisky nebo (-) ztráty z neobchodních finančních aktiv povinně oceňovaných v reálné hodnotě vykázané do zisku nebo ztráty v souladu s přílohou V částí 2 odstavcem 46 řešení orgánu EBA v oblasti informačních technologií,</w:t>
            </w:r>
          </w:p>
          <w:p w14:paraId="23350A71" w14:textId="40356371" w:rsidR="008F0781" w:rsidRPr="00493467" w:rsidRDefault="008F0781" w:rsidP="00232265">
            <w:pPr>
              <w:pStyle w:val="Style1"/>
            </w:pPr>
            <w:r w:rsidRPr="00493467">
              <w:rPr>
                <w:u w:val="single"/>
              </w:rPr>
              <w:t>čistých zisků nebo (-) ztrát z finančních aktiv a závazků v reálné hodnotě vykázaných do zisku nebo ztráty</w:t>
            </w:r>
            <w:r w:rsidRPr="00493467">
              <w:t>: čisté zisky nebo (-) ztráty z finančních aktiv a závazků v reálné hodnotě vykázané do zisku nebo ztráty v souladu s přílohou V částí 2 odstavcem 44 řešení orgánu EBA v oblasti informačních technologií,</w:t>
            </w:r>
          </w:p>
          <w:p w14:paraId="44DE675E" w14:textId="5B34C2BC" w:rsidR="008F0781" w:rsidRPr="00493467" w:rsidRDefault="008F0781" w:rsidP="00232265">
            <w:pPr>
              <w:pStyle w:val="Style1"/>
            </w:pPr>
            <w:r w:rsidRPr="00493467">
              <w:rPr>
                <w:u w:val="single"/>
              </w:rPr>
              <w:t>čistých zisků nebo (-) ztrát ze zajišťovacího účetnictví souvisejících s investičním portfoliem</w:t>
            </w:r>
            <w:r w:rsidRPr="00493467">
              <w:t>: čisté zisky nebo (-) ztráty ze zajišťovacího účetnictví v souladu s přílohou V částí 2 odstavcem 47 řešení orgánu EBA v oblasti informačních technologií nebo v souladu s čl. 8 odst. 1 písm. a) a odst. 6 a 8 směrnice o účetnictví, pokud tyto zisky nebo ztráty pocházejí z finančních aktiv a závazků v investičním portfoliu, a</w:t>
            </w:r>
          </w:p>
          <w:p w14:paraId="23306495" w14:textId="6A259674" w:rsidR="008F0781" w:rsidRPr="00493467" w:rsidRDefault="008F0781" w:rsidP="00232265">
            <w:pPr>
              <w:pStyle w:val="Style1"/>
            </w:pPr>
            <w:r w:rsidRPr="00493467">
              <w:rPr>
                <w:u w:val="single"/>
              </w:rPr>
              <w:t>čistých kurzových rozdílů [zisk nebo (-) ztráta] souvisejících s investičním portfoliem</w:t>
            </w:r>
            <w:r w:rsidRPr="00493467">
              <w:t>: čisté kurzové rozdíly [zisk nebo (-) ztráta] v souladu s IAS 21 odst. 28, odst. 52 písm. a) nebo v souladu s článkem 39 směrnice o účetních závěrkách bank, pokud tyto rozdíly pocházejí z finančních aktiv a závazků v investičním portfoliu.</w:t>
            </w:r>
          </w:p>
          <w:p w14:paraId="3E9BB5BF" w14:textId="1D3FC8A9" w:rsidR="00F26A2D" w:rsidRPr="00493467" w:rsidRDefault="001E5563" w:rsidP="00F26A2D">
            <w:pPr>
              <w:spacing w:before="60" w:after="120"/>
              <w:jc w:val="both"/>
              <w:rPr>
                <w:rStyle w:val="InstructionsTabelleberschrift"/>
                <w:rFonts w:asciiTheme="majorBidi" w:hAnsiTheme="majorBidi" w:cstheme="majorBidi"/>
                <w:sz w:val="24"/>
                <w:u w:val="none"/>
              </w:rPr>
            </w:pPr>
            <w:r w:rsidRPr="00493467">
              <w:rPr>
                <w:rFonts w:asciiTheme="majorBidi" w:hAnsiTheme="majorBidi"/>
                <w:sz w:val="24"/>
              </w:rPr>
              <w:t>Hodnoty, které mají být zpřístupněny, budou odrážet účetní hodnoty stanovené s použitím účetní hranice nebo obezřetnostní hranice (přístup založený na obezřetnostní hranici) k identifikaci položek obchodního portfolia a investičního portfolia za každé z posledních 3 účetních období v souladu s čl. 314 odst. 6 nařízení (EU) č. 575/2013.</w:t>
            </w:r>
          </w:p>
        </w:tc>
      </w:tr>
      <w:tr w:rsidR="003826D3" w:rsidRPr="00493467" w14:paraId="4C01E0E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F21AD" w14:textId="77777777" w:rsidR="003826D3" w:rsidRPr="00493467" w:rsidRDefault="003826D3" w:rsidP="003826D3">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lastRenderedPageBreak/>
              <w:t>EU 3c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61BB97F" w14:textId="3301C86C" w:rsidR="003826D3" w:rsidRPr="00493467" w:rsidRDefault="008C3E6A" w:rsidP="003826D3">
            <w:pPr>
              <w:spacing w:before="60" w:after="120"/>
              <w:jc w:val="both"/>
              <w:rPr>
                <w:rStyle w:val="InstructionsTabelleberschrift"/>
                <w:rFonts w:ascii="Times New Roman" w:eastAsia="Times New Roman" w:hAnsi="Times New Roman"/>
                <w:bCs w:val="0"/>
                <w:sz w:val="24"/>
                <w:u w:val="none"/>
              </w:rPr>
            </w:pPr>
            <w:r w:rsidRPr="00493467">
              <w:rPr>
                <w:rStyle w:val="InstructionsTabelleberschrift"/>
                <w:rFonts w:ascii="Times New Roman" w:hAnsi="Times New Roman"/>
                <w:sz w:val="24"/>
                <w:u w:val="none"/>
              </w:rPr>
              <w:t>Přístup, který se používá ke stanovení hranice obchodního portfolia / investičního portfolia (přístup založený na obezřetnostní hranici nebo účetní přístup)</w:t>
            </w:r>
          </w:p>
          <w:p w14:paraId="00A81A34" w14:textId="0A7D6D1A" w:rsidR="003826D3" w:rsidRPr="00493467" w:rsidRDefault="003826D3" w:rsidP="003826D3">
            <w:pPr>
              <w:spacing w:before="60" w:after="120"/>
              <w:jc w:val="both"/>
              <w:rPr>
                <w:rStyle w:val="InstructionsTabelleberschrift"/>
                <w:rFonts w:ascii="Times New Roman" w:eastAsia="Times New Roman" w:hAnsi="Times New Roman"/>
                <w:b w:val="0"/>
                <w:bCs w:val="0"/>
                <w:sz w:val="24"/>
                <w:u w:val="none"/>
              </w:rPr>
            </w:pPr>
            <w:r w:rsidRPr="00493467">
              <w:rPr>
                <w:rStyle w:val="InstructionsTabelleberschrift"/>
                <w:rFonts w:ascii="Times New Roman" w:hAnsi="Times New Roman"/>
                <w:b w:val="0"/>
                <w:sz w:val="24"/>
                <w:u w:val="none"/>
              </w:rPr>
              <w:t>Přístup použitý k referenčnímu datu pro stanovení finanční složky: účetní nebo obezřetnostní klasifikace (přístup založený na obezřetnostní hranici). Tento přístup se používá konzistentně pro částky zveřejněné za každé z posledních tří účetních období.</w:t>
            </w:r>
          </w:p>
        </w:tc>
      </w:tr>
      <w:tr w:rsidR="003826D3" w:rsidRPr="00493467" w14:paraId="130758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EF276" w14:textId="77777777" w:rsidR="003826D3" w:rsidRPr="00493467" w:rsidRDefault="003826D3" w:rsidP="003826D3">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882AA" w14:textId="77777777" w:rsidR="003826D3" w:rsidRPr="00493467" w:rsidRDefault="003826D3" w:rsidP="003826D3">
            <w:pPr>
              <w:spacing w:before="60" w:after="120"/>
              <w:jc w:val="both"/>
              <w:rPr>
                <w:rStyle w:val="InstructionsTabelleberschrift"/>
                <w:rFonts w:ascii="Times New Roman" w:eastAsia="Times New Roman" w:hAnsi="Times New Roman"/>
                <w:bCs w:val="0"/>
                <w:sz w:val="24"/>
                <w:u w:val="none"/>
              </w:rPr>
            </w:pPr>
            <w:r w:rsidRPr="00493467">
              <w:rPr>
                <w:rStyle w:val="InstructionsTabelleberschrift"/>
                <w:rFonts w:ascii="Times New Roman" w:hAnsi="Times New Roman"/>
                <w:sz w:val="24"/>
                <w:u w:val="none"/>
              </w:rPr>
              <w:t>Obchodní ukazatel (BI)</w:t>
            </w:r>
          </w:p>
          <w:p w14:paraId="35C99FE1" w14:textId="0AFECB29" w:rsidR="003826D3" w:rsidRPr="00493467"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493467">
              <w:rPr>
                <w:rFonts w:asciiTheme="majorBidi" w:hAnsiTheme="majorBidi"/>
                <w:sz w:val="24"/>
              </w:rPr>
              <w:t>Obchodní ukazatel vypočítaný v souladu s čl. 314 odst. 1 nařízení (EU) č. 575/2013, který je součtem těchto tří složek: ILDC, SC a FC.</w:t>
            </w:r>
          </w:p>
        </w:tc>
      </w:tr>
      <w:tr w:rsidR="003826D3" w:rsidRPr="00493467" w14:paraId="45662CD2"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29C54" w14:textId="77777777" w:rsidR="003826D3" w:rsidRPr="00493467" w:rsidRDefault="003826D3" w:rsidP="003826D3">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93F910" w14:textId="77777777" w:rsidR="003826D3" w:rsidRPr="00493467" w:rsidRDefault="003826D3" w:rsidP="003826D3">
            <w:pPr>
              <w:spacing w:before="60" w:after="120"/>
              <w:jc w:val="both"/>
              <w:rPr>
                <w:rStyle w:val="InstructionsTabelleberschrift"/>
                <w:rFonts w:ascii="Times New Roman" w:eastAsia="Times New Roman" w:hAnsi="Times New Roman"/>
                <w:sz w:val="24"/>
                <w:u w:val="none"/>
              </w:rPr>
            </w:pPr>
            <w:r w:rsidRPr="00493467">
              <w:rPr>
                <w:rStyle w:val="InstructionsTabelleberschrift"/>
                <w:rFonts w:ascii="Times New Roman" w:hAnsi="Times New Roman"/>
                <w:sz w:val="24"/>
                <w:u w:val="none"/>
              </w:rPr>
              <w:t>Složka obchodního ukazatele (BIC)</w:t>
            </w:r>
          </w:p>
          <w:p w14:paraId="4AC6BDA5" w14:textId="5507A684" w:rsidR="003826D3" w:rsidRPr="00493467" w:rsidRDefault="003826D3" w:rsidP="003826D3">
            <w:pPr>
              <w:spacing w:before="60" w:after="120"/>
              <w:jc w:val="both"/>
              <w:rPr>
                <w:rStyle w:val="InstructionsTabelleberschrift"/>
                <w:rFonts w:ascii="Times New Roman" w:eastAsia="Times New Roman" w:hAnsi="Times New Roman"/>
                <w:b w:val="0"/>
                <w:bCs w:val="0"/>
                <w:sz w:val="24"/>
                <w:u w:val="none"/>
              </w:rPr>
            </w:pPr>
            <w:r w:rsidRPr="00493467">
              <w:rPr>
                <w:rFonts w:ascii="Times New Roman" w:hAnsi="Times New Roman"/>
                <w:sz w:val="24"/>
              </w:rPr>
              <w:t xml:space="preserve">Složka obchodního ukazatele vypočítaná v souladu s článkem 313 nařízení (EU) č. 575/2013. </w:t>
            </w:r>
          </w:p>
        </w:tc>
      </w:tr>
      <w:tr w:rsidR="003826D3" w:rsidRPr="00493467" w14:paraId="246D346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D251DF" w14:textId="77777777" w:rsidR="003826D3" w:rsidRPr="00493467" w:rsidRDefault="003826D3" w:rsidP="003826D3">
            <w:pPr>
              <w:autoSpaceDE w:val="0"/>
              <w:autoSpaceDN w:val="0"/>
              <w:adjustRightInd w:val="0"/>
              <w:spacing w:before="60" w:after="120"/>
              <w:jc w:val="center"/>
              <w:rPr>
                <w:rFonts w:ascii="Times New Roman" w:hAnsi="Times New Roman" w:cs="Times New Roman"/>
                <w:b/>
                <w:sz w:val="24"/>
              </w:rPr>
            </w:pPr>
            <w:proofErr w:type="gramStart"/>
            <w:r w:rsidRPr="00493467">
              <w:rPr>
                <w:rFonts w:ascii="Times New Roman" w:hAnsi="Times New Roman"/>
                <w:b/>
                <w:sz w:val="24"/>
              </w:rPr>
              <w:lastRenderedPageBreak/>
              <w:t>6a</w:t>
            </w:r>
            <w:proofErr w:type="gramEnd"/>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D331" w14:textId="77777777" w:rsidR="003826D3" w:rsidRPr="00493467" w:rsidRDefault="003826D3" w:rsidP="00E515FD">
            <w:pPr>
              <w:keepNext/>
              <w:spacing w:before="60" w:after="120"/>
              <w:jc w:val="both"/>
              <w:rPr>
                <w:rStyle w:val="InstructionsTabelleberschrift"/>
                <w:rFonts w:ascii="Times New Roman" w:eastAsia="Times New Roman" w:hAnsi="Times New Roman"/>
                <w:bCs w:val="0"/>
                <w:sz w:val="24"/>
                <w:u w:val="none"/>
              </w:rPr>
            </w:pPr>
            <w:r w:rsidRPr="00493467">
              <w:rPr>
                <w:rStyle w:val="InstructionsTabelleberschrift"/>
                <w:rFonts w:ascii="Times New Roman" w:hAnsi="Times New Roman"/>
                <w:sz w:val="24"/>
                <w:u w:val="none"/>
              </w:rPr>
              <w:t>Obchodní ukazatel bez zohlednění vyloučených ukončených činností</w:t>
            </w:r>
          </w:p>
          <w:p w14:paraId="4B01F051" w14:textId="678BE249" w:rsidR="003826D3" w:rsidRPr="00493467"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493467">
              <w:rPr>
                <w:rFonts w:asciiTheme="majorBidi" w:hAnsiTheme="majorBidi"/>
                <w:sz w:val="24"/>
              </w:rPr>
              <w:t>Hodnota obchodního ukazatele včetně vyloučených ukončených činností v souladu s čl. 315 odst. 2 nařízení (EU) č. 575/2013.</w:t>
            </w:r>
          </w:p>
        </w:tc>
      </w:tr>
      <w:tr w:rsidR="003826D3" w:rsidRPr="00493467" w14:paraId="6ADC8B4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7F6F18" w14:textId="77777777" w:rsidR="003826D3" w:rsidRPr="00493467" w:rsidRDefault="003826D3" w:rsidP="003826D3">
            <w:pPr>
              <w:autoSpaceDE w:val="0"/>
              <w:autoSpaceDN w:val="0"/>
              <w:adjustRightInd w:val="0"/>
              <w:spacing w:before="60" w:after="120"/>
              <w:jc w:val="center"/>
              <w:rPr>
                <w:rFonts w:ascii="Times New Roman" w:hAnsi="Times New Roman" w:cs="Times New Roman"/>
                <w:b/>
                <w:sz w:val="24"/>
              </w:rPr>
            </w:pPr>
            <w:proofErr w:type="gramStart"/>
            <w:r w:rsidRPr="00493467">
              <w:rPr>
                <w:rFonts w:ascii="Times New Roman" w:hAnsi="Times New Roman"/>
                <w:b/>
                <w:sz w:val="24"/>
              </w:rPr>
              <w:t>6b</w:t>
            </w:r>
            <w:proofErr w:type="gramEnd"/>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D596E1" w14:textId="5FAE8014" w:rsidR="003826D3" w:rsidRPr="00493467" w:rsidRDefault="003826D3" w:rsidP="003826D3">
            <w:pPr>
              <w:spacing w:before="60" w:after="120"/>
              <w:jc w:val="both"/>
              <w:rPr>
                <w:rStyle w:val="InstructionsTabelleberschrift"/>
                <w:rFonts w:ascii="Times New Roman" w:eastAsia="Times New Roman" w:hAnsi="Times New Roman"/>
                <w:bCs w:val="0"/>
                <w:sz w:val="24"/>
                <w:u w:val="none"/>
              </w:rPr>
            </w:pPr>
            <w:r w:rsidRPr="00493467">
              <w:rPr>
                <w:rStyle w:val="InstructionsTabelleberschrift"/>
                <w:rFonts w:ascii="Times New Roman" w:hAnsi="Times New Roman"/>
                <w:sz w:val="24"/>
                <w:u w:val="none"/>
              </w:rPr>
              <w:t>Snížení obchodního ukazatele v důsledku vyloučených ukončených činností</w:t>
            </w:r>
          </w:p>
          <w:p w14:paraId="100A0132" w14:textId="636B5EF6" w:rsidR="003826D3" w:rsidRPr="00493467"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493467">
              <w:rPr>
                <w:rFonts w:asciiTheme="majorBidi" w:hAnsiTheme="majorBidi"/>
                <w:sz w:val="24"/>
              </w:rPr>
              <w:t>Rozdíl mezi obchodním ukazatelem bez zohlednění ukončených činností (řádek </w:t>
            </w:r>
            <w:proofErr w:type="gramStart"/>
            <w:r w:rsidRPr="00493467">
              <w:rPr>
                <w:rFonts w:asciiTheme="majorBidi" w:hAnsiTheme="majorBidi"/>
                <w:sz w:val="24"/>
              </w:rPr>
              <w:t>6a</w:t>
            </w:r>
            <w:proofErr w:type="gramEnd"/>
            <w:r w:rsidRPr="00493467">
              <w:rPr>
                <w:rFonts w:asciiTheme="majorBidi" w:hAnsiTheme="majorBidi"/>
                <w:sz w:val="24"/>
              </w:rPr>
              <w:t xml:space="preserve">) a celkovým obchodním ukazatelem (řádek 4). </w:t>
            </w:r>
          </w:p>
        </w:tc>
      </w:tr>
      <w:tr w:rsidR="003826D3" w:rsidRPr="00493467" w14:paraId="66494CD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A112" w14:textId="77777777" w:rsidR="003826D3" w:rsidRPr="00493467" w:rsidRDefault="003826D3" w:rsidP="003826D3">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t>EU 6c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B02A2" w14:textId="77777777" w:rsidR="003826D3" w:rsidRPr="00493467" w:rsidRDefault="003826D3" w:rsidP="00762F17">
            <w:pPr>
              <w:keepNext/>
              <w:spacing w:before="60" w:after="120"/>
              <w:jc w:val="both"/>
              <w:rPr>
                <w:rStyle w:val="InstructionsTabelleberschrift"/>
                <w:rFonts w:ascii="Times New Roman" w:eastAsia="Times New Roman" w:hAnsi="Times New Roman"/>
                <w:bCs w:val="0"/>
                <w:sz w:val="24"/>
                <w:u w:val="none"/>
              </w:rPr>
            </w:pPr>
            <w:r w:rsidRPr="00493467">
              <w:rPr>
                <w:rStyle w:val="InstructionsTabelleberschrift"/>
                <w:rFonts w:ascii="Times New Roman" w:hAnsi="Times New Roman"/>
                <w:sz w:val="24"/>
                <w:u w:val="none"/>
              </w:rPr>
              <w:t>Vliv fúzí/nabytí v obchodním ukazateli</w:t>
            </w:r>
          </w:p>
          <w:p w14:paraId="68B0EB8C" w14:textId="39D74825" w:rsidR="003826D3" w:rsidRPr="00493467" w:rsidRDefault="003826D3" w:rsidP="00762F17">
            <w:pPr>
              <w:keepNext/>
              <w:spacing w:before="60" w:after="120"/>
              <w:jc w:val="both"/>
              <w:rPr>
                <w:rStyle w:val="InstructionsTabelleberschrift"/>
                <w:rFonts w:asciiTheme="majorBidi" w:eastAsia="Times New Roman" w:hAnsiTheme="majorBidi" w:cstheme="majorBidi"/>
                <w:b w:val="0"/>
                <w:bCs w:val="0"/>
                <w:sz w:val="24"/>
                <w:u w:val="none"/>
              </w:rPr>
            </w:pPr>
            <w:r w:rsidRPr="00493467">
              <w:rPr>
                <w:rFonts w:asciiTheme="majorBidi" w:hAnsiTheme="majorBidi"/>
                <w:sz w:val="24"/>
              </w:rPr>
              <w:t>Hodnota zahrnutá v obchodním ukazateli odpovídající položkám obchodního ukazatele v důsledku fúzovaných nebo nabytých subjektů či činností v souladu s čl. 315 odst. 1 nařízení (EU) č. 575/2013.</w:t>
            </w:r>
          </w:p>
        </w:tc>
      </w:tr>
    </w:tbl>
    <w:p w14:paraId="2517003F" w14:textId="77777777" w:rsidR="00D740B8" w:rsidRPr="00493467" w:rsidRDefault="00D740B8" w:rsidP="00D740B8">
      <w:pPr>
        <w:pStyle w:val="numberedparagraph"/>
        <w:numPr>
          <w:ilvl w:val="0"/>
          <w:numId w:val="0"/>
        </w:numPr>
        <w:ind w:left="284" w:hanging="284"/>
        <w:rPr>
          <w:rFonts w:ascii="Times New Roman" w:eastAsia="Arial" w:hAnsi="Times New Roman" w:cs="Times New Roman"/>
          <w:sz w:val="24"/>
        </w:rPr>
      </w:pPr>
    </w:p>
    <w:p w14:paraId="7E7146AD" w14:textId="1649FBD5" w:rsidR="00D740B8" w:rsidRPr="00493467" w:rsidRDefault="00D740B8" w:rsidP="00D740B8">
      <w:pPr>
        <w:jc w:val="both"/>
        <w:rPr>
          <w:rFonts w:ascii="Times New Roman" w:hAnsi="Times New Roman" w:cs="Times New Roman"/>
          <w:bCs/>
          <w:sz w:val="24"/>
        </w:rPr>
      </w:pPr>
      <w:r w:rsidRPr="00493467">
        <w:rPr>
          <w:rFonts w:ascii="Times New Roman" w:hAnsi="Times New Roman"/>
          <w:b/>
          <w:sz w:val="24"/>
        </w:rPr>
        <w:t xml:space="preserve">Šablona EU OR3 – Kapitálové požadavky k operačnímu riziku a objemy rizikových expozic. </w:t>
      </w:r>
      <w:r w:rsidRPr="00493467">
        <w:rPr>
          <w:rFonts w:ascii="Times New Roman" w:hAnsi="Times New Roman"/>
          <w:sz w:val="24"/>
        </w:rPr>
        <w:t>Šablona s pevným formátem</w:t>
      </w:r>
    </w:p>
    <w:p w14:paraId="5AB15A39" w14:textId="77777777" w:rsidR="00D740B8" w:rsidRPr="00493467" w:rsidRDefault="00D740B8" w:rsidP="00D740B8">
      <w:pPr>
        <w:ind w:left="360"/>
        <w:jc w:val="both"/>
        <w:rPr>
          <w:rFonts w:ascii="Times New Roman" w:hAnsi="Times New Roman" w:cs="Times New Roman"/>
          <w:bCs/>
          <w:sz w:val="24"/>
        </w:rPr>
      </w:pPr>
    </w:p>
    <w:p w14:paraId="60DF34D1" w14:textId="121F9A97" w:rsidR="00D740B8" w:rsidRPr="00493467" w:rsidRDefault="00D740B8" w:rsidP="00D740B8">
      <w:pPr>
        <w:numPr>
          <w:ilvl w:val="0"/>
          <w:numId w:val="1"/>
        </w:numPr>
        <w:jc w:val="both"/>
        <w:rPr>
          <w:rFonts w:ascii="Times New Roman" w:hAnsi="Times New Roman" w:cs="Times New Roman"/>
          <w:sz w:val="24"/>
        </w:rPr>
      </w:pPr>
      <w:r w:rsidRPr="00493467">
        <w:rPr>
          <w:rFonts w:ascii="Times New Roman" w:hAnsi="Times New Roman"/>
          <w:sz w:val="24"/>
        </w:rPr>
        <w:t>Instituce zpřístupňují informace uvedené v šabloně EU OR3 v souladu s čl. 446 odst. 1 písm. b) nařízení (EU) č. 575/2013. Tato šablona poskytuje informace o výpočtu kapitálových požadavků k operačnímu riziku v souladu s články 312 až 315 nařízení (EU) č. 575/2013.</w:t>
      </w:r>
    </w:p>
    <w:p w14:paraId="6DFA1648" w14:textId="77777777" w:rsidR="00D740B8" w:rsidRPr="00493467" w:rsidRDefault="00D740B8" w:rsidP="00D740B8">
      <w:pPr>
        <w:ind w:left="360"/>
        <w:jc w:val="both"/>
        <w:rPr>
          <w:rFonts w:ascii="Times New Roman" w:hAnsi="Times New Roman" w:cs="Times New Roman"/>
          <w:bCs/>
          <w:sz w:val="24"/>
        </w:rPr>
      </w:pPr>
    </w:p>
    <w:p w14:paraId="2E35B8A0" w14:textId="77777777" w:rsidR="00D740B8" w:rsidRPr="00493467" w:rsidRDefault="00D740B8" w:rsidP="00D740B8">
      <w:pPr>
        <w:rPr>
          <w:rFonts w:ascii="Times New Roman" w:hAnsi="Times New Roman" w:cs="Times New Roman"/>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493467" w14:paraId="6F42A4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89E53" w14:textId="77777777" w:rsidR="00D740B8" w:rsidRPr="00493467" w:rsidRDefault="00D740B8">
            <w:pPr>
              <w:autoSpaceDE w:val="0"/>
              <w:autoSpaceDN w:val="0"/>
              <w:adjustRightInd w:val="0"/>
              <w:rPr>
                <w:rFonts w:ascii="Times New Roman" w:hAnsi="Times New Roman" w:cs="Times New Roman"/>
                <w:b/>
                <w:sz w:val="24"/>
              </w:rPr>
            </w:pPr>
            <w:r w:rsidRPr="00493467">
              <w:rPr>
                <w:rFonts w:ascii="Times New Roman" w:hAnsi="Times New Roman"/>
                <w:b/>
                <w:sz w:val="24"/>
              </w:rPr>
              <w:t xml:space="preserve">Řádek </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ECBF1" w14:textId="77777777" w:rsidR="00D740B8" w:rsidRPr="00493467" w:rsidRDefault="00D740B8">
            <w:pPr>
              <w:rPr>
                <w:rFonts w:ascii="Times New Roman" w:hAnsi="Times New Roman" w:cs="Times New Roman"/>
                <w:b/>
                <w:sz w:val="24"/>
              </w:rPr>
            </w:pPr>
            <w:r w:rsidRPr="00493467">
              <w:rPr>
                <w:rFonts w:ascii="Times New Roman" w:hAnsi="Times New Roman"/>
                <w:b/>
                <w:sz w:val="24"/>
              </w:rPr>
              <w:t>Vysvětlení</w:t>
            </w:r>
          </w:p>
        </w:tc>
      </w:tr>
      <w:tr w:rsidR="00D740B8" w:rsidRPr="00493467" w14:paraId="6BF3BB0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AB58A85" w14:textId="77777777" w:rsidR="00D740B8" w:rsidRPr="00493467" w:rsidRDefault="00D740B8">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18FF758" w14:textId="77777777" w:rsidR="00D740B8" w:rsidRPr="00493467" w:rsidRDefault="00D740B8">
            <w:pPr>
              <w:spacing w:before="60" w:after="120"/>
              <w:jc w:val="both"/>
              <w:rPr>
                <w:rFonts w:ascii="Times New Roman" w:eastAsia="Times New Roman" w:hAnsi="Times New Roman" w:cs="Times New Roman"/>
                <w:b/>
                <w:sz w:val="24"/>
              </w:rPr>
            </w:pPr>
            <w:r w:rsidRPr="00493467">
              <w:rPr>
                <w:rFonts w:ascii="Times New Roman" w:hAnsi="Times New Roman"/>
                <w:b/>
                <w:sz w:val="24"/>
              </w:rPr>
              <w:t>Složka obchodního ukazatele (BIC)</w:t>
            </w:r>
          </w:p>
          <w:p w14:paraId="1B10BB72" w14:textId="77777777" w:rsidR="00D740B8" w:rsidRPr="00493467" w:rsidRDefault="00D740B8">
            <w:pPr>
              <w:spacing w:before="60" w:after="120"/>
              <w:jc w:val="both"/>
              <w:rPr>
                <w:rFonts w:ascii="Times New Roman" w:eastAsia="Times New Roman" w:hAnsi="Times New Roman" w:cs="Times New Roman"/>
                <w:sz w:val="24"/>
              </w:rPr>
            </w:pPr>
            <w:r w:rsidRPr="00493467">
              <w:rPr>
                <w:rFonts w:ascii="Times New Roman" w:hAnsi="Times New Roman"/>
                <w:sz w:val="24"/>
              </w:rPr>
              <w:t>V tomto řádku se uvede složka obchodního ukazatele, která se vypočítá v souladu s článkem 313 nařízení (EU) č. 575/2013.</w:t>
            </w:r>
          </w:p>
        </w:tc>
      </w:tr>
      <w:tr w:rsidR="00CA794A" w:rsidRPr="00493467" w14:paraId="2713AC1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A606E2" w14:textId="48C6967A" w:rsidR="00CA794A" w:rsidRPr="00493467" w:rsidRDefault="004A58B5">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C95" w14:textId="1613DFBF" w:rsidR="00CA794A" w:rsidRPr="00493467" w:rsidRDefault="004A58B5">
            <w:pPr>
              <w:spacing w:before="60" w:after="120"/>
              <w:jc w:val="both"/>
              <w:rPr>
                <w:rFonts w:ascii="Times New Roman" w:eastAsia="Times New Roman" w:hAnsi="Times New Roman" w:cs="Times New Roman"/>
                <w:b/>
                <w:sz w:val="24"/>
              </w:rPr>
            </w:pPr>
            <w:r w:rsidRPr="00493467">
              <w:rPr>
                <w:rFonts w:ascii="Times New Roman" w:hAnsi="Times New Roman"/>
                <w:b/>
                <w:sz w:val="24"/>
              </w:rPr>
              <w:t>Alternativní standardizovaný přístup – kapitálové požadavky (OROF) podle čl. 314 odst. 4</w:t>
            </w:r>
          </w:p>
          <w:p w14:paraId="7762DF0B" w14:textId="6E2ACCB9" w:rsidR="004A58B5" w:rsidRPr="00493467" w:rsidRDefault="005B4907">
            <w:pPr>
              <w:spacing w:before="60" w:after="120"/>
              <w:jc w:val="both"/>
              <w:rPr>
                <w:rFonts w:ascii="Times New Roman" w:eastAsia="Times New Roman" w:hAnsi="Times New Roman" w:cs="Times New Roman"/>
                <w:b/>
                <w:sz w:val="24"/>
              </w:rPr>
            </w:pPr>
            <w:r w:rsidRPr="00493467">
              <w:rPr>
                <w:rFonts w:ascii="Times New Roman" w:hAnsi="Times New Roman"/>
                <w:sz w:val="24"/>
              </w:rPr>
              <w:t>Tento řádek zahrnuje v příslušných případech kapitálové požadavky pro linie podnikání uvedené čl. 314 odst. 4 do 31. prosince 2027 nebo do doby, kdy orgán vykonávající dohled na konsolidovaném základě udělí svolení v souladu s čl. 314 odst. 3, podle toho, co nastane dříve.</w:t>
            </w:r>
          </w:p>
        </w:tc>
      </w:tr>
      <w:tr w:rsidR="00D740B8" w:rsidRPr="00493467" w14:paraId="362D8FB9"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B3213" w14:textId="77777777" w:rsidR="00D740B8" w:rsidRPr="00493467" w:rsidRDefault="00D740B8">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B1B93" w14:textId="0E85F01A" w:rsidR="00D740B8" w:rsidRPr="00493467" w:rsidRDefault="001918A2">
            <w:pPr>
              <w:spacing w:before="60" w:after="120"/>
              <w:jc w:val="both"/>
              <w:rPr>
                <w:rFonts w:ascii="Times New Roman" w:eastAsia="Times New Roman" w:hAnsi="Times New Roman" w:cs="Times New Roman"/>
                <w:sz w:val="24"/>
              </w:rPr>
            </w:pPr>
            <w:r w:rsidRPr="00493467">
              <w:rPr>
                <w:rFonts w:ascii="Times New Roman" w:hAnsi="Times New Roman"/>
                <w:sz w:val="24"/>
              </w:rPr>
              <w:t>Nepoužije se.</w:t>
            </w:r>
          </w:p>
        </w:tc>
      </w:tr>
      <w:tr w:rsidR="00D740B8" w:rsidRPr="00493467" w14:paraId="779D05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EF8453" w14:textId="77777777" w:rsidR="00D740B8" w:rsidRPr="00493467" w:rsidRDefault="00D740B8">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42F01" w14:textId="77777777" w:rsidR="00D740B8" w:rsidRPr="00493467" w:rsidRDefault="00D740B8">
            <w:pPr>
              <w:spacing w:before="60" w:after="120"/>
              <w:jc w:val="both"/>
              <w:rPr>
                <w:rStyle w:val="InstructionsTabelleberschrift"/>
                <w:rFonts w:ascii="Times New Roman" w:eastAsia="Times New Roman" w:hAnsi="Times New Roman"/>
                <w:bCs w:val="0"/>
                <w:sz w:val="24"/>
                <w:u w:val="none"/>
              </w:rPr>
            </w:pPr>
            <w:r w:rsidRPr="00493467">
              <w:rPr>
                <w:rStyle w:val="InstructionsTabelleberschrift"/>
                <w:rFonts w:ascii="Times New Roman" w:hAnsi="Times New Roman"/>
                <w:sz w:val="24"/>
                <w:u w:val="none"/>
              </w:rPr>
              <w:t>Minimální požadované kapitálové požadavky k operačnímu riziku (OROF)</w:t>
            </w:r>
          </w:p>
          <w:p w14:paraId="2A7C24D0" w14:textId="54D9C5FF" w:rsidR="00D740B8" w:rsidRPr="00493467" w:rsidRDefault="00977842">
            <w:pPr>
              <w:spacing w:before="60" w:after="120"/>
              <w:jc w:val="both"/>
              <w:rPr>
                <w:rFonts w:ascii="Times New Roman" w:eastAsia="Times New Roman" w:hAnsi="Times New Roman" w:cs="Times New Roman"/>
                <w:sz w:val="24"/>
              </w:rPr>
            </w:pPr>
            <w:r w:rsidRPr="00493467">
              <w:rPr>
                <w:rFonts w:ascii="Times New Roman" w:hAnsi="Times New Roman"/>
                <w:sz w:val="24"/>
              </w:rPr>
              <w:t xml:space="preserve">Kapitálové požadavky se vypočítají v souladu s článkem 312 nařízení (EU) č. 575/2013. V tomto řádku se v příslušných případech uvedou kapitálové požadavky k operačnímu riziku, které se shodují se součtem složky obchodního ukazatele a kapitálových požadavků pro linie podnikání uvedené v čl. 314 odst. 4. </w:t>
            </w:r>
          </w:p>
        </w:tc>
      </w:tr>
      <w:tr w:rsidR="00D740B8" w:rsidRPr="00493467" w14:paraId="078B572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C3902" w14:textId="77777777" w:rsidR="00D740B8" w:rsidRPr="00493467" w:rsidRDefault="00D740B8">
            <w:pPr>
              <w:autoSpaceDE w:val="0"/>
              <w:autoSpaceDN w:val="0"/>
              <w:adjustRightInd w:val="0"/>
              <w:spacing w:before="60" w:after="120"/>
              <w:jc w:val="center"/>
              <w:rPr>
                <w:rFonts w:ascii="Times New Roman" w:hAnsi="Times New Roman" w:cs="Times New Roman"/>
                <w:b/>
                <w:sz w:val="24"/>
              </w:rPr>
            </w:pPr>
            <w:r w:rsidRPr="00493467">
              <w:rPr>
                <w:rFonts w:ascii="Times New Roman" w:hAnsi="Times New Roman"/>
                <w:b/>
                <w:sz w:val="24"/>
              </w:rPr>
              <w:lastRenderedPageBreak/>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83DB44" w14:textId="00766941" w:rsidR="00D740B8" w:rsidRPr="00493467" w:rsidRDefault="00D740B8" w:rsidP="00E515FD">
            <w:pPr>
              <w:keepNext/>
              <w:spacing w:before="60" w:after="120"/>
              <w:jc w:val="both"/>
              <w:rPr>
                <w:rStyle w:val="InstructionsTabelleberschrift"/>
                <w:rFonts w:ascii="Times New Roman" w:eastAsia="Times New Roman" w:hAnsi="Times New Roman"/>
                <w:bCs w:val="0"/>
                <w:sz w:val="24"/>
                <w:u w:val="none"/>
              </w:rPr>
            </w:pPr>
            <w:r w:rsidRPr="00493467">
              <w:rPr>
                <w:rStyle w:val="InstructionsTabelleberschrift"/>
                <w:rFonts w:ascii="Times New Roman" w:hAnsi="Times New Roman"/>
                <w:sz w:val="24"/>
                <w:u w:val="none"/>
              </w:rPr>
              <w:t>Objem rizikové expozice u operačního rizika (REA)</w:t>
            </w:r>
          </w:p>
          <w:p w14:paraId="317F9BDE" w14:textId="6672A695" w:rsidR="00D740B8" w:rsidRPr="00493467" w:rsidRDefault="00D740B8">
            <w:pPr>
              <w:spacing w:before="60" w:after="120"/>
              <w:jc w:val="both"/>
              <w:rPr>
                <w:rFonts w:ascii="Times New Roman" w:eastAsia="Times New Roman" w:hAnsi="Times New Roman" w:cs="Times New Roman"/>
                <w:sz w:val="24"/>
              </w:rPr>
            </w:pPr>
            <w:r w:rsidRPr="00493467">
              <w:rPr>
                <w:rFonts w:ascii="Times New Roman" w:hAnsi="Times New Roman"/>
                <w:sz w:val="24"/>
              </w:rPr>
              <w:t xml:space="preserve">Na základě čl. 92 odst. 3 písm. e) a odst. 4 nařízení (EU) č. 575/2013 se v tomto řádku zveřejňují kapitálové požadavky uvedené v řádku 3 vynásobené koeficientem 12,5. </w:t>
            </w:r>
          </w:p>
        </w:tc>
      </w:tr>
    </w:tbl>
    <w:p w14:paraId="079B8CA0" w14:textId="77777777" w:rsidR="00D740B8" w:rsidRPr="00493467" w:rsidRDefault="00D740B8" w:rsidP="00D740B8">
      <w:pPr>
        <w:rPr>
          <w:rFonts w:ascii="Times New Roman" w:hAnsi="Times New Roman" w:cs="Times New Roman"/>
          <w:sz w:val="24"/>
        </w:rPr>
      </w:pPr>
    </w:p>
    <w:p w14:paraId="41C8F396" w14:textId="77777777" w:rsidR="002C1404" w:rsidRPr="00493467" w:rsidRDefault="002C1404"/>
    <w:sectPr w:rsidR="002C1404" w:rsidRPr="0049346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D970" w14:textId="77777777" w:rsidR="00924970" w:rsidRPr="00493467" w:rsidRDefault="00924970" w:rsidP="00E114F3">
      <w:r w:rsidRPr="00493467">
        <w:separator/>
      </w:r>
    </w:p>
  </w:endnote>
  <w:endnote w:type="continuationSeparator" w:id="0">
    <w:p w14:paraId="6750FE16" w14:textId="77777777" w:rsidR="00924970" w:rsidRPr="00493467" w:rsidRDefault="00924970" w:rsidP="00E114F3">
      <w:r w:rsidRPr="00493467">
        <w:continuationSeparator/>
      </w:r>
    </w:p>
  </w:endnote>
  <w:endnote w:type="continuationNotice" w:id="1">
    <w:p w14:paraId="44EFD629" w14:textId="77777777" w:rsidR="00924970" w:rsidRPr="00493467" w:rsidRDefault="00924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529D" w14:textId="77777777" w:rsidR="00493467" w:rsidRPr="00493467" w:rsidRDefault="00493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83897"/>
      <w:docPartObj>
        <w:docPartGallery w:val="Page Numbers (Bottom of Page)"/>
        <w:docPartUnique/>
      </w:docPartObj>
    </w:sdtPr>
    <w:sdtEndPr>
      <w:rPr>
        <w:noProof/>
      </w:rPr>
    </w:sdtEndPr>
    <w:sdtContent>
      <w:p w14:paraId="3D3D22A9" w14:textId="77777777" w:rsidR="00E114F3" w:rsidRPr="00493467" w:rsidRDefault="00E114F3">
        <w:pPr>
          <w:pStyle w:val="Footer"/>
          <w:jc w:val="right"/>
        </w:pPr>
        <w:r w:rsidRPr="00493467">
          <w:fldChar w:fldCharType="begin"/>
        </w:r>
        <w:r w:rsidRPr="00493467">
          <w:instrText xml:space="preserve"> PAGE   \* MERGEFORMAT </w:instrText>
        </w:r>
        <w:r w:rsidRPr="00493467">
          <w:fldChar w:fldCharType="separate"/>
        </w:r>
        <w:r w:rsidR="00370155" w:rsidRPr="00493467">
          <w:t>1</w:t>
        </w:r>
        <w:r w:rsidRPr="00493467">
          <w:fldChar w:fldCharType="end"/>
        </w:r>
      </w:p>
    </w:sdtContent>
  </w:sdt>
  <w:p w14:paraId="049F31CB" w14:textId="77777777" w:rsidR="00E114F3" w:rsidRPr="00493467" w:rsidRDefault="00E11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A74E" w14:textId="77777777" w:rsidR="00493467" w:rsidRPr="00493467" w:rsidRDefault="00493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1A6D" w14:textId="77777777" w:rsidR="00924970" w:rsidRPr="00493467" w:rsidRDefault="00924970" w:rsidP="00E114F3">
      <w:r w:rsidRPr="00493467">
        <w:separator/>
      </w:r>
    </w:p>
  </w:footnote>
  <w:footnote w:type="continuationSeparator" w:id="0">
    <w:p w14:paraId="3D7D4E32" w14:textId="77777777" w:rsidR="00924970" w:rsidRPr="00493467" w:rsidRDefault="00924970" w:rsidP="00E114F3">
      <w:r w:rsidRPr="00493467">
        <w:continuationSeparator/>
      </w:r>
    </w:p>
  </w:footnote>
  <w:footnote w:type="continuationNotice" w:id="1">
    <w:p w14:paraId="6FCD0CD0" w14:textId="77777777" w:rsidR="00924970" w:rsidRPr="00493467" w:rsidRDefault="00924970"/>
  </w:footnote>
  <w:footnote w:id="2">
    <w:p w14:paraId="3798489D" w14:textId="469FF1F7" w:rsidR="00E114F3" w:rsidRPr="00493467" w:rsidRDefault="00E114F3" w:rsidP="003D3122">
      <w:pPr>
        <w:pStyle w:val="FootnoteText"/>
      </w:pPr>
      <w:r w:rsidRPr="00493467">
        <w:rPr>
          <w:rStyle w:val="FootnoteReference"/>
          <w:rFonts w:cstheme="minorHAnsi"/>
        </w:rPr>
        <w:footnoteRef/>
      </w:r>
      <w:r w:rsidRPr="00493467">
        <w:tab/>
        <w:t>Nařízení Evropského parlamentu a Rady (EU) č. 575/2013 ze dne 26. června 2013 o obezřetnostních požadavcích na úvěrové instituce a o změně nařízení (EU) č. 648/2012, pozměněné nařízením 2024/1623 (</w:t>
      </w:r>
      <w:proofErr w:type="spellStart"/>
      <w:r w:rsidR="00E515FD">
        <w:fldChar w:fldCharType="begin"/>
      </w:r>
      <w:r w:rsidR="00E515FD">
        <w:instrText xml:space="preserve"> HYPERLINK "https://eur-lex.europa.eu/legal-content/EN/AUTO/?uri=OJ:L:2013:176:TOC" </w:instrText>
      </w:r>
      <w:r w:rsidR="00E515FD">
        <w:fldChar w:fldCharType="separate"/>
      </w:r>
      <w:r w:rsidRPr="00493467">
        <w:rPr>
          <w:rStyle w:val="Hyperlink"/>
          <w:color w:val="800080"/>
        </w:rPr>
        <w:t>Úř</w:t>
      </w:r>
      <w:proofErr w:type="spellEnd"/>
      <w:r w:rsidRPr="00493467">
        <w:rPr>
          <w:rStyle w:val="Hyperlink"/>
          <w:color w:val="800080"/>
        </w:rPr>
        <w:t>. </w:t>
      </w:r>
      <w:proofErr w:type="spellStart"/>
      <w:r w:rsidRPr="00493467">
        <w:rPr>
          <w:rStyle w:val="Hyperlink"/>
          <w:color w:val="800080"/>
        </w:rPr>
        <w:t>věst</w:t>
      </w:r>
      <w:proofErr w:type="spellEnd"/>
      <w:r w:rsidRPr="00493467">
        <w:rPr>
          <w:rStyle w:val="Hyperlink"/>
          <w:color w:val="800080"/>
        </w:rPr>
        <w:t xml:space="preserve">, L 176, 27.6.2013, s. 1; </w:t>
      </w:r>
      <w:r w:rsidR="00E515FD">
        <w:rPr>
          <w:rStyle w:val="Hyperlink"/>
          <w:color w:val="800080"/>
        </w:rPr>
        <w:fldChar w:fldCharType="end"/>
      </w:r>
      <w:hyperlink r:id="rId1" w:history="1">
        <w:proofErr w:type="spellStart"/>
        <w:proofErr w:type="gramStart"/>
        <w:r w:rsidRPr="00493467">
          <w:rPr>
            <w:rStyle w:val="Hyperlink"/>
          </w:rPr>
          <w:t>Regulation</w:t>
        </w:r>
        <w:proofErr w:type="spellEnd"/>
        <w:r w:rsidRPr="00493467">
          <w:rPr>
            <w:rStyle w:val="Hyperlink"/>
          </w:rPr>
          <w:t xml:space="preserve"> - EU</w:t>
        </w:r>
        <w:proofErr w:type="gramEnd"/>
        <w:r w:rsidRPr="00493467">
          <w:rPr>
            <w:rStyle w:val="Hyperlink"/>
          </w:rPr>
          <w:t xml:space="preserve"> - 2024/1623 - EN - EUR-Lex (europa.eu)</w:t>
        </w:r>
      </w:hyperlink>
      <w:r w:rsidRPr="00493467">
        <w:t>).</w:t>
      </w:r>
    </w:p>
    <w:p w14:paraId="45FB0818" w14:textId="77777777" w:rsidR="00E114F3" w:rsidRPr="00493467" w:rsidRDefault="00E114F3" w:rsidP="003D31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1615A102" w:rsidR="00E114F3" w:rsidRPr="00493467" w:rsidRDefault="00864ECA">
    <w:pPr>
      <w:pStyle w:val="Header"/>
    </w:pPr>
    <w:r w:rsidRPr="00493467">
      <w:rPr>
        <w:noProof/>
      </w:rPr>
      <mc:AlternateContent>
        <mc:Choice Requires="wps">
          <w:drawing>
            <wp:anchor distT="0" distB="0" distL="0" distR="0" simplePos="0" relativeHeight="251658241" behindDoc="0" locked="0" layoutInCell="1" allowOverlap="1" wp14:anchorId="56CE9015" wp14:editId="3A1C7323">
              <wp:simplePos x="635" y="635"/>
              <wp:positionH relativeFrom="page">
                <wp:align>left</wp:align>
              </wp:positionH>
              <wp:positionV relativeFrom="page">
                <wp:align>top</wp:align>
              </wp:positionV>
              <wp:extent cx="443865" cy="443865"/>
              <wp:effectExtent l="0" t="0" r="3175" b="9525"/>
              <wp:wrapNone/>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07B26" w14:textId="3B0140B7" w:rsidR="00864ECA" w:rsidRPr="00493467" w:rsidRDefault="00864ECA" w:rsidP="00864ECA">
                          <w:pPr>
                            <w:rPr>
                              <w:rFonts w:ascii="Calibri" w:eastAsia="Calibri" w:hAnsi="Calibri" w:cs="Calibri"/>
                              <w:noProof/>
                              <w:color w:val="000000"/>
                              <w:sz w:val="24"/>
                            </w:rPr>
                          </w:pPr>
                          <w:r w:rsidRPr="00493467">
                            <w:rPr>
                              <w:rFonts w:ascii="Calibri" w:hAnsi="Calibri"/>
                              <w:color w:val="000000"/>
                              <w:sz w:val="24"/>
                            </w:rPr>
                            <w:t>EBA – běžné použití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CE9015" id="_x0000_t202" coordsize="21600,21600" o:spt="202" path="m,l,21600r21600,l21600,xe">
              <v:stroke joinstyle="miter"/>
              <v:path gradientshapeok="t" o:connecttype="rect"/>
            </v:shapetype>
            <v:shape id="Text Box 5" o:spid="_x0000_s1026" type="#_x0000_t202" alt="EBA Regular Use"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wCMgIAAFcEAAAOAAAAZHJzL2Uyb0RvYy54bWysVF1v2jAUfZ+0/2D5fSQwqNqIUNF2TJNQ&#10;Ww2qPhvHIZEc27INCfv1O3YC3bo9TXtx7pfv9T333Mxvu0aSo7Cu1iqn41FKiVBcF7Xa5/Rlu/p0&#10;TYnzTBVMaiVyehKO3i4+fpi3JhMTXWlZCEuQRLmsNTmtvDdZkjheiYa5kTZCwVlq2zAP1e6TwrIW&#10;2RuZTNL0Kmm1LYzVXDgH60PvpIuYvywF909l6YQnMqd4m4+njecunMlizrK9Zaaq+fAM9g+vaFit&#10;UPSS6oF5Rg62/iNVU3OrnS79iOsm0WVZcxF7QDfj9F03m4oZEXsBOM5cYHL/Ly1/PD5bUhc5nVGi&#10;WIMRbUXnyZ3uCCyFcBxofblbku9if5DMkhcnAmqtcRkubwyu+w7hmP7Z7mAMYHSlbcIXbRL4gf/p&#10;gnkowmGcTj9fX6ESh2uQkT15u2ys81+FbkgQcmox0og0O66d70PPIaGW0qtayjhWqX4zIGewJOHl&#10;/QuD5LtdN7Sz08UJ3Vjds8QZvqpRc82cf2YWtEADoLp/wlFK3eZUDxIllbY//mYP8ZgWvJS0oFlO&#10;FfaAEvlNYYqT2TRNAy2jNr5JZ0GzUYOwOwvq0NxrMHiMZTI8iiHOy7NYWt28YhOWoRpcTHHUzKk/&#10;i/e+Jz02iYvlMgaBgYb5tdoYHlIHsAKS2+6VWTPA7TGnR30mIsveod7HhpvOLA8e2MeRBGB7NAe8&#10;wd441GHTwnr8qseot//B4icAAAD//wMAUEsDBBQABgAIAAAAIQBzm59s2QAAAAMBAAAPAAAAZHJz&#10;L2Rvd25yZXYueG1sTI9PS8NAEMXvQr/DMoI3u1FssTGbUgRBwSLWotdpdvIHs7Mhu2nSb++oB73M&#10;Y3jDe7/J1pNr1ZH60Hg2cDVPQBEX3jZcGdi/PVzeggoR2WLrmQycKMA6n51lmFo/8isdd7FSEsIh&#10;RQN1jF2qdShqchjmviMWr/S9wyhrX2nb4yjhrtXXSbLUDhuWhho7uq+p+NwNzsDjTfiIQ1kuwvZ5&#10;OyZPo9sPL+/GXJxPmztQkab4dwzf+IIOuTAd/MA2qNaAPBJ/pnjL1QrU4Vd1nun/7PkXAAAA//8D&#10;AFBLAQItABQABgAIAAAAIQC2gziS/gAAAOEBAAATAAAAAAAAAAAAAAAAAAAAAABbQ29udGVudF9U&#10;eXBlc10ueG1sUEsBAi0AFAAGAAgAAAAhADj9If/WAAAAlAEAAAsAAAAAAAAAAAAAAAAALwEAAF9y&#10;ZWxzLy5yZWxzUEsBAi0AFAAGAAgAAAAhADpMrAIyAgAAVwQAAA4AAAAAAAAAAAAAAAAALgIAAGRy&#10;cy9lMm9Eb2MueG1sUEsBAi0AFAAGAAgAAAAhAHObn2zZAAAAAwEAAA8AAAAAAAAAAAAAAAAAjAQA&#10;AGRycy9kb3ducmV2LnhtbFBLBQYAAAAABAAEAPMAAACSBQAAAAA=&#10;" filled="f" stroked="f">
              <v:textbox style="mso-fit-shape-to-text:t" inset="20pt,15pt,0,0">
                <w:txbxContent>
                  <w:p w14:paraId="6B807B26" w14:textId="3B0140B7" w:rsidR="00864ECA" w:rsidRPr="00493467" w:rsidRDefault="00864ECA" w:rsidP="00864ECA">
                    <w:pPr>
                      <w:rPr>
                        <w:rFonts w:ascii="Calibri" w:eastAsia="Calibri" w:hAnsi="Calibri" w:cs="Calibri"/>
                        <w:noProof/>
                        <w:color w:val="000000"/>
                        <w:sz w:val="24"/>
                      </w:rPr>
                    </w:pPr>
                    <w:r w:rsidRPr="00493467">
                      <w:rPr>
                        <w:rFonts w:ascii="Calibri" w:hAnsi="Calibri"/>
                        <w:color w:val="000000"/>
                        <w:sz w:val="24"/>
                      </w:rPr>
                      <w:t>EBA – běžné použití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1028A940" w:rsidR="00E114F3" w:rsidRPr="00493467" w:rsidRDefault="00864ECA">
    <w:pPr>
      <w:pStyle w:val="Header"/>
    </w:pPr>
    <w:r w:rsidRPr="00493467">
      <w:rPr>
        <w:noProof/>
      </w:rPr>
      <mc:AlternateContent>
        <mc:Choice Requires="wps">
          <w:drawing>
            <wp:anchor distT="0" distB="0" distL="0" distR="0" simplePos="0" relativeHeight="251658242" behindDoc="0" locked="0" layoutInCell="1" allowOverlap="1" wp14:anchorId="02F1B75F" wp14:editId="3120E37C">
              <wp:simplePos x="635" y="635"/>
              <wp:positionH relativeFrom="page">
                <wp:align>left</wp:align>
              </wp:positionH>
              <wp:positionV relativeFrom="page">
                <wp:align>top</wp:align>
              </wp:positionV>
              <wp:extent cx="443865" cy="443865"/>
              <wp:effectExtent l="0" t="0" r="3175" b="9525"/>
              <wp:wrapNone/>
              <wp:docPr id="6" name="Text Box 6"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808C3" w14:textId="14E505EC" w:rsidR="00864ECA" w:rsidRPr="00493467" w:rsidRDefault="00864ECA" w:rsidP="00864ECA">
                          <w:pPr>
                            <w:rPr>
                              <w:rFonts w:ascii="Calibri" w:eastAsia="Calibri" w:hAnsi="Calibri" w:cs="Calibri"/>
                              <w:noProof/>
                              <w:color w:val="000000"/>
                              <w:sz w:val="24"/>
                            </w:rPr>
                          </w:pPr>
                          <w:r w:rsidRPr="00493467">
                            <w:rPr>
                              <w:rFonts w:ascii="Calibri" w:hAnsi="Calibri"/>
                              <w:color w:val="000000"/>
                              <w:sz w:val="24"/>
                            </w:rPr>
                            <w:t>EBA – běžné použití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F1B75F" id="_x0000_t202" coordsize="21600,21600" o:spt="202" path="m,l,21600r21600,l21600,xe">
              <v:stroke joinstyle="miter"/>
              <v:path gradientshapeok="t" o:connecttype="rect"/>
            </v:shapetype>
            <v:shape id="Text Box 6" o:spid="_x0000_s1027" type="#_x0000_t202" alt="EBA Regular Use"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HdNQIAAF4EAAAOAAAAZHJzL2Uyb0RvYy54bWysVE1v2zAMvQ/YfxB0X+xkSdAacYq0XYYB&#10;QVssKXpWZDk2IImCpMTOfv0o2U63rqdiF5kiKX68R3px0ypJTsK6GnROx6OUEqE5FLU+5PR5t/5y&#10;RYnzTBdMghY5PQtHb5afPy0ak4kJVCALYQkG0S5rTE4r702WJI5XQjE3AiM0Gkuwinm82kNSWNZg&#10;dCWTSZrOkwZsYSxw4Rxq7zsjXcb4ZSm4fyxLJzyROcXafDxtPPfhTJYLlh0sM1XN+zLYB6pQrNaY&#10;9BLqnnlGjrb+J5SquQUHpR9xUAmUZc1F7AG7GadvutlWzIjYC4LjzAUm9//C8ofTkyV1kdM5JZop&#10;pGgnWk9uoSWoKYTjiNa32xX5KQ5HySx5diKg1hiX4eOtwee+RXdkf9A7VAYw2tKq8MU2CdoR//MF&#10;85CEo3I6/Xo1n1HC0dTLGD15fWys898FKBKEnFqkNCLNThvnO9fBJeTSsK6ljLRK/ZcCYwZNEirv&#10;KgySb/dt7P9S/R6KMzZloRsWZ/i6xtQb5vwTszgd2AdOvH/Eo5TQ5BR6iZIK7K/39MEfSUMrJQ1O&#10;W041rgMl8odGMiezaZqG6Yy38XU6CzcbbyjsB0Ef1R3gII9xpwyPYvDzchBLC+oFF2IVsqGJaY45&#10;c+oH8c53s48LxcVqFZ1wEA3zG701PIQOmAVAd+0Ls6ZH3SNdDzDMI8vegN/5hpfOrI4eKYjMBHw7&#10;NHvYcYgjt/3ChS358x69Xn8Ly98A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MsGYd01AgAAXgQAAA4AAAAAAAAAAAAAAAAALgIA&#10;AGRycy9lMm9Eb2MueG1sUEsBAi0AFAAGAAgAAAAhAHObn2zZAAAAAwEAAA8AAAAAAAAAAAAAAAAA&#10;jwQAAGRycy9kb3ducmV2LnhtbFBLBQYAAAAABAAEAPMAAACVBQAAAAA=&#10;" filled="f" stroked="f">
              <v:textbox style="mso-fit-shape-to-text:t" inset="20pt,15pt,0,0">
                <w:txbxContent>
                  <w:p w14:paraId="422808C3" w14:textId="14E505EC" w:rsidR="00864ECA" w:rsidRPr="00493467" w:rsidRDefault="00864ECA" w:rsidP="00864ECA">
                    <w:pPr>
                      <w:rPr>
                        <w:rFonts w:ascii="Calibri" w:eastAsia="Calibri" w:hAnsi="Calibri" w:cs="Calibri"/>
                        <w:noProof/>
                        <w:color w:val="000000"/>
                        <w:sz w:val="24"/>
                      </w:rPr>
                    </w:pPr>
                    <w:r w:rsidRPr="00493467">
                      <w:rPr>
                        <w:rFonts w:ascii="Calibri" w:hAnsi="Calibri"/>
                        <w:color w:val="000000"/>
                        <w:sz w:val="24"/>
                      </w:rPr>
                      <w:t>EBA – běžné použití</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505DD969" w:rsidR="00E114F3" w:rsidRPr="00493467" w:rsidRDefault="00864ECA">
    <w:pPr>
      <w:pStyle w:val="Header"/>
    </w:pPr>
    <w:r w:rsidRPr="00493467">
      <w:rPr>
        <w:noProof/>
      </w:rPr>
      <mc:AlternateContent>
        <mc:Choice Requires="wps">
          <w:drawing>
            <wp:anchor distT="0" distB="0" distL="0" distR="0" simplePos="0" relativeHeight="251658240" behindDoc="0" locked="0" layoutInCell="1" allowOverlap="1" wp14:anchorId="3B6A7D7E" wp14:editId="55F0D693">
              <wp:simplePos x="635" y="635"/>
              <wp:positionH relativeFrom="page">
                <wp:align>left</wp:align>
              </wp:positionH>
              <wp:positionV relativeFrom="page">
                <wp:align>top</wp:align>
              </wp:positionV>
              <wp:extent cx="443865" cy="443865"/>
              <wp:effectExtent l="0" t="0" r="3175" b="9525"/>
              <wp:wrapNone/>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2C3BA" w14:textId="4F2B949B" w:rsidR="00864ECA" w:rsidRPr="00493467" w:rsidRDefault="00864ECA" w:rsidP="00864ECA">
                          <w:pPr>
                            <w:rPr>
                              <w:rFonts w:ascii="Calibri" w:eastAsia="Calibri" w:hAnsi="Calibri" w:cs="Calibri"/>
                              <w:noProof/>
                              <w:color w:val="000000"/>
                              <w:sz w:val="24"/>
                            </w:rPr>
                          </w:pPr>
                          <w:r w:rsidRPr="00493467">
                            <w:rPr>
                              <w:rFonts w:ascii="Calibri" w:hAnsi="Calibri"/>
                              <w:color w:val="000000"/>
                              <w:sz w:val="24"/>
                            </w:rPr>
                            <w:t>EBA – běžné použití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6A7D7E" id="_x0000_t202" coordsize="21600,21600" o:spt="202" path="m,l,21600r21600,l21600,xe">
              <v:stroke joinstyle="miter"/>
              <v:path gradientshapeok="t" o:connecttype="rect"/>
            </v:shapetype>
            <v:shape id="Text Box 4" o:spid="_x0000_s1028" type="#_x0000_t202" alt="EBA Regular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qyNQIAAF4EAAAOAAAAZHJzL2Uyb0RvYy54bWysVE1v2zAMvQ/YfxB0X+xkSdEacQq3XYYB&#10;QVssKXpWZDk2IImCpMTOfv0o2U63bqdhF5kiKX68R3p52ylJTsK6BnROp5OUEqE5lI0+5PRlt/50&#10;TYnzTJdMghY5PQtHb1cfPyxbk4kZ1CBLYQkG0S5rTU5r702WJI7XQjE3ASM0Giuwinm82kNSWtZi&#10;dCWTWZpeJS3Y0ljgwjnUPvRGuorxq0pw/1RVTngic4q1+XjaeO7DmayWLDtYZuqGD2Wwf6hCsUZj&#10;0kuoB+YZOdrmj1Cq4RYcVH7CQSVQVQ0XsQfsZpq+62ZbMyNiLwiOMxeY3P8Lyx9Pz5Y0ZU7nlGim&#10;kKKd6Dy5g46gphSOI1pf7gryXRyOklny4kRArTUuw8dbg899h+7I/qh3qAxgdJVV4YttErQj/ucL&#10;5iEJR+V8/vn6akEJR9MgY/Tk7bGxzn8VoEgQcmqR0og0O22c711Hl5BLw7qRMtIq9W8KjBk0Sai8&#10;rzBIvtt3sf/ZWP0eyjM2ZaEfFmf4usHUG+b8M7M4HdgHTrx/wqOS0OYUBomSGuyPv+mDP5KGVkpa&#10;nLacalwHSuQ3jWTOFvM0DdMZb9ObdBFuNt5Q2I+CPqp7wEGe4k4ZHsXg5+UoVhbUKy5EEbKhiWmO&#10;OXPqR/He97OPC8VFUUQnHETD/EZvDQ+hA2YB0F33yqwZUPdI1yOM88iyd+D3vuGlM8XRIwWRmYBv&#10;j+YAOw5x5HZYuLAlv96j19tvYfUT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FBLyrI1AgAAXgQAAA4AAAAAAAAAAAAAAAAALgIA&#10;AGRycy9lMm9Eb2MueG1sUEsBAi0AFAAGAAgAAAAhAHObn2zZAAAAAwEAAA8AAAAAAAAAAAAAAAAA&#10;jwQAAGRycy9kb3ducmV2LnhtbFBLBQYAAAAABAAEAPMAAACVBQAAAAA=&#10;" filled="f" stroked="f">
              <v:textbox style="mso-fit-shape-to-text:t" inset="20pt,15pt,0,0">
                <w:txbxContent>
                  <w:p w14:paraId="3152C3BA" w14:textId="4F2B949B" w:rsidR="00864ECA" w:rsidRPr="00493467" w:rsidRDefault="00864ECA" w:rsidP="00864ECA">
                    <w:pPr>
                      <w:rPr>
                        <w:rFonts w:ascii="Calibri" w:eastAsia="Calibri" w:hAnsi="Calibri" w:cs="Calibri"/>
                        <w:noProof/>
                        <w:color w:val="000000"/>
                        <w:sz w:val="24"/>
                      </w:rPr>
                    </w:pPr>
                    <w:r w:rsidRPr="00493467">
                      <w:rPr>
                        <w:rFonts w:ascii="Calibri" w:hAnsi="Calibri"/>
                        <w:color w:val="000000"/>
                        <w:sz w:val="24"/>
                      </w:rPr>
                      <w:t>EBA – běžné použití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0DA"/>
    <w:multiLevelType w:val="hybridMultilevel"/>
    <w:tmpl w:val="C5500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F4C79"/>
    <w:multiLevelType w:val="hybridMultilevel"/>
    <w:tmpl w:val="7554B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97EC3"/>
    <w:multiLevelType w:val="hybridMultilevel"/>
    <w:tmpl w:val="81D0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E109C"/>
    <w:multiLevelType w:val="hybridMultilevel"/>
    <w:tmpl w:val="AB243A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971C3"/>
    <w:multiLevelType w:val="hybridMultilevel"/>
    <w:tmpl w:val="394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55DB4"/>
    <w:multiLevelType w:val="hybridMultilevel"/>
    <w:tmpl w:val="D4F8EA40"/>
    <w:lvl w:ilvl="0" w:tplc="FFFFFFFF">
      <w:start w:val="1"/>
      <w:numFmt w:val="lowerRoman"/>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7"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8" w15:restartNumberingAfterBreak="0">
    <w:nsid w:val="485B13DC"/>
    <w:multiLevelType w:val="hybridMultilevel"/>
    <w:tmpl w:val="503222B2"/>
    <w:lvl w:ilvl="0" w:tplc="7D98D390">
      <w:start w:val="1"/>
      <w:numFmt w:val="bullet"/>
      <w:pStyle w:val="Style1"/>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27369"/>
    <w:multiLevelType w:val="hybridMultilevel"/>
    <w:tmpl w:val="D17E5BA0"/>
    <w:lvl w:ilvl="0" w:tplc="FFFFFFFF">
      <w:start w:val="1"/>
      <w:numFmt w:val="decimal"/>
      <w:pStyle w:val="numberedparagraph"/>
      <w:lvlText w:val="%1."/>
      <w:lvlJc w:val="left"/>
      <w:pPr>
        <w:tabs>
          <w:tab w:val="num" w:pos="284"/>
        </w:tabs>
        <w:ind w:left="284" w:hanging="284"/>
      </w:pPr>
    </w:lvl>
    <w:lvl w:ilvl="1" w:tplc="FFFFFFFF">
      <w:start w:val="1"/>
      <w:numFmt w:val="bullet"/>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62199"/>
    <w:multiLevelType w:val="hybridMultilevel"/>
    <w:tmpl w:val="1F2ACEF8"/>
    <w:lvl w:ilvl="0" w:tplc="67E89A4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num w:numId="1">
    <w:abstractNumId w:val="11"/>
  </w:num>
  <w:num w:numId="2">
    <w:abstractNumId w:val="7"/>
  </w:num>
  <w:num w:numId="3">
    <w:abstractNumId w:val="0"/>
  </w:num>
  <w:num w:numId="4">
    <w:abstractNumId w:val="2"/>
  </w:num>
  <w:num w:numId="5">
    <w:abstractNumId w:val="4"/>
  </w:num>
  <w:num w:numId="6">
    <w:abstractNumId w:val="1"/>
  </w:num>
  <w:num w:numId="7">
    <w:abstractNumId w:val="9"/>
  </w:num>
  <w:num w:numId="8">
    <w:abstractNumId w:val="6"/>
  </w:num>
  <w:num w:numId="9">
    <w:abstractNumId w:val="10"/>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removePersonalInformation/>
  <w:removeDateAndTime/>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cs-CZ"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D049F"/>
    <w:rsid w:val="000057DA"/>
    <w:rsid w:val="000118A0"/>
    <w:rsid w:val="00011939"/>
    <w:rsid w:val="00012A75"/>
    <w:rsid w:val="0001405C"/>
    <w:rsid w:val="0001650F"/>
    <w:rsid w:val="00024346"/>
    <w:rsid w:val="00025F22"/>
    <w:rsid w:val="000272B2"/>
    <w:rsid w:val="000307E6"/>
    <w:rsid w:val="00030D74"/>
    <w:rsid w:val="00043B86"/>
    <w:rsid w:val="0004584F"/>
    <w:rsid w:val="00045858"/>
    <w:rsid w:val="00046439"/>
    <w:rsid w:val="000465B3"/>
    <w:rsid w:val="00050ABA"/>
    <w:rsid w:val="000576E8"/>
    <w:rsid w:val="0006502A"/>
    <w:rsid w:val="000664FC"/>
    <w:rsid w:val="000665BE"/>
    <w:rsid w:val="00066F9F"/>
    <w:rsid w:val="0006789F"/>
    <w:rsid w:val="00073105"/>
    <w:rsid w:val="000746E8"/>
    <w:rsid w:val="00074F00"/>
    <w:rsid w:val="00075D8B"/>
    <w:rsid w:val="00076263"/>
    <w:rsid w:val="00076410"/>
    <w:rsid w:val="00080F37"/>
    <w:rsid w:val="00083594"/>
    <w:rsid w:val="00087F79"/>
    <w:rsid w:val="00090561"/>
    <w:rsid w:val="00095D07"/>
    <w:rsid w:val="00096102"/>
    <w:rsid w:val="000A0D62"/>
    <w:rsid w:val="000A12B5"/>
    <w:rsid w:val="000A7B76"/>
    <w:rsid w:val="000B16B1"/>
    <w:rsid w:val="000B2704"/>
    <w:rsid w:val="000B2D8F"/>
    <w:rsid w:val="000B3E22"/>
    <w:rsid w:val="000B4462"/>
    <w:rsid w:val="000C1526"/>
    <w:rsid w:val="000C3EAE"/>
    <w:rsid w:val="000C4618"/>
    <w:rsid w:val="000C77E0"/>
    <w:rsid w:val="000D0723"/>
    <w:rsid w:val="000D0DBB"/>
    <w:rsid w:val="000D3111"/>
    <w:rsid w:val="000D3C6F"/>
    <w:rsid w:val="000D4A72"/>
    <w:rsid w:val="000D6DA0"/>
    <w:rsid w:val="000E3AB0"/>
    <w:rsid w:val="000E696C"/>
    <w:rsid w:val="000F08DF"/>
    <w:rsid w:val="000F1044"/>
    <w:rsid w:val="000F2921"/>
    <w:rsid w:val="000F375E"/>
    <w:rsid w:val="000F5C83"/>
    <w:rsid w:val="000F5FED"/>
    <w:rsid w:val="000F6C61"/>
    <w:rsid w:val="00103ABA"/>
    <w:rsid w:val="00103E71"/>
    <w:rsid w:val="00105E35"/>
    <w:rsid w:val="0011472E"/>
    <w:rsid w:val="001220D8"/>
    <w:rsid w:val="00122ABE"/>
    <w:rsid w:val="001257B6"/>
    <w:rsid w:val="00126683"/>
    <w:rsid w:val="00127890"/>
    <w:rsid w:val="00127955"/>
    <w:rsid w:val="00131C22"/>
    <w:rsid w:val="00134D05"/>
    <w:rsid w:val="00135C50"/>
    <w:rsid w:val="00136AE4"/>
    <w:rsid w:val="00141217"/>
    <w:rsid w:val="001420EB"/>
    <w:rsid w:val="00142276"/>
    <w:rsid w:val="00142D89"/>
    <w:rsid w:val="001449CE"/>
    <w:rsid w:val="001452C3"/>
    <w:rsid w:val="00145CEF"/>
    <w:rsid w:val="0015285C"/>
    <w:rsid w:val="00157939"/>
    <w:rsid w:val="00160A53"/>
    <w:rsid w:val="00161A8E"/>
    <w:rsid w:val="00162183"/>
    <w:rsid w:val="00165BEF"/>
    <w:rsid w:val="001756BE"/>
    <w:rsid w:val="0017572D"/>
    <w:rsid w:val="00177229"/>
    <w:rsid w:val="001830A3"/>
    <w:rsid w:val="00185088"/>
    <w:rsid w:val="001871DA"/>
    <w:rsid w:val="001918A2"/>
    <w:rsid w:val="00196907"/>
    <w:rsid w:val="001A2C2E"/>
    <w:rsid w:val="001B03D9"/>
    <w:rsid w:val="001B03DD"/>
    <w:rsid w:val="001B0A1D"/>
    <w:rsid w:val="001B2292"/>
    <w:rsid w:val="001B291D"/>
    <w:rsid w:val="001B3BC1"/>
    <w:rsid w:val="001B500A"/>
    <w:rsid w:val="001B58F8"/>
    <w:rsid w:val="001B6C85"/>
    <w:rsid w:val="001C2B75"/>
    <w:rsid w:val="001C4677"/>
    <w:rsid w:val="001C6CDD"/>
    <w:rsid w:val="001C6FE9"/>
    <w:rsid w:val="001D0334"/>
    <w:rsid w:val="001D080D"/>
    <w:rsid w:val="001D11E0"/>
    <w:rsid w:val="001D592E"/>
    <w:rsid w:val="001D782E"/>
    <w:rsid w:val="001E1503"/>
    <w:rsid w:val="001E5563"/>
    <w:rsid w:val="001F1176"/>
    <w:rsid w:val="001F7ED3"/>
    <w:rsid w:val="00201011"/>
    <w:rsid w:val="002026B4"/>
    <w:rsid w:val="002026D9"/>
    <w:rsid w:val="002054FC"/>
    <w:rsid w:val="002075AA"/>
    <w:rsid w:val="00207EDD"/>
    <w:rsid w:val="002118F9"/>
    <w:rsid w:val="00211970"/>
    <w:rsid w:val="00214165"/>
    <w:rsid w:val="00216C79"/>
    <w:rsid w:val="002208D1"/>
    <w:rsid w:val="00223530"/>
    <w:rsid w:val="00226DD0"/>
    <w:rsid w:val="00230607"/>
    <w:rsid w:val="00230F64"/>
    <w:rsid w:val="00232265"/>
    <w:rsid w:val="002322F4"/>
    <w:rsid w:val="002354DB"/>
    <w:rsid w:val="002355B0"/>
    <w:rsid w:val="00235C89"/>
    <w:rsid w:val="00236174"/>
    <w:rsid w:val="0024083E"/>
    <w:rsid w:val="00241FEC"/>
    <w:rsid w:val="00242E08"/>
    <w:rsid w:val="002455B5"/>
    <w:rsid w:val="002457F5"/>
    <w:rsid w:val="00246D4F"/>
    <w:rsid w:val="00250A53"/>
    <w:rsid w:val="00253C3A"/>
    <w:rsid w:val="00253CF4"/>
    <w:rsid w:val="00254FDF"/>
    <w:rsid w:val="002558AA"/>
    <w:rsid w:val="00257387"/>
    <w:rsid w:val="0026154A"/>
    <w:rsid w:val="00267B03"/>
    <w:rsid w:val="00267CA1"/>
    <w:rsid w:val="00270E06"/>
    <w:rsid w:val="00272014"/>
    <w:rsid w:val="0027387E"/>
    <w:rsid w:val="00273B65"/>
    <w:rsid w:val="00275651"/>
    <w:rsid w:val="00277197"/>
    <w:rsid w:val="002772B5"/>
    <w:rsid w:val="002774FB"/>
    <w:rsid w:val="00277E2E"/>
    <w:rsid w:val="002854BD"/>
    <w:rsid w:val="0028730E"/>
    <w:rsid w:val="00287A78"/>
    <w:rsid w:val="002912CA"/>
    <w:rsid w:val="00291643"/>
    <w:rsid w:val="002919DB"/>
    <w:rsid w:val="00293086"/>
    <w:rsid w:val="002A02D1"/>
    <w:rsid w:val="002A213A"/>
    <w:rsid w:val="002A2633"/>
    <w:rsid w:val="002A26E9"/>
    <w:rsid w:val="002A4A49"/>
    <w:rsid w:val="002A55B5"/>
    <w:rsid w:val="002A7A1C"/>
    <w:rsid w:val="002B0785"/>
    <w:rsid w:val="002B20D8"/>
    <w:rsid w:val="002B2993"/>
    <w:rsid w:val="002B2F6C"/>
    <w:rsid w:val="002B708C"/>
    <w:rsid w:val="002B7BCC"/>
    <w:rsid w:val="002C1404"/>
    <w:rsid w:val="002C1EB1"/>
    <w:rsid w:val="002C6300"/>
    <w:rsid w:val="002D0EA4"/>
    <w:rsid w:val="002D5C08"/>
    <w:rsid w:val="002E1556"/>
    <w:rsid w:val="002E1AD8"/>
    <w:rsid w:val="002E28B0"/>
    <w:rsid w:val="002E4ED1"/>
    <w:rsid w:val="002F3CFA"/>
    <w:rsid w:val="002F70A5"/>
    <w:rsid w:val="002F733A"/>
    <w:rsid w:val="002F7AF6"/>
    <w:rsid w:val="00306E05"/>
    <w:rsid w:val="003123CA"/>
    <w:rsid w:val="003134EA"/>
    <w:rsid w:val="00313B19"/>
    <w:rsid w:val="00313BE5"/>
    <w:rsid w:val="003140BC"/>
    <w:rsid w:val="003173AB"/>
    <w:rsid w:val="0032128C"/>
    <w:rsid w:val="00322C5B"/>
    <w:rsid w:val="0032312B"/>
    <w:rsid w:val="0032508D"/>
    <w:rsid w:val="00325595"/>
    <w:rsid w:val="003260B9"/>
    <w:rsid w:val="003310FD"/>
    <w:rsid w:val="00331494"/>
    <w:rsid w:val="00332B2B"/>
    <w:rsid w:val="00340DA2"/>
    <w:rsid w:val="00340F5A"/>
    <w:rsid w:val="0034291F"/>
    <w:rsid w:val="0034713B"/>
    <w:rsid w:val="00350F3E"/>
    <w:rsid w:val="00352E37"/>
    <w:rsid w:val="00352E7B"/>
    <w:rsid w:val="00353854"/>
    <w:rsid w:val="00356B96"/>
    <w:rsid w:val="00356C56"/>
    <w:rsid w:val="0036264E"/>
    <w:rsid w:val="00366387"/>
    <w:rsid w:val="00370155"/>
    <w:rsid w:val="00371504"/>
    <w:rsid w:val="00373F9D"/>
    <w:rsid w:val="0037691C"/>
    <w:rsid w:val="00376B14"/>
    <w:rsid w:val="003826D3"/>
    <w:rsid w:val="003858A3"/>
    <w:rsid w:val="00390609"/>
    <w:rsid w:val="00390ACF"/>
    <w:rsid w:val="003930C3"/>
    <w:rsid w:val="00393427"/>
    <w:rsid w:val="00393FEF"/>
    <w:rsid w:val="00394139"/>
    <w:rsid w:val="00394AE0"/>
    <w:rsid w:val="00395B20"/>
    <w:rsid w:val="003A11C2"/>
    <w:rsid w:val="003A134B"/>
    <w:rsid w:val="003A1367"/>
    <w:rsid w:val="003A20B0"/>
    <w:rsid w:val="003A3338"/>
    <w:rsid w:val="003A752D"/>
    <w:rsid w:val="003B0795"/>
    <w:rsid w:val="003B12FB"/>
    <w:rsid w:val="003B40C6"/>
    <w:rsid w:val="003C0178"/>
    <w:rsid w:val="003C1B42"/>
    <w:rsid w:val="003C3FE1"/>
    <w:rsid w:val="003C62CB"/>
    <w:rsid w:val="003C7646"/>
    <w:rsid w:val="003D0A4B"/>
    <w:rsid w:val="003D0FCA"/>
    <w:rsid w:val="003D3122"/>
    <w:rsid w:val="003D36FD"/>
    <w:rsid w:val="003D49FC"/>
    <w:rsid w:val="003D54AC"/>
    <w:rsid w:val="003D5875"/>
    <w:rsid w:val="003D5C33"/>
    <w:rsid w:val="003E1A11"/>
    <w:rsid w:val="003E207A"/>
    <w:rsid w:val="003E3201"/>
    <w:rsid w:val="003E7CB0"/>
    <w:rsid w:val="003F52CD"/>
    <w:rsid w:val="003F5CE4"/>
    <w:rsid w:val="0040312B"/>
    <w:rsid w:val="00403F5F"/>
    <w:rsid w:val="00404BBB"/>
    <w:rsid w:val="00404E97"/>
    <w:rsid w:val="00405D1E"/>
    <w:rsid w:val="0041073A"/>
    <w:rsid w:val="004129ED"/>
    <w:rsid w:val="00413B96"/>
    <w:rsid w:val="004153D1"/>
    <w:rsid w:val="0042443A"/>
    <w:rsid w:val="00425384"/>
    <w:rsid w:val="00430F3A"/>
    <w:rsid w:val="00441196"/>
    <w:rsid w:val="00443CBC"/>
    <w:rsid w:val="00445677"/>
    <w:rsid w:val="004509B7"/>
    <w:rsid w:val="004544AD"/>
    <w:rsid w:val="00456F97"/>
    <w:rsid w:val="00457089"/>
    <w:rsid w:val="00460310"/>
    <w:rsid w:val="004618A3"/>
    <w:rsid w:val="0046389C"/>
    <w:rsid w:val="004651FB"/>
    <w:rsid w:val="00471410"/>
    <w:rsid w:val="004714CE"/>
    <w:rsid w:val="00472573"/>
    <w:rsid w:val="004744D1"/>
    <w:rsid w:val="00474A18"/>
    <w:rsid w:val="004849ED"/>
    <w:rsid w:val="004863DC"/>
    <w:rsid w:val="00486834"/>
    <w:rsid w:val="00486925"/>
    <w:rsid w:val="00487314"/>
    <w:rsid w:val="0049000A"/>
    <w:rsid w:val="00492339"/>
    <w:rsid w:val="00493467"/>
    <w:rsid w:val="00496389"/>
    <w:rsid w:val="00496A9E"/>
    <w:rsid w:val="004A0829"/>
    <w:rsid w:val="004A0952"/>
    <w:rsid w:val="004A18F4"/>
    <w:rsid w:val="004A3168"/>
    <w:rsid w:val="004A3C86"/>
    <w:rsid w:val="004A4A2C"/>
    <w:rsid w:val="004A58B5"/>
    <w:rsid w:val="004A5BBA"/>
    <w:rsid w:val="004A62B8"/>
    <w:rsid w:val="004A742E"/>
    <w:rsid w:val="004A7915"/>
    <w:rsid w:val="004B0B6E"/>
    <w:rsid w:val="004B0FB3"/>
    <w:rsid w:val="004B0FCE"/>
    <w:rsid w:val="004B1D55"/>
    <w:rsid w:val="004B57A6"/>
    <w:rsid w:val="004B6D23"/>
    <w:rsid w:val="004C06C0"/>
    <w:rsid w:val="004C08C6"/>
    <w:rsid w:val="004C2C33"/>
    <w:rsid w:val="004C3206"/>
    <w:rsid w:val="004D0A0E"/>
    <w:rsid w:val="004D0C4D"/>
    <w:rsid w:val="004D442B"/>
    <w:rsid w:val="004D7AAC"/>
    <w:rsid w:val="004E0A33"/>
    <w:rsid w:val="004E2BF2"/>
    <w:rsid w:val="004E3E86"/>
    <w:rsid w:val="004E41F1"/>
    <w:rsid w:val="004E5F6E"/>
    <w:rsid w:val="004E67D0"/>
    <w:rsid w:val="004E7E6A"/>
    <w:rsid w:val="004F220F"/>
    <w:rsid w:val="004F22BD"/>
    <w:rsid w:val="004F34D4"/>
    <w:rsid w:val="004F55D2"/>
    <w:rsid w:val="004F6309"/>
    <w:rsid w:val="004F7296"/>
    <w:rsid w:val="00500525"/>
    <w:rsid w:val="00501D3A"/>
    <w:rsid w:val="00502CBE"/>
    <w:rsid w:val="0051094B"/>
    <w:rsid w:val="00511F83"/>
    <w:rsid w:val="005129A3"/>
    <w:rsid w:val="00513E9E"/>
    <w:rsid w:val="005201AB"/>
    <w:rsid w:val="00520A67"/>
    <w:rsid w:val="00521787"/>
    <w:rsid w:val="005227BF"/>
    <w:rsid w:val="00523851"/>
    <w:rsid w:val="005244B2"/>
    <w:rsid w:val="00525D0C"/>
    <w:rsid w:val="00531A16"/>
    <w:rsid w:val="0053230B"/>
    <w:rsid w:val="005323E0"/>
    <w:rsid w:val="00532CFA"/>
    <w:rsid w:val="00533587"/>
    <w:rsid w:val="005346B6"/>
    <w:rsid w:val="00536DD1"/>
    <w:rsid w:val="00542C4F"/>
    <w:rsid w:val="00543CE4"/>
    <w:rsid w:val="00545C2E"/>
    <w:rsid w:val="005511B4"/>
    <w:rsid w:val="005525B5"/>
    <w:rsid w:val="00552616"/>
    <w:rsid w:val="00555026"/>
    <w:rsid w:val="0055699F"/>
    <w:rsid w:val="00557E87"/>
    <w:rsid w:val="005644FD"/>
    <w:rsid w:val="00573755"/>
    <w:rsid w:val="0058077D"/>
    <w:rsid w:val="00581319"/>
    <w:rsid w:val="00581EE7"/>
    <w:rsid w:val="00585FE7"/>
    <w:rsid w:val="00592CFD"/>
    <w:rsid w:val="00594CF8"/>
    <w:rsid w:val="00594DEA"/>
    <w:rsid w:val="00597741"/>
    <w:rsid w:val="005A0E65"/>
    <w:rsid w:val="005A1D73"/>
    <w:rsid w:val="005A28B3"/>
    <w:rsid w:val="005A56B5"/>
    <w:rsid w:val="005A6F28"/>
    <w:rsid w:val="005B1A6A"/>
    <w:rsid w:val="005B266A"/>
    <w:rsid w:val="005B2681"/>
    <w:rsid w:val="005B35FE"/>
    <w:rsid w:val="005B36AF"/>
    <w:rsid w:val="005B4907"/>
    <w:rsid w:val="005B5827"/>
    <w:rsid w:val="005B6691"/>
    <w:rsid w:val="005B76B3"/>
    <w:rsid w:val="005C0169"/>
    <w:rsid w:val="005C361B"/>
    <w:rsid w:val="005C43BC"/>
    <w:rsid w:val="005C4785"/>
    <w:rsid w:val="005C5685"/>
    <w:rsid w:val="005C7DD8"/>
    <w:rsid w:val="005D02AE"/>
    <w:rsid w:val="005D3B7F"/>
    <w:rsid w:val="005D484F"/>
    <w:rsid w:val="005D78BA"/>
    <w:rsid w:val="005E0DB5"/>
    <w:rsid w:val="005E1172"/>
    <w:rsid w:val="005E426C"/>
    <w:rsid w:val="005E4525"/>
    <w:rsid w:val="005E5C07"/>
    <w:rsid w:val="005E651B"/>
    <w:rsid w:val="005E6595"/>
    <w:rsid w:val="005E7C4C"/>
    <w:rsid w:val="005F2270"/>
    <w:rsid w:val="005F6363"/>
    <w:rsid w:val="005F6A97"/>
    <w:rsid w:val="006010B7"/>
    <w:rsid w:val="006020C0"/>
    <w:rsid w:val="00603CA2"/>
    <w:rsid w:val="00605946"/>
    <w:rsid w:val="006106BB"/>
    <w:rsid w:val="00611A03"/>
    <w:rsid w:val="00615045"/>
    <w:rsid w:val="006175E8"/>
    <w:rsid w:val="00617849"/>
    <w:rsid w:val="00620C52"/>
    <w:rsid w:val="006276CF"/>
    <w:rsid w:val="00631769"/>
    <w:rsid w:val="00632F0C"/>
    <w:rsid w:val="00634105"/>
    <w:rsid w:val="006423F0"/>
    <w:rsid w:val="00643568"/>
    <w:rsid w:val="006467E0"/>
    <w:rsid w:val="006515E3"/>
    <w:rsid w:val="00651CFD"/>
    <w:rsid w:val="00654641"/>
    <w:rsid w:val="00662E68"/>
    <w:rsid w:val="00663EA2"/>
    <w:rsid w:val="00665EDF"/>
    <w:rsid w:val="00666BFE"/>
    <w:rsid w:val="006671B4"/>
    <w:rsid w:val="00670D9B"/>
    <w:rsid w:val="006710C9"/>
    <w:rsid w:val="00671F1C"/>
    <w:rsid w:val="006721A7"/>
    <w:rsid w:val="00672648"/>
    <w:rsid w:val="00672FCF"/>
    <w:rsid w:val="006734FF"/>
    <w:rsid w:val="0067596F"/>
    <w:rsid w:val="00675FB5"/>
    <w:rsid w:val="00680908"/>
    <w:rsid w:val="006825A4"/>
    <w:rsid w:val="006832AC"/>
    <w:rsid w:val="0068676B"/>
    <w:rsid w:val="006943D3"/>
    <w:rsid w:val="006956F2"/>
    <w:rsid w:val="00695D35"/>
    <w:rsid w:val="00695DBE"/>
    <w:rsid w:val="006A3134"/>
    <w:rsid w:val="006A3C03"/>
    <w:rsid w:val="006A6B36"/>
    <w:rsid w:val="006A7708"/>
    <w:rsid w:val="006B1B9D"/>
    <w:rsid w:val="006B1C53"/>
    <w:rsid w:val="006B4D78"/>
    <w:rsid w:val="006B7E63"/>
    <w:rsid w:val="006C306E"/>
    <w:rsid w:val="006C331E"/>
    <w:rsid w:val="006C62E5"/>
    <w:rsid w:val="006C66D0"/>
    <w:rsid w:val="006D3272"/>
    <w:rsid w:val="006D3A51"/>
    <w:rsid w:val="006D58A9"/>
    <w:rsid w:val="006D76F7"/>
    <w:rsid w:val="006E0F5F"/>
    <w:rsid w:val="006E1A81"/>
    <w:rsid w:val="006E1C89"/>
    <w:rsid w:val="006E2DDE"/>
    <w:rsid w:val="006E3051"/>
    <w:rsid w:val="006F4C95"/>
    <w:rsid w:val="006F5677"/>
    <w:rsid w:val="00701AB8"/>
    <w:rsid w:val="0070328C"/>
    <w:rsid w:val="0070389C"/>
    <w:rsid w:val="00705C67"/>
    <w:rsid w:val="00713824"/>
    <w:rsid w:val="007146FC"/>
    <w:rsid w:val="0071476F"/>
    <w:rsid w:val="00716B43"/>
    <w:rsid w:val="007212B1"/>
    <w:rsid w:val="00721E9C"/>
    <w:rsid w:val="007227C1"/>
    <w:rsid w:val="00725562"/>
    <w:rsid w:val="00727D92"/>
    <w:rsid w:val="0073744A"/>
    <w:rsid w:val="00742D4E"/>
    <w:rsid w:val="0074599C"/>
    <w:rsid w:val="00752BA7"/>
    <w:rsid w:val="007535CB"/>
    <w:rsid w:val="00753C8F"/>
    <w:rsid w:val="007561ED"/>
    <w:rsid w:val="00756B6D"/>
    <w:rsid w:val="007572BA"/>
    <w:rsid w:val="00757EE7"/>
    <w:rsid w:val="00760B2D"/>
    <w:rsid w:val="00761A99"/>
    <w:rsid w:val="00762F17"/>
    <w:rsid w:val="00764F56"/>
    <w:rsid w:val="00765CB0"/>
    <w:rsid w:val="00775BD9"/>
    <w:rsid w:val="00780966"/>
    <w:rsid w:val="00785777"/>
    <w:rsid w:val="007863F3"/>
    <w:rsid w:val="00787341"/>
    <w:rsid w:val="007912F6"/>
    <w:rsid w:val="00793C82"/>
    <w:rsid w:val="0079404E"/>
    <w:rsid w:val="007942F6"/>
    <w:rsid w:val="00794EEA"/>
    <w:rsid w:val="00795D11"/>
    <w:rsid w:val="007A244C"/>
    <w:rsid w:val="007A25E1"/>
    <w:rsid w:val="007A4B1F"/>
    <w:rsid w:val="007A7D9C"/>
    <w:rsid w:val="007B0E7E"/>
    <w:rsid w:val="007B37CA"/>
    <w:rsid w:val="007B3E62"/>
    <w:rsid w:val="007B4F63"/>
    <w:rsid w:val="007B716B"/>
    <w:rsid w:val="007B759C"/>
    <w:rsid w:val="007C45A4"/>
    <w:rsid w:val="007C4795"/>
    <w:rsid w:val="007C5D41"/>
    <w:rsid w:val="007C6DDA"/>
    <w:rsid w:val="007D1B69"/>
    <w:rsid w:val="007D3710"/>
    <w:rsid w:val="007D47E8"/>
    <w:rsid w:val="007D5B31"/>
    <w:rsid w:val="007E4A47"/>
    <w:rsid w:val="007E7DB4"/>
    <w:rsid w:val="007F107B"/>
    <w:rsid w:val="007F3294"/>
    <w:rsid w:val="007F35C2"/>
    <w:rsid w:val="007F3DCB"/>
    <w:rsid w:val="007F481E"/>
    <w:rsid w:val="007F5FB7"/>
    <w:rsid w:val="007F79D0"/>
    <w:rsid w:val="008006BD"/>
    <w:rsid w:val="00800DA8"/>
    <w:rsid w:val="00804617"/>
    <w:rsid w:val="0080619E"/>
    <w:rsid w:val="008064B3"/>
    <w:rsid w:val="00806C37"/>
    <w:rsid w:val="00806D63"/>
    <w:rsid w:val="008073CE"/>
    <w:rsid w:val="008106BB"/>
    <w:rsid w:val="008126E2"/>
    <w:rsid w:val="00815D64"/>
    <w:rsid w:val="00820A89"/>
    <w:rsid w:val="008224E4"/>
    <w:rsid w:val="00823C1A"/>
    <w:rsid w:val="00825B74"/>
    <w:rsid w:val="00825C0C"/>
    <w:rsid w:val="00827D03"/>
    <w:rsid w:val="008340AA"/>
    <w:rsid w:val="008408B7"/>
    <w:rsid w:val="00841A0D"/>
    <w:rsid w:val="008447E9"/>
    <w:rsid w:val="00845753"/>
    <w:rsid w:val="0084754D"/>
    <w:rsid w:val="00853F81"/>
    <w:rsid w:val="00856A58"/>
    <w:rsid w:val="00856FD6"/>
    <w:rsid w:val="00857C47"/>
    <w:rsid w:val="008606AB"/>
    <w:rsid w:val="00860C4A"/>
    <w:rsid w:val="008613CD"/>
    <w:rsid w:val="008639CA"/>
    <w:rsid w:val="008642ED"/>
    <w:rsid w:val="00864ECA"/>
    <w:rsid w:val="00864F98"/>
    <w:rsid w:val="008703CB"/>
    <w:rsid w:val="00871AC0"/>
    <w:rsid w:val="008726D2"/>
    <w:rsid w:val="00873664"/>
    <w:rsid w:val="008743B0"/>
    <w:rsid w:val="00876AB5"/>
    <w:rsid w:val="00876FEE"/>
    <w:rsid w:val="00877D06"/>
    <w:rsid w:val="00881740"/>
    <w:rsid w:val="00882C01"/>
    <w:rsid w:val="0088515A"/>
    <w:rsid w:val="00885AC5"/>
    <w:rsid w:val="00887164"/>
    <w:rsid w:val="00891AE6"/>
    <w:rsid w:val="00892D51"/>
    <w:rsid w:val="00892FC4"/>
    <w:rsid w:val="008A113C"/>
    <w:rsid w:val="008A1C9E"/>
    <w:rsid w:val="008A1F8B"/>
    <w:rsid w:val="008A379C"/>
    <w:rsid w:val="008A4CE3"/>
    <w:rsid w:val="008A6B9E"/>
    <w:rsid w:val="008A789A"/>
    <w:rsid w:val="008A7B63"/>
    <w:rsid w:val="008B015F"/>
    <w:rsid w:val="008B419B"/>
    <w:rsid w:val="008B66B5"/>
    <w:rsid w:val="008B71AE"/>
    <w:rsid w:val="008C3E6A"/>
    <w:rsid w:val="008C599A"/>
    <w:rsid w:val="008D0BBC"/>
    <w:rsid w:val="008D0DA3"/>
    <w:rsid w:val="008D220D"/>
    <w:rsid w:val="008D318E"/>
    <w:rsid w:val="008D6AE8"/>
    <w:rsid w:val="008D71E9"/>
    <w:rsid w:val="008D73D0"/>
    <w:rsid w:val="008E0228"/>
    <w:rsid w:val="008E4C2C"/>
    <w:rsid w:val="008E7892"/>
    <w:rsid w:val="008F0781"/>
    <w:rsid w:val="008F2676"/>
    <w:rsid w:val="008F4F1F"/>
    <w:rsid w:val="008F5F56"/>
    <w:rsid w:val="008F6903"/>
    <w:rsid w:val="00902794"/>
    <w:rsid w:val="009027E3"/>
    <w:rsid w:val="00902E47"/>
    <w:rsid w:val="009046C7"/>
    <w:rsid w:val="00907148"/>
    <w:rsid w:val="00911DED"/>
    <w:rsid w:val="00912473"/>
    <w:rsid w:val="009126FD"/>
    <w:rsid w:val="00915138"/>
    <w:rsid w:val="00922520"/>
    <w:rsid w:val="0092318D"/>
    <w:rsid w:val="00924970"/>
    <w:rsid w:val="00926593"/>
    <w:rsid w:val="0093286E"/>
    <w:rsid w:val="00933E3B"/>
    <w:rsid w:val="009361B2"/>
    <w:rsid w:val="009365C9"/>
    <w:rsid w:val="0094124B"/>
    <w:rsid w:val="009419C5"/>
    <w:rsid w:val="00944345"/>
    <w:rsid w:val="00954121"/>
    <w:rsid w:val="00954FB2"/>
    <w:rsid w:val="00956CFD"/>
    <w:rsid w:val="009614D5"/>
    <w:rsid w:val="00962EA7"/>
    <w:rsid w:val="00965CF0"/>
    <w:rsid w:val="009757A9"/>
    <w:rsid w:val="0097685A"/>
    <w:rsid w:val="00977842"/>
    <w:rsid w:val="009816D6"/>
    <w:rsid w:val="00982018"/>
    <w:rsid w:val="00983339"/>
    <w:rsid w:val="00984383"/>
    <w:rsid w:val="00984AB4"/>
    <w:rsid w:val="0098747C"/>
    <w:rsid w:val="00993058"/>
    <w:rsid w:val="00993F77"/>
    <w:rsid w:val="0099479E"/>
    <w:rsid w:val="009A1346"/>
    <w:rsid w:val="009A1465"/>
    <w:rsid w:val="009A4AFC"/>
    <w:rsid w:val="009A4E43"/>
    <w:rsid w:val="009B143E"/>
    <w:rsid w:val="009B1F6C"/>
    <w:rsid w:val="009B7607"/>
    <w:rsid w:val="009C0143"/>
    <w:rsid w:val="009C034B"/>
    <w:rsid w:val="009C194B"/>
    <w:rsid w:val="009C1A54"/>
    <w:rsid w:val="009C1BC1"/>
    <w:rsid w:val="009C7B8C"/>
    <w:rsid w:val="009D0A6F"/>
    <w:rsid w:val="009D1C49"/>
    <w:rsid w:val="009D2AA7"/>
    <w:rsid w:val="009D43F3"/>
    <w:rsid w:val="009D4A12"/>
    <w:rsid w:val="009D56BD"/>
    <w:rsid w:val="009D76DE"/>
    <w:rsid w:val="009E1FA8"/>
    <w:rsid w:val="009E306F"/>
    <w:rsid w:val="009E3E80"/>
    <w:rsid w:val="009E4370"/>
    <w:rsid w:val="009E565F"/>
    <w:rsid w:val="009E5FB3"/>
    <w:rsid w:val="009F39F6"/>
    <w:rsid w:val="009F423C"/>
    <w:rsid w:val="009F4407"/>
    <w:rsid w:val="009F7C59"/>
    <w:rsid w:val="00A02195"/>
    <w:rsid w:val="00A0227E"/>
    <w:rsid w:val="00A0556C"/>
    <w:rsid w:val="00A05AB5"/>
    <w:rsid w:val="00A12978"/>
    <w:rsid w:val="00A16CBB"/>
    <w:rsid w:val="00A17193"/>
    <w:rsid w:val="00A174CD"/>
    <w:rsid w:val="00A17EAD"/>
    <w:rsid w:val="00A215ED"/>
    <w:rsid w:val="00A24AB4"/>
    <w:rsid w:val="00A255AF"/>
    <w:rsid w:val="00A26F9F"/>
    <w:rsid w:val="00A31C3A"/>
    <w:rsid w:val="00A32013"/>
    <w:rsid w:val="00A32EDF"/>
    <w:rsid w:val="00A3462E"/>
    <w:rsid w:val="00A35BD7"/>
    <w:rsid w:val="00A37C45"/>
    <w:rsid w:val="00A42FD7"/>
    <w:rsid w:val="00A45948"/>
    <w:rsid w:val="00A4606C"/>
    <w:rsid w:val="00A471E8"/>
    <w:rsid w:val="00A47B28"/>
    <w:rsid w:val="00A509DA"/>
    <w:rsid w:val="00A536F4"/>
    <w:rsid w:val="00A5559A"/>
    <w:rsid w:val="00A621C9"/>
    <w:rsid w:val="00A622C1"/>
    <w:rsid w:val="00A631CD"/>
    <w:rsid w:val="00A633F6"/>
    <w:rsid w:val="00A653D8"/>
    <w:rsid w:val="00A71D9B"/>
    <w:rsid w:val="00A71F37"/>
    <w:rsid w:val="00A72505"/>
    <w:rsid w:val="00A755DF"/>
    <w:rsid w:val="00A7672B"/>
    <w:rsid w:val="00A76A8F"/>
    <w:rsid w:val="00A804B8"/>
    <w:rsid w:val="00A80AD8"/>
    <w:rsid w:val="00A82F75"/>
    <w:rsid w:val="00A843E1"/>
    <w:rsid w:val="00A87543"/>
    <w:rsid w:val="00A87C4E"/>
    <w:rsid w:val="00A90BF1"/>
    <w:rsid w:val="00A92258"/>
    <w:rsid w:val="00A9249A"/>
    <w:rsid w:val="00A92AB0"/>
    <w:rsid w:val="00A93038"/>
    <w:rsid w:val="00A930F4"/>
    <w:rsid w:val="00A945D1"/>
    <w:rsid w:val="00A94BCA"/>
    <w:rsid w:val="00A95CB6"/>
    <w:rsid w:val="00AA36DC"/>
    <w:rsid w:val="00AA5B9A"/>
    <w:rsid w:val="00AB1539"/>
    <w:rsid w:val="00AB31A2"/>
    <w:rsid w:val="00AC150B"/>
    <w:rsid w:val="00AC2834"/>
    <w:rsid w:val="00AC2CFC"/>
    <w:rsid w:val="00AC41A4"/>
    <w:rsid w:val="00AD193C"/>
    <w:rsid w:val="00AD3DCE"/>
    <w:rsid w:val="00AD49B8"/>
    <w:rsid w:val="00AE514C"/>
    <w:rsid w:val="00AE6902"/>
    <w:rsid w:val="00AF03AE"/>
    <w:rsid w:val="00AF352D"/>
    <w:rsid w:val="00AF467F"/>
    <w:rsid w:val="00B02F7E"/>
    <w:rsid w:val="00B03935"/>
    <w:rsid w:val="00B047CC"/>
    <w:rsid w:val="00B0524B"/>
    <w:rsid w:val="00B068B0"/>
    <w:rsid w:val="00B0694A"/>
    <w:rsid w:val="00B103CE"/>
    <w:rsid w:val="00B14691"/>
    <w:rsid w:val="00B14961"/>
    <w:rsid w:val="00B16370"/>
    <w:rsid w:val="00B165EB"/>
    <w:rsid w:val="00B2221A"/>
    <w:rsid w:val="00B23CA0"/>
    <w:rsid w:val="00B23CE1"/>
    <w:rsid w:val="00B24621"/>
    <w:rsid w:val="00B31A1C"/>
    <w:rsid w:val="00B33E68"/>
    <w:rsid w:val="00B34102"/>
    <w:rsid w:val="00B408D0"/>
    <w:rsid w:val="00B43AD7"/>
    <w:rsid w:val="00B512EE"/>
    <w:rsid w:val="00B522B0"/>
    <w:rsid w:val="00B52679"/>
    <w:rsid w:val="00B53886"/>
    <w:rsid w:val="00B552DF"/>
    <w:rsid w:val="00B55481"/>
    <w:rsid w:val="00B55900"/>
    <w:rsid w:val="00B567BA"/>
    <w:rsid w:val="00B568CE"/>
    <w:rsid w:val="00B61464"/>
    <w:rsid w:val="00B629DF"/>
    <w:rsid w:val="00B676B3"/>
    <w:rsid w:val="00B706B1"/>
    <w:rsid w:val="00B707B2"/>
    <w:rsid w:val="00B713A8"/>
    <w:rsid w:val="00B71605"/>
    <w:rsid w:val="00B722D0"/>
    <w:rsid w:val="00B74EFE"/>
    <w:rsid w:val="00B76288"/>
    <w:rsid w:val="00B76736"/>
    <w:rsid w:val="00B769F2"/>
    <w:rsid w:val="00B76B25"/>
    <w:rsid w:val="00B77A65"/>
    <w:rsid w:val="00B77DC7"/>
    <w:rsid w:val="00B805CD"/>
    <w:rsid w:val="00B84747"/>
    <w:rsid w:val="00B85488"/>
    <w:rsid w:val="00B87F06"/>
    <w:rsid w:val="00B94263"/>
    <w:rsid w:val="00B95A0E"/>
    <w:rsid w:val="00B96223"/>
    <w:rsid w:val="00B973FA"/>
    <w:rsid w:val="00B97738"/>
    <w:rsid w:val="00BA33C3"/>
    <w:rsid w:val="00BA3968"/>
    <w:rsid w:val="00BA4C67"/>
    <w:rsid w:val="00BA5732"/>
    <w:rsid w:val="00BA59D8"/>
    <w:rsid w:val="00BA6256"/>
    <w:rsid w:val="00BB0B3D"/>
    <w:rsid w:val="00BB37C8"/>
    <w:rsid w:val="00BB44B3"/>
    <w:rsid w:val="00BB704D"/>
    <w:rsid w:val="00BC186D"/>
    <w:rsid w:val="00BC1F18"/>
    <w:rsid w:val="00BC2C89"/>
    <w:rsid w:val="00BC3FB7"/>
    <w:rsid w:val="00BC4C4D"/>
    <w:rsid w:val="00BD248A"/>
    <w:rsid w:val="00BD294B"/>
    <w:rsid w:val="00BD3A95"/>
    <w:rsid w:val="00BD5A42"/>
    <w:rsid w:val="00BD7206"/>
    <w:rsid w:val="00BD7550"/>
    <w:rsid w:val="00BE15A1"/>
    <w:rsid w:val="00BE42E0"/>
    <w:rsid w:val="00BF3C9E"/>
    <w:rsid w:val="00BF4A7F"/>
    <w:rsid w:val="00BF4BAF"/>
    <w:rsid w:val="00BF4E0B"/>
    <w:rsid w:val="00BF51AD"/>
    <w:rsid w:val="00BF6AF4"/>
    <w:rsid w:val="00C02E9F"/>
    <w:rsid w:val="00C0682E"/>
    <w:rsid w:val="00C0725A"/>
    <w:rsid w:val="00C14DC2"/>
    <w:rsid w:val="00C15008"/>
    <w:rsid w:val="00C1741B"/>
    <w:rsid w:val="00C21475"/>
    <w:rsid w:val="00C21A7E"/>
    <w:rsid w:val="00C23912"/>
    <w:rsid w:val="00C248D1"/>
    <w:rsid w:val="00C24966"/>
    <w:rsid w:val="00C277ED"/>
    <w:rsid w:val="00C305C3"/>
    <w:rsid w:val="00C3314A"/>
    <w:rsid w:val="00C3526F"/>
    <w:rsid w:val="00C35993"/>
    <w:rsid w:val="00C36191"/>
    <w:rsid w:val="00C3709E"/>
    <w:rsid w:val="00C40750"/>
    <w:rsid w:val="00C40F35"/>
    <w:rsid w:val="00C411C4"/>
    <w:rsid w:val="00C41FA3"/>
    <w:rsid w:val="00C43700"/>
    <w:rsid w:val="00C4421F"/>
    <w:rsid w:val="00C51633"/>
    <w:rsid w:val="00C524CB"/>
    <w:rsid w:val="00C532CF"/>
    <w:rsid w:val="00C53869"/>
    <w:rsid w:val="00C54B92"/>
    <w:rsid w:val="00C568CA"/>
    <w:rsid w:val="00C56923"/>
    <w:rsid w:val="00C638C7"/>
    <w:rsid w:val="00C65626"/>
    <w:rsid w:val="00C700F4"/>
    <w:rsid w:val="00C703A9"/>
    <w:rsid w:val="00C737CB"/>
    <w:rsid w:val="00C748ED"/>
    <w:rsid w:val="00C764F0"/>
    <w:rsid w:val="00C86A07"/>
    <w:rsid w:val="00C90166"/>
    <w:rsid w:val="00C90191"/>
    <w:rsid w:val="00C916C9"/>
    <w:rsid w:val="00C928D9"/>
    <w:rsid w:val="00C92D40"/>
    <w:rsid w:val="00C94470"/>
    <w:rsid w:val="00C969DD"/>
    <w:rsid w:val="00CA074B"/>
    <w:rsid w:val="00CA3BBF"/>
    <w:rsid w:val="00CA794A"/>
    <w:rsid w:val="00CB0899"/>
    <w:rsid w:val="00CB3224"/>
    <w:rsid w:val="00CB3237"/>
    <w:rsid w:val="00CB44DC"/>
    <w:rsid w:val="00CB60D9"/>
    <w:rsid w:val="00CC1463"/>
    <w:rsid w:val="00CC212C"/>
    <w:rsid w:val="00CC27AA"/>
    <w:rsid w:val="00CD444E"/>
    <w:rsid w:val="00CD4798"/>
    <w:rsid w:val="00CD68A2"/>
    <w:rsid w:val="00CE002E"/>
    <w:rsid w:val="00CE243D"/>
    <w:rsid w:val="00CE373B"/>
    <w:rsid w:val="00CE4B78"/>
    <w:rsid w:val="00CE5334"/>
    <w:rsid w:val="00CF0557"/>
    <w:rsid w:val="00CF16D4"/>
    <w:rsid w:val="00CF4B75"/>
    <w:rsid w:val="00CF5BBA"/>
    <w:rsid w:val="00CF6DD4"/>
    <w:rsid w:val="00CF7F64"/>
    <w:rsid w:val="00D00F1D"/>
    <w:rsid w:val="00D02186"/>
    <w:rsid w:val="00D05431"/>
    <w:rsid w:val="00D06E45"/>
    <w:rsid w:val="00D07442"/>
    <w:rsid w:val="00D0762F"/>
    <w:rsid w:val="00D07858"/>
    <w:rsid w:val="00D136A0"/>
    <w:rsid w:val="00D159DE"/>
    <w:rsid w:val="00D20F89"/>
    <w:rsid w:val="00D245C0"/>
    <w:rsid w:val="00D248FD"/>
    <w:rsid w:val="00D26C81"/>
    <w:rsid w:val="00D34497"/>
    <w:rsid w:val="00D36D1A"/>
    <w:rsid w:val="00D406FD"/>
    <w:rsid w:val="00D42000"/>
    <w:rsid w:val="00D43444"/>
    <w:rsid w:val="00D446B3"/>
    <w:rsid w:val="00D449C1"/>
    <w:rsid w:val="00D4597F"/>
    <w:rsid w:val="00D4645E"/>
    <w:rsid w:val="00D46663"/>
    <w:rsid w:val="00D46E79"/>
    <w:rsid w:val="00D50422"/>
    <w:rsid w:val="00D508C3"/>
    <w:rsid w:val="00D5746A"/>
    <w:rsid w:val="00D57EAD"/>
    <w:rsid w:val="00D60958"/>
    <w:rsid w:val="00D6205F"/>
    <w:rsid w:val="00D62B9C"/>
    <w:rsid w:val="00D64D68"/>
    <w:rsid w:val="00D656A5"/>
    <w:rsid w:val="00D70DE3"/>
    <w:rsid w:val="00D72CD9"/>
    <w:rsid w:val="00D734E2"/>
    <w:rsid w:val="00D740B8"/>
    <w:rsid w:val="00D75EF0"/>
    <w:rsid w:val="00D76809"/>
    <w:rsid w:val="00D76A23"/>
    <w:rsid w:val="00D81FA1"/>
    <w:rsid w:val="00D825DD"/>
    <w:rsid w:val="00D82B99"/>
    <w:rsid w:val="00D85DC0"/>
    <w:rsid w:val="00D873C1"/>
    <w:rsid w:val="00D87B9A"/>
    <w:rsid w:val="00D91B18"/>
    <w:rsid w:val="00D9508C"/>
    <w:rsid w:val="00DA0E14"/>
    <w:rsid w:val="00DA1090"/>
    <w:rsid w:val="00DA24A2"/>
    <w:rsid w:val="00DA2994"/>
    <w:rsid w:val="00DA47E2"/>
    <w:rsid w:val="00DA682F"/>
    <w:rsid w:val="00DB1204"/>
    <w:rsid w:val="00DB2BE1"/>
    <w:rsid w:val="00DB2F85"/>
    <w:rsid w:val="00DB3127"/>
    <w:rsid w:val="00DB51FA"/>
    <w:rsid w:val="00DB5E7D"/>
    <w:rsid w:val="00DC05DC"/>
    <w:rsid w:val="00DC2A2F"/>
    <w:rsid w:val="00DC4922"/>
    <w:rsid w:val="00DC553D"/>
    <w:rsid w:val="00DC6142"/>
    <w:rsid w:val="00DC65A9"/>
    <w:rsid w:val="00DD0AAA"/>
    <w:rsid w:val="00DD1D82"/>
    <w:rsid w:val="00DD4484"/>
    <w:rsid w:val="00DD6EDE"/>
    <w:rsid w:val="00DE041D"/>
    <w:rsid w:val="00DE0873"/>
    <w:rsid w:val="00DE0901"/>
    <w:rsid w:val="00DE306F"/>
    <w:rsid w:val="00DE3384"/>
    <w:rsid w:val="00DE3C24"/>
    <w:rsid w:val="00DE4617"/>
    <w:rsid w:val="00DE46B0"/>
    <w:rsid w:val="00DE7959"/>
    <w:rsid w:val="00DF2FC9"/>
    <w:rsid w:val="00E03FA1"/>
    <w:rsid w:val="00E040E7"/>
    <w:rsid w:val="00E0700E"/>
    <w:rsid w:val="00E114F3"/>
    <w:rsid w:val="00E12E35"/>
    <w:rsid w:val="00E13370"/>
    <w:rsid w:val="00E14EBE"/>
    <w:rsid w:val="00E21BC2"/>
    <w:rsid w:val="00E232A6"/>
    <w:rsid w:val="00E25C0C"/>
    <w:rsid w:val="00E2624F"/>
    <w:rsid w:val="00E262F3"/>
    <w:rsid w:val="00E2736B"/>
    <w:rsid w:val="00E33540"/>
    <w:rsid w:val="00E339D0"/>
    <w:rsid w:val="00E34291"/>
    <w:rsid w:val="00E34E64"/>
    <w:rsid w:val="00E35426"/>
    <w:rsid w:val="00E373CF"/>
    <w:rsid w:val="00E418BA"/>
    <w:rsid w:val="00E420AD"/>
    <w:rsid w:val="00E44051"/>
    <w:rsid w:val="00E46BA5"/>
    <w:rsid w:val="00E472D4"/>
    <w:rsid w:val="00E47A0A"/>
    <w:rsid w:val="00E515FD"/>
    <w:rsid w:val="00E5460F"/>
    <w:rsid w:val="00E55040"/>
    <w:rsid w:val="00E57987"/>
    <w:rsid w:val="00E619E8"/>
    <w:rsid w:val="00E72306"/>
    <w:rsid w:val="00E7399B"/>
    <w:rsid w:val="00E739E8"/>
    <w:rsid w:val="00E74500"/>
    <w:rsid w:val="00E76AA5"/>
    <w:rsid w:val="00E810A4"/>
    <w:rsid w:val="00E8156F"/>
    <w:rsid w:val="00E83C2F"/>
    <w:rsid w:val="00E84823"/>
    <w:rsid w:val="00E86D65"/>
    <w:rsid w:val="00E930D2"/>
    <w:rsid w:val="00E93EC2"/>
    <w:rsid w:val="00E971EC"/>
    <w:rsid w:val="00EA0BF8"/>
    <w:rsid w:val="00EA10B1"/>
    <w:rsid w:val="00EA4672"/>
    <w:rsid w:val="00EB181C"/>
    <w:rsid w:val="00EB334E"/>
    <w:rsid w:val="00EB4637"/>
    <w:rsid w:val="00EB5A36"/>
    <w:rsid w:val="00EB5B9E"/>
    <w:rsid w:val="00EC0B2D"/>
    <w:rsid w:val="00EC1398"/>
    <w:rsid w:val="00EC31D7"/>
    <w:rsid w:val="00EC38AF"/>
    <w:rsid w:val="00EC4ABE"/>
    <w:rsid w:val="00EC5126"/>
    <w:rsid w:val="00EC5CB0"/>
    <w:rsid w:val="00EC6260"/>
    <w:rsid w:val="00EC671B"/>
    <w:rsid w:val="00ED1CAA"/>
    <w:rsid w:val="00ED316E"/>
    <w:rsid w:val="00ED4E93"/>
    <w:rsid w:val="00EE0982"/>
    <w:rsid w:val="00EE2C55"/>
    <w:rsid w:val="00EE41EC"/>
    <w:rsid w:val="00EE72D7"/>
    <w:rsid w:val="00EE7608"/>
    <w:rsid w:val="00EF02B2"/>
    <w:rsid w:val="00EF0863"/>
    <w:rsid w:val="00EF0D3A"/>
    <w:rsid w:val="00EF3173"/>
    <w:rsid w:val="00EF3514"/>
    <w:rsid w:val="00EF5E19"/>
    <w:rsid w:val="00F0085B"/>
    <w:rsid w:val="00F03DD7"/>
    <w:rsid w:val="00F0497A"/>
    <w:rsid w:val="00F04F6C"/>
    <w:rsid w:val="00F050C0"/>
    <w:rsid w:val="00F05C8E"/>
    <w:rsid w:val="00F07D3B"/>
    <w:rsid w:val="00F109EB"/>
    <w:rsid w:val="00F1153B"/>
    <w:rsid w:val="00F12D64"/>
    <w:rsid w:val="00F13925"/>
    <w:rsid w:val="00F15314"/>
    <w:rsid w:val="00F1667E"/>
    <w:rsid w:val="00F17ACE"/>
    <w:rsid w:val="00F17DB8"/>
    <w:rsid w:val="00F2302E"/>
    <w:rsid w:val="00F26A2D"/>
    <w:rsid w:val="00F27A79"/>
    <w:rsid w:val="00F30D08"/>
    <w:rsid w:val="00F32954"/>
    <w:rsid w:val="00F350A5"/>
    <w:rsid w:val="00F360F5"/>
    <w:rsid w:val="00F40946"/>
    <w:rsid w:val="00F41086"/>
    <w:rsid w:val="00F42D1D"/>
    <w:rsid w:val="00F44691"/>
    <w:rsid w:val="00F45561"/>
    <w:rsid w:val="00F45FA0"/>
    <w:rsid w:val="00F46777"/>
    <w:rsid w:val="00F47073"/>
    <w:rsid w:val="00F471EF"/>
    <w:rsid w:val="00F50AB4"/>
    <w:rsid w:val="00F50C98"/>
    <w:rsid w:val="00F5221D"/>
    <w:rsid w:val="00F5545D"/>
    <w:rsid w:val="00F60E58"/>
    <w:rsid w:val="00F62A66"/>
    <w:rsid w:val="00F63909"/>
    <w:rsid w:val="00F6491B"/>
    <w:rsid w:val="00F65F2F"/>
    <w:rsid w:val="00F66BE7"/>
    <w:rsid w:val="00F71C94"/>
    <w:rsid w:val="00F72D18"/>
    <w:rsid w:val="00F733E0"/>
    <w:rsid w:val="00F73806"/>
    <w:rsid w:val="00F73C0B"/>
    <w:rsid w:val="00F75FDA"/>
    <w:rsid w:val="00F77220"/>
    <w:rsid w:val="00F778C9"/>
    <w:rsid w:val="00F828EB"/>
    <w:rsid w:val="00F83B83"/>
    <w:rsid w:val="00F856E9"/>
    <w:rsid w:val="00F91EBC"/>
    <w:rsid w:val="00F92C8D"/>
    <w:rsid w:val="00F9691B"/>
    <w:rsid w:val="00F96CC1"/>
    <w:rsid w:val="00FA3008"/>
    <w:rsid w:val="00FA5FE3"/>
    <w:rsid w:val="00FA6077"/>
    <w:rsid w:val="00FA77E7"/>
    <w:rsid w:val="00FB2C55"/>
    <w:rsid w:val="00FB3621"/>
    <w:rsid w:val="00FB3A31"/>
    <w:rsid w:val="00FB52A2"/>
    <w:rsid w:val="00FB63B4"/>
    <w:rsid w:val="00FC09A0"/>
    <w:rsid w:val="00FC325D"/>
    <w:rsid w:val="00FC339E"/>
    <w:rsid w:val="00FC35EA"/>
    <w:rsid w:val="00FC4327"/>
    <w:rsid w:val="00FC49FB"/>
    <w:rsid w:val="00FD049F"/>
    <w:rsid w:val="00FE1673"/>
    <w:rsid w:val="00FE27A4"/>
    <w:rsid w:val="00FE2ACA"/>
    <w:rsid w:val="00FE2C3C"/>
    <w:rsid w:val="00FE315B"/>
    <w:rsid w:val="00FE7EA3"/>
    <w:rsid w:val="00FF0746"/>
    <w:rsid w:val="00FF2660"/>
    <w:rsid w:val="00FF383E"/>
    <w:rsid w:val="00FF43F5"/>
    <w:rsid w:val="00FF6026"/>
    <w:rsid w:val="040168D1"/>
    <w:rsid w:val="09B4687D"/>
    <w:rsid w:val="0FB33569"/>
    <w:rsid w:val="1099E001"/>
    <w:rsid w:val="11B3E1E0"/>
    <w:rsid w:val="170A9DD2"/>
    <w:rsid w:val="18D05918"/>
    <w:rsid w:val="1905675E"/>
    <w:rsid w:val="190B926E"/>
    <w:rsid w:val="19434C61"/>
    <w:rsid w:val="1958ACBD"/>
    <w:rsid w:val="1B530A6C"/>
    <w:rsid w:val="1FBEEBC9"/>
    <w:rsid w:val="20353CAB"/>
    <w:rsid w:val="225DAA7E"/>
    <w:rsid w:val="23494677"/>
    <w:rsid w:val="250ACB92"/>
    <w:rsid w:val="288727C2"/>
    <w:rsid w:val="288A6108"/>
    <w:rsid w:val="28D78DA6"/>
    <w:rsid w:val="2A1FD4BE"/>
    <w:rsid w:val="2F7BCE35"/>
    <w:rsid w:val="3420AE3F"/>
    <w:rsid w:val="36E7BB56"/>
    <w:rsid w:val="3C0DD26A"/>
    <w:rsid w:val="3F0EE72D"/>
    <w:rsid w:val="4216D795"/>
    <w:rsid w:val="4495982A"/>
    <w:rsid w:val="44B77564"/>
    <w:rsid w:val="45ADF715"/>
    <w:rsid w:val="45C20331"/>
    <w:rsid w:val="4C1BA502"/>
    <w:rsid w:val="4FC59EDC"/>
    <w:rsid w:val="503DE061"/>
    <w:rsid w:val="512B8816"/>
    <w:rsid w:val="527FA7DA"/>
    <w:rsid w:val="528FE949"/>
    <w:rsid w:val="530BB453"/>
    <w:rsid w:val="54A2C95F"/>
    <w:rsid w:val="57106895"/>
    <w:rsid w:val="5937C0E4"/>
    <w:rsid w:val="594088A9"/>
    <w:rsid w:val="5C451C5F"/>
    <w:rsid w:val="5E245202"/>
    <w:rsid w:val="5FA26A9F"/>
    <w:rsid w:val="60BDE520"/>
    <w:rsid w:val="633686B6"/>
    <w:rsid w:val="695413D3"/>
    <w:rsid w:val="712C0A6D"/>
    <w:rsid w:val="71E6E887"/>
    <w:rsid w:val="73C7185F"/>
    <w:rsid w:val="75FC7447"/>
    <w:rsid w:val="770D5D1D"/>
    <w:rsid w:val="7948EFE4"/>
    <w:rsid w:val="795C0AA5"/>
    <w:rsid w:val="7B5AC040"/>
    <w:rsid w:val="7D25AB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77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F3"/>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level2">
    <w:name w:val="Title level 2"/>
    <w:qFormat/>
    <w:rsid w:val="00E114F3"/>
    <w:pPr>
      <w:spacing w:before="240" w:after="240" w:line="240" w:lineRule="auto"/>
    </w:pPr>
    <w:rPr>
      <w:rFonts w:asciiTheme="majorHAnsi" w:eastAsiaTheme="majorEastAsia" w:hAnsiTheme="majorHAnsi" w:cstheme="majorBidi"/>
      <w:bCs/>
      <w:color w:val="44546A" w:themeColor="text2"/>
      <w:sz w:val="32"/>
      <w:szCs w:val="24"/>
    </w:rPr>
  </w:style>
  <w:style w:type="paragraph" w:styleId="FootnoteText">
    <w:name w:val="footnote text"/>
    <w:basedOn w:val="Normal"/>
    <w:link w:val="FootnoteTextChar"/>
    <w:autoRedefine/>
    <w:qFormat/>
    <w:rsid w:val="003D3122"/>
    <w:pPr>
      <w:spacing w:before="80" w:line="200" w:lineRule="exact"/>
      <w:ind w:left="567" w:hanging="567"/>
      <w:jc w:val="both"/>
    </w:pPr>
    <w:rPr>
      <w:sz w:val="18"/>
      <w:szCs w:val="18"/>
    </w:rPr>
  </w:style>
  <w:style w:type="character" w:customStyle="1" w:styleId="FootnoteTextChar">
    <w:name w:val="Footnote Text Char"/>
    <w:basedOn w:val="DefaultParagraphFont"/>
    <w:link w:val="FootnoteText"/>
    <w:rsid w:val="003D3122"/>
    <w:rPr>
      <w:rFonts w:eastAsiaTheme="minorEastAsia"/>
      <w:sz w:val="18"/>
      <w:szCs w:val="18"/>
      <w:lang w:val="cs-CZ"/>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E114F3"/>
    <w:rPr>
      <w:rFonts w:asciiTheme="minorHAnsi" w:hAnsiTheme="minorHAnsi"/>
      <w:sz w:val="22"/>
      <w:szCs w:val="18"/>
      <w:vertAlign w:val="superscript"/>
    </w:rPr>
  </w:style>
  <w:style w:type="character" w:styleId="Hyperlink">
    <w:name w:val="Hyperlink"/>
    <w:basedOn w:val="DefaultParagraphFont"/>
    <w:uiPriority w:val="99"/>
    <w:rsid w:val="00E114F3"/>
    <w:rPr>
      <w:color w:val="0563C1" w:themeColor="hyperlink"/>
      <w:u w:val="single"/>
    </w:rPr>
  </w:style>
  <w:style w:type="paragraph" w:customStyle="1" w:styleId="Annexetitre">
    <w:name w:val="Annexe titre"/>
    <w:basedOn w:val="Normal"/>
    <w:next w:val="Normal"/>
    <w:rsid w:val="00E114F3"/>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Normal"/>
    <w:rsid w:val="00E114F3"/>
    <w:pPr>
      <w:spacing w:before="48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E114F3"/>
    <w:pPr>
      <w:ind w:left="720"/>
    </w:pPr>
    <w:rPr>
      <w:rFonts w:ascii="Calibri" w:eastAsia="Calibri" w:hAnsi="Calibri" w:cs="Times New Roman"/>
      <w:szCs w:val="22"/>
    </w:rPr>
  </w:style>
  <w:style w:type="paragraph" w:customStyle="1" w:styleId="TableMainHeading">
    <w:name w:val="TableMainHeading"/>
    <w:basedOn w:val="Normal"/>
    <w:next w:val="Normal"/>
    <w:uiPriority w:val="99"/>
    <w:rsid w:val="00E114F3"/>
    <w:pPr>
      <w:spacing w:before="120" w:after="120"/>
    </w:pPr>
    <w:rPr>
      <w:rFonts w:ascii="Segoe UI" w:eastAsia="Times New Roman" w:hAnsi="Segoe UI" w:cs="Times New Roman"/>
      <w:szCs w:val="20"/>
    </w:rPr>
  </w:style>
  <w:style w:type="paragraph" w:customStyle="1" w:styleId="TableTitle">
    <w:name w:val="TableTitle"/>
    <w:basedOn w:val="Normal"/>
    <w:next w:val="Normal"/>
    <w:link w:val="TableTitleChar"/>
    <w:rsid w:val="00E114F3"/>
    <w:pPr>
      <w:keepNext/>
      <w:spacing w:before="120" w:after="240"/>
      <w:jc w:val="center"/>
    </w:pPr>
    <w:rPr>
      <w:rFonts w:ascii="Arial" w:eastAsia="MS Mincho" w:hAnsi="Arial" w:cs="Times New Roman"/>
      <w:b/>
      <w:noProof/>
      <w:szCs w:val="20"/>
    </w:rPr>
  </w:style>
  <w:style w:type="character" w:customStyle="1" w:styleId="TableTitleChar">
    <w:name w:val="TableTitle Char"/>
    <w:basedOn w:val="DefaultParagraphFont"/>
    <w:link w:val="TableTitle"/>
    <w:locked/>
    <w:rsid w:val="00E114F3"/>
    <w:rPr>
      <w:rFonts w:ascii="Arial" w:eastAsia="MS Mincho" w:hAnsi="Arial" w:cs="Times New Roman"/>
      <w:b/>
      <w:noProof/>
      <w:szCs w:val="20"/>
    </w:rPr>
  </w:style>
  <w:style w:type="character" w:customStyle="1" w:styleId="InstructionsTabelleberschrift">
    <w:name w:val="Instructions Tabelle Überschrift"/>
    <w:qFormat/>
    <w:rsid w:val="00E114F3"/>
    <w:rPr>
      <w:rFonts w:ascii="Verdana" w:hAnsi="Verdana" w:cs="Times New Roman"/>
      <w:b/>
      <w:bCs/>
      <w:sz w:val="20"/>
      <w:u w:val="single"/>
    </w:rPr>
  </w:style>
  <w:style w:type="paragraph" w:customStyle="1" w:styleId="InstructionsText2">
    <w:name w:val="Instructions Text 2"/>
    <w:basedOn w:val="Normal"/>
    <w:qFormat/>
    <w:rsid w:val="00E114F3"/>
    <w:pPr>
      <w:numPr>
        <w:numId w:val="2"/>
      </w:numPr>
      <w:spacing w:after="240"/>
      <w:jc w:val="both"/>
    </w:pPr>
    <w:rPr>
      <w:rFonts w:ascii="Times New Roman" w:eastAsia="Times New Roman" w:hAnsi="Times New Roman" w:cs="Times New Roman"/>
      <w:sz w:val="24"/>
      <w:lang w:eastAsia="de-DE"/>
    </w:rPr>
  </w:style>
  <w:style w:type="paragraph" w:styleId="Header">
    <w:name w:val="header"/>
    <w:basedOn w:val="Normal"/>
    <w:link w:val="HeaderChar"/>
    <w:uiPriority w:val="99"/>
    <w:unhideWhenUsed/>
    <w:rsid w:val="00E114F3"/>
    <w:pPr>
      <w:tabs>
        <w:tab w:val="center" w:pos="4513"/>
        <w:tab w:val="right" w:pos="9026"/>
      </w:tabs>
    </w:pPr>
  </w:style>
  <w:style w:type="character" w:customStyle="1" w:styleId="HeaderChar">
    <w:name w:val="Header Char"/>
    <w:basedOn w:val="DefaultParagraphFont"/>
    <w:link w:val="Header"/>
    <w:uiPriority w:val="99"/>
    <w:rsid w:val="00E114F3"/>
    <w:rPr>
      <w:rFonts w:eastAsiaTheme="minorEastAsia"/>
      <w:szCs w:val="24"/>
    </w:rPr>
  </w:style>
  <w:style w:type="paragraph" w:styleId="Footer">
    <w:name w:val="footer"/>
    <w:basedOn w:val="Normal"/>
    <w:link w:val="FooterChar"/>
    <w:uiPriority w:val="99"/>
    <w:unhideWhenUsed/>
    <w:rsid w:val="00E114F3"/>
    <w:pPr>
      <w:tabs>
        <w:tab w:val="center" w:pos="4513"/>
        <w:tab w:val="right" w:pos="9026"/>
      </w:tabs>
    </w:pPr>
  </w:style>
  <w:style w:type="character" w:customStyle="1" w:styleId="FooterChar">
    <w:name w:val="Footer Char"/>
    <w:basedOn w:val="DefaultParagraphFont"/>
    <w:link w:val="Footer"/>
    <w:uiPriority w:val="99"/>
    <w:rsid w:val="00E114F3"/>
    <w:rPr>
      <w:rFonts w:eastAsiaTheme="minorEastAsia"/>
      <w:szCs w:val="24"/>
    </w:rPr>
  </w:style>
  <w:style w:type="paragraph" w:styleId="Revision">
    <w:name w:val="Revision"/>
    <w:hidden/>
    <w:uiPriority w:val="99"/>
    <w:semiHidden/>
    <w:rsid w:val="00241FEC"/>
    <w:pPr>
      <w:spacing w:after="0" w:line="240" w:lineRule="auto"/>
    </w:pPr>
    <w:rPr>
      <w:rFonts w:eastAsiaTheme="minorEastAsia"/>
      <w:szCs w:val="24"/>
    </w:rPr>
  </w:style>
  <w:style w:type="character" w:styleId="CommentReference">
    <w:name w:val="annotation reference"/>
    <w:basedOn w:val="DefaultParagraphFont"/>
    <w:uiPriority w:val="99"/>
    <w:unhideWhenUsed/>
    <w:rsid w:val="00095D07"/>
    <w:rPr>
      <w:sz w:val="16"/>
      <w:szCs w:val="16"/>
    </w:rPr>
  </w:style>
  <w:style w:type="paragraph" w:styleId="CommentText">
    <w:name w:val="annotation text"/>
    <w:basedOn w:val="Normal"/>
    <w:link w:val="CommentTextChar"/>
    <w:uiPriority w:val="99"/>
    <w:unhideWhenUsed/>
    <w:rsid w:val="00095D07"/>
    <w:rPr>
      <w:sz w:val="20"/>
      <w:szCs w:val="20"/>
    </w:rPr>
  </w:style>
  <w:style w:type="character" w:customStyle="1" w:styleId="CommentTextChar">
    <w:name w:val="Comment Text Char"/>
    <w:basedOn w:val="DefaultParagraphFont"/>
    <w:link w:val="CommentText"/>
    <w:uiPriority w:val="99"/>
    <w:rsid w:val="00095D07"/>
    <w:rPr>
      <w:rFonts w:eastAsiaTheme="minorEastAsia"/>
      <w:sz w:val="20"/>
      <w:szCs w:val="20"/>
      <w:lang w:val="cs-CZ"/>
    </w:rPr>
  </w:style>
  <w:style w:type="paragraph" w:customStyle="1" w:styleId="numberedparagraph">
    <w:name w:val="numbered paragraph"/>
    <w:basedOn w:val="Normal"/>
    <w:qFormat/>
    <w:rsid w:val="00095D07"/>
    <w:pPr>
      <w:numPr>
        <w:numId w:val="7"/>
      </w:numPr>
      <w:spacing w:before="240" w:after="120" w:line="276" w:lineRule="auto"/>
      <w:jc w:val="both"/>
    </w:pPr>
  </w:style>
  <w:style w:type="paragraph" w:customStyle="1" w:styleId="paragraph">
    <w:name w:val="paragraph"/>
    <w:basedOn w:val="Normal"/>
    <w:rsid w:val="00095D07"/>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095D07"/>
  </w:style>
  <w:style w:type="character" w:customStyle="1" w:styleId="eop">
    <w:name w:val="eop"/>
    <w:basedOn w:val="DefaultParagraphFont"/>
    <w:rsid w:val="00095D07"/>
  </w:style>
  <w:style w:type="character" w:styleId="Mention">
    <w:name w:val="Mention"/>
    <w:basedOn w:val="DefaultParagraphFont"/>
    <w:uiPriority w:val="99"/>
    <w:unhideWhenUsed/>
    <w:rsid w:val="00095D0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74F00"/>
    <w:rPr>
      <w:b/>
      <w:bCs/>
    </w:rPr>
  </w:style>
  <w:style w:type="character" w:customStyle="1" w:styleId="CommentSubjectChar">
    <w:name w:val="Comment Subject Char"/>
    <w:basedOn w:val="CommentTextChar"/>
    <w:link w:val="CommentSubject"/>
    <w:uiPriority w:val="99"/>
    <w:semiHidden/>
    <w:rsid w:val="00074F00"/>
    <w:rPr>
      <w:rFonts w:eastAsiaTheme="minorEastAsia"/>
      <w:b/>
      <w:bCs/>
      <w:sz w:val="20"/>
      <w:szCs w:val="20"/>
      <w:lang w:val="cs-CZ"/>
    </w:rPr>
  </w:style>
  <w:style w:type="paragraph" w:customStyle="1" w:styleId="Style1">
    <w:name w:val="Style1"/>
    <w:basedOn w:val="ListParagraph"/>
    <w:qFormat/>
    <w:rsid w:val="00232265"/>
    <w:pPr>
      <w:numPr>
        <w:numId w:val="11"/>
      </w:numPr>
      <w:spacing w:before="60" w:after="120"/>
      <w:jc w:val="both"/>
    </w:pPr>
    <w:rPr>
      <w:rFonts w:ascii="Times New Roman" w:eastAsia="Times New Roman" w:hAnsi="Times New Roman"/>
      <w:sz w:val="24"/>
    </w:rPr>
  </w:style>
  <w:style w:type="character" w:styleId="FollowedHyperlink">
    <w:name w:val="FollowedHyperlink"/>
    <w:basedOn w:val="DefaultParagraphFont"/>
    <w:uiPriority w:val="99"/>
    <w:semiHidden/>
    <w:unhideWhenUsed/>
    <w:rsid w:val="00762F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OJ:L_2024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58D16-5A62-4E4D-96C3-F6E767B7E14B}">
  <ds:schemaRefs>
    <ds:schemaRef ds:uri="http://schemas.microsoft.com/sharepoint/v3/contenttype/forms"/>
  </ds:schemaRefs>
</ds:datastoreItem>
</file>

<file path=customXml/itemProps2.xml><?xml version="1.0" encoding="utf-8"?>
<ds:datastoreItem xmlns:ds="http://schemas.openxmlformats.org/officeDocument/2006/customXml" ds:itemID="{4BCFD491-C717-43CD-8132-4648BC01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AA13D-5788-405C-9534-7091A4501F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897FCB-9E4A-4741-9004-D2C005DA7809}">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4975</Words>
  <Characters>27465</Characters>
  <Application>Microsoft Office Word</Application>
  <DocSecurity>0</DocSecurity>
  <Lines>228</Lines>
  <Paragraphs>64</Paragraphs>
  <ScaleCrop>false</ScaleCrop>
  <Manager/>
  <Company/>
  <LinksUpToDate>false</LinksUpToDate>
  <CharactersWithSpaces>32376</CharactersWithSpaces>
  <SharedDoc>false</SharedDoc>
  <HLinks>
    <vt:vector size="36" baseType="variant">
      <vt:variant>
        <vt:i4>7143432</vt:i4>
      </vt:variant>
      <vt:variant>
        <vt:i4>3</vt:i4>
      </vt:variant>
      <vt:variant>
        <vt:i4>0</vt:i4>
      </vt:variant>
      <vt:variant>
        <vt:i4>5</vt:i4>
      </vt:variant>
      <vt:variant>
        <vt:lpwstr>https://eur-lex.europa.eu/legal-content/EN/TXT/?uri=OJ:L_202401623</vt:lpwstr>
      </vt:variant>
      <vt:variant>
        <vt:lpwstr/>
      </vt:variant>
      <vt:variant>
        <vt:i4>7602297</vt:i4>
      </vt:variant>
      <vt:variant>
        <vt:i4>0</vt:i4>
      </vt:variant>
      <vt:variant>
        <vt:i4>0</vt:i4>
      </vt:variant>
      <vt:variant>
        <vt:i4>5</vt:i4>
      </vt:variant>
      <vt:variant>
        <vt:lpwstr>https://eur-lex.europa.eu/legal-content/EN/AUTO/?uri=OJ:L:2013:176:TOC</vt:lpwstr>
      </vt:variant>
      <vt:variant>
        <vt:lpwstr/>
      </vt:variant>
      <vt:variant>
        <vt:i4>1507369</vt:i4>
      </vt:variant>
      <vt:variant>
        <vt:i4>9</vt:i4>
      </vt:variant>
      <vt:variant>
        <vt:i4>0</vt:i4>
      </vt:variant>
      <vt:variant>
        <vt:i4>5</vt:i4>
      </vt:variant>
      <vt:variant>
        <vt:lpwstr>mailto:anca.dinita@eba.europa.eu</vt:lpwstr>
      </vt:variant>
      <vt:variant>
        <vt:lpwstr/>
      </vt:variant>
      <vt:variant>
        <vt:i4>1507369</vt:i4>
      </vt:variant>
      <vt:variant>
        <vt:i4>6</vt:i4>
      </vt:variant>
      <vt:variant>
        <vt:i4>0</vt:i4>
      </vt:variant>
      <vt:variant>
        <vt:i4>5</vt:i4>
      </vt:variant>
      <vt:variant>
        <vt:lpwstr>mailto:anca.dinita@eba.europa.eu</vt:lpwstr>
      </vt:variant>
      <vt:variant>
        <vt:lpwstr/>
      </vt:variant>
      <vt:variant>
        <vt:i4>1507369</vt:i4>
      </vt:variant>
      <vt:variant>
        <vt:i4>3</vt:i4>
      </vt:variant>
      <vt:variant>
        <vt:i4>0</vt:i4>
      </vt:variant>
      <vt:variant>
        <vt:i4>5</vt:i4>
      </vt:variant>
      <vt:variant>
        <vt:lpwstr>mailto:anca.dinita@eba.europa.eu</vt:lpwstr>
      </vt:variant>
      <vt:variant>
        <vt:lpwstr/>
      </vt:variant>
      <vt:variant>
        <vt:i4>1507369</vt:i4>
      </vt:variant>
      <vt:variant>
        <vt:i4>0</vt:i4>
      </vt:variant>
      <vt:variant>
        <vt:i4>0</vt:i4>
      </vt:variant>
      <vt:variant>
        <vt:i4>5</vt:i4>
      </vt:variant>
      <vt:variant>
        <vt:lpwstr>mailto:anca.dinita@eba.europa.eu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2025-12-22T12:52:00Z</dcterms:created>
  <dcterms:modified xsi:type="dcterms:W3CDTF">2025-12-23T14:36:00Z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y fmtid="{D5CDD505-2E9C-101B-9397-08002B2CF9AE}" pid="3" name="JobId">
    <vt:lpwstr>dfb718a2-bcd9-4278-a8e0-b3ad00ae8320</vt:lpwstr>
  </property>
</Properties>
</file>