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970DB1" w:rsidRDefault="00E114F3" w:rsidP="00EC5B29">
      <w:pPr>
        <w:pStyle w:val="Annexetitre"/>
        <w:spacing w:before="0"/>
      </w:pPr>
      <w:r w:rsidRPr="00970DB1">
        <w:t>ПРИЛОЖЕНИЕ XXXII — Указания за образците за оповестяване на операционния риск</w:t>
      </w:r>
    </w:p>
    <w:p w14:paraId="672A6659" w14:textId="77777777" w:rsidR="00E114F3" w:rsidRPr="00970DB1" w:rsidRDefault="00E114F3" w:rsidP="00E114F3">
      <w:pPr>
        <w:spacing w:after="120"/>
        <w:jc w:val="both"/>
        <w:rPr>
          <w:rFonts w:ascii="Times New Roman" w:hAnsi="Times New Roman"/>
          <w:b/>
          <w:bCs/>
          <w:sz w:val="24"/>
        </w:rPr>
      </w:pPr>
    </w:p>
    <w:p w14:paraId="384DD143" w14:textId="77777777" w:rsidR="00E114F3" w:rsidRPr="00970DB1" w:rsidRDefault="00E114F3" w:rsidP="00E114F3">
      <w:pPr>
        <w:spacing w:after="120"/>
        <w:rPr>
          <w:rFonts w:ascii="Times New Roman" w:hAnsi="Times New Roman"/>
          <w:bCs/>
          <w:sz w:val="24"/>
        </w:rPr>
      </w:pPr>
      <w:r w:rsidRPr="00970DB1">
        <w:rPr>
          <w:rFonts w:ascii="Times New Roman" w:hAnsi="Times New Roman"/>
          <w:b/>
          <w:sz w:val="24"/>
        </w:rPr>
        <w:t xml:space="preserve">Таблица EU ORA — Качествена информация за операционния риск. </w:t>
      </w:r>
      <w:r w:rsidRPr="00970DB1">
        <w:rPr>
          <w:rFonts w:ascii="Times New Roman" w:hAnsi="Times New Roman"/>
          <w:sz w:val="24"/>
        </w:rPr>
        <w:t>Таблица без зададен формат</w:t>
      </w:r>
    </w:p>
    <w:p w14:paraId="2E1E5572" w14:textId="6D56D6EF" w:rsidR="00E114F3" w:rsidRPr="00970DB1" w:rsidRDefault="2A1FD4BE" w:rsidP="44B77564">
      <w:pPr>
        <w:numPr>
          <w:ilvl w:val="0"/>
          <w:numId w:val="1"/>
        </w:numPr>
        <w:spacing w:after="120"/>
        <w:jc w:val="both"/>
        <w:rPr>
          <w:rFonts w:ascii="Calibri" w:eastAsia="Times New Roman" w:hAnsi="Calibri" w:cs="Times New Roman"/>
          <w:color w:val="000000"/>
        </w:rPr>
      </w:pPr>
      <w:r w:rsidRPr="00970DB1">
        <w:rPr>
          <w:rFonts w:ascii="Times New Roman" w:hAnsi="Times New Roman"/>
          <w:sz w:val="24"/>
        </w:rPr>
        <w:t>Институциите оповестяват информацията, включена в тази таблица, в изпълнение на член 435, параграф 1, член 446, параграф 1, буква а) от Регламент (ЕС) № 575/2013</w:t>
      </w:r>
      <w:r w:rsidR="00E114F3" w:rsidRPr="00970DB1">
        <w:rPr>
          <w:rStyle w:val="FootnoteReference"/>
          <w:rFonts w:ascii="Times New Roman" w:hAnsi="Times New Roman"/>
          <w:sz w:val="24"/>
          <w:szCs w:val="24"/>
        </w:rPr>
        <w:footnoteReference w:id="2"/>
      </w:r>
      <w:r w:rsidRPr="00970DB1">
        <w:rPr>
          <w:rFonts w:ascii="Times New Roman" w:hAnsi="Times New Roman"/>
          <w:sz w:val="24"/>
        </w:rPr>
        <w:t>.</w:t>
      </w:r>
    </w:p>
    <w:p w14:paraId="728254AD" w14:textId="52B3E768" w:rsidR="00E114F3" w:rsidRPr="00970DB1" w:rsidRDefault="00E114F3" w:rsidP="00E114F3">
      <w:pPr>
        <w:numPr>
          <w:ilvl w:val="0"/>
          <w:numId w:val="1"/>
        </w:numPr>
        <w:spacing w:after="120"/>
        <w:jc w:val="both"/>
        <w:rPr>
          <w:rFonts w:ascii="Times New Roman" w:hAnsi="Times New Roman"/>
          <w:bCs/>
          <w:sz w:val="24"/>
        </w:rPr>
      </w:pPr>
      <w:r w:rsidRPr="00970DB1">
        <w:rPr>
          <w:rFonts w:ascii="Times New Roman" w:hAnsi="Times New Roman"/>
          <w:sz w:val="24"/>
        </w:rPr>
        <w:t>Институциите попълват таблицата за оповестяване на операционния риск EU ORA от приложение XXXI към ИТ решенията на ЕБО, като прилагат долуизложените в настоящото приложение указания.</w:t>
      </w:r>
    </w:p>
    <w:tbl>
      <w:tblPr>
        <w:tblW w:w="8926" w:type="dxa"/>
        <w:tblLook w:val="04A0" w:firstRow="1" w:lastRow="0" w:firstColumn="1" w:lastColumn="0" w:noHBand="0" w:noVBand="1"/>
      </w:tblPr>
      <w:tblGrid>
        <w:gridCol w:w="1555"/>
        <w:gridCol w:w="7371"/>
      </w:tblGrid>
      <w:tr w:rsidR="00E114F3" w:rsidRPr="00970DB1"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970DB1" w:rsidRDefault="00E114F3">
            <w:pPr>
              <w:spacing w:after="120"/>
              <w:rPr>
                <w:rFonts w:ascii="Times New Roman" w:eastAsia="Times New Roman" w:hAnsi="Times New Roman" w:cs="Times New Roman"/>
                <w:b/>
                <w:bCs/>
                <w:color w:val="000000"/>
                <w:sz w:val="24"/>
              </w:rPr>
            </w:pPr>
            <w:r w:rsidRPr="00970DB1">
              <w:rPr>
                <w:rFonts w:ascii="Times New Roman" w:hAnsi="Times New Roman"/>
                <w:b/>
                <w:color w:val="000000"/>
                <w:sz w:val="24"/>
              </w:rPr>
              <w:t>Препратки към нормативни актове и указания</w:t>
            </w:r>
          </w:p>
        </w:tc>
      </w:tr>
      <w:tr w:rsidR="00E114F3" w:rsidRPr="00970DB1"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970DB1" w:rsidRDefault="00E114F3">
            <w:pPr>
              <w:spacing w:after="120"/>
              <w:rPr>
                <w:rFonts w:ascii="Times New Roman" w:eastAsia="Times New Roman" w:hAnsi="Times New Roman" w:cs="Times New Roman"/>
                <w:b/>
                <w:bCs/>
                <w:color w:val="000000"/>
                <w:sz w:val="24"/>
              </w:rPr>
            </w:pPr>
            <w:r w:rsidRPr="00970DB1">
              <w:rPr>
                <w:rFonts w:ascii="Times New Roman" w:hAnsi="Times New Roman"/>
                <w:b/>
                <w:color w:val="000000"/>
                <w:sz w:val="24"/>
              </w:rPr>
              <w:t>Номер на ред</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970DB1" w:rsidRDefault="00E114F3">
            <w:pPr>
              <w:spacing w:after="120"/>
              <w:rPr>
                <w:rFonts w:ascii="Times New Roman" w:eastAsia="Times New Roman" w:hAnsi="Times New Roman" w:cs="Times New Roman"/>
                <w:b/>
                <w:bCs/>
                <w:color w:val="000000"/>
                <w:sz w:val="24"/>
              </w:rPr>
            </w:pPr>
            <w:r w:rsidRPr="00970DB1">
              <w:rPr>
                <w:rFonts w:ascii="Times New Roman" w:hAnsi="Times New Roman"/>
                <w:b/>
                <w:color w:val="000000"/>
                <w:sz w:val="24"/>
              </w:rPr>
              <w:t>Обяснение</w:t>
            </w:r>
          </w:p>
        </w:tc>
      </w:tr>
      <w:tr w:rsidR="00E114F3" w:rsidRPr="00970DB1"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970DB1" w:rsidRDefault="00E114F3">
            <w:pPr>
              <w:spacing w:after="120"/>
              <w:jc w:val="center"/>
              <w:rPr>
                <w:rFonts w:ascii="Times New Roman" w:eastAsia="Times New Roman" w:hAnsi="Times New Roman" w:cs="Times New Roman"/>
                <w:color w:val="000000"/>
                <w:sz w:val="24"/>
              </w:rPr>
            </w:pPr>
            <w:r w:rsidRPr="00970DB1">
              <w:rPr>
                <w:rFonts w:ascii="Times New Roman" w:hAnsi="Times New Roman"/>
                <w:color w:val="000000"/>
                <w:sz w:val="24"/>
              </w:rPr>
              <w:t>а)</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970DB1" w:rsidRDefault="00E114F3">
            <w:pPr>
              <w:spacing w:after="120"/>
              <w:jc w:val="both"/>
              <w:rPr>
                <w:rFonts w:ascii="Times New Roman" w:eastAsia="Times New Roman" w:hAnsi="Times New Roman" w:cs="Times New Roman"/>
                <w:b/>
                <w:color w:val="000000"/>
                <w:sz w:val="24"/>
              </w:rPr>
            </w:pPr>
            <w:r w:rsidRPr="00970DB1">
              <w:rPr>
                <w:rFonts w:ascii="Times New Roman" w:hAnsi="Times New Roman"/>
                <w:b/>
                <w:color w:val="000000"/>
                <w:sz w:val="24"/>
              </w:rPr>
              <w:t>Оповестяване на целите и политиките във връзка с управлението на риска</w:t>
            </w:r>
          </w:p>
          <w:p w14:paraId="65684A44" w14:textId="36ED8962" w:rsidR="00E114F3" w:rsidRPr="00970DB1" w:rsidRDefault="2A1FD4BE">
            <w:pPr>
              <w:spacing w:after="120"/>
              <w:rPr>
                <w:rFonts w:ascii="Times New Roman" w:eastAsia="Times New Roman" w:hAnsi="Times New Roman" w:cs="Times New Roman"/>
                <w:color w:val="000000"/>
                <w:sz w:val="24"/>
              </w:rPr>
            </w:pPr>
            <w:r w:rsidRPr="00970DB1">
              <w:rPr>
                <w:rFonts w:ascii="Times New Roman" w:hAnsi="Times New Roman"/>
                <w:color w:val="000000" w:themeColor="text1"/>
                <w:sz w:val="24"/>
              </w:rPr>
              <w:t>По силата на член 435, параграф 1, буква а) от Регламент (ЕС) № 575/2013 институциите оповестяват своите цели, политики, рамки и насоки за управление на операционния риск, включително стратегиите и процесите за управление на този риск.</w:t>
            </w:r>
          </w:p>
        </w:tc>
      </w:tr>
      <w:tr w:rsidR="00E114F3" w:rsidRPr="00970DB1"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970DB1" w:rsidRDefault="00E114F3">
            <w:pPr>
              <w:spacing w:after="120"/>
              <w:jc w:val="center"/>
              <w:rPr>
                <w:rFonts w:ascii="Times New Roman" w:eastAsia="Times New Roman" w:hAnsi="Times New Roman" w:cs="Times New Roman"/>
                <w:color w:val="000000"/>
                <w:sz w:val="24"/>
              </w:rPr>
            </w:pPr>
            <w:r w:rsidRPr="00970DB1">
              <w:rPr>
                <w:rFonts w:ascii="Times New Roman" w:hAnsi="Times New Roman"/>
                <w:color w:val="000000"/>
                <w:sz w:val="24"/>
              </w:rPr>
              <w:t>б)</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970DB1" w:rsidRDefault="00885AC5" w:rsidP="00885AC5">
            <w:pPr>
              <w:spacing w:before="120" w:after="120"/>
              <w:jc w:val="both"/>
              <w:rPr>
                <w:rFonts w:ascii="Times New Roman" w:eastAsia="Times New Roman" w:hAnsi="Times New Roman" w:cs="Times New Roman"/>
                <w:b/>
                <w:color w:val="000000"/>
                <w:sz w:val="24"/>
              </w:rPr>
            </w:pPr>
            <w:r w:rsidRPr="00970DB1">
              <w:rPr>
                <w:rFonts w:ascii="Times New Roman" w:hAnsi="Times New Roman"/>
                <w:b/>
                <w:color w:val="000000"/>
                <w:sz w:val="24"/>
              </w:rPr>
              <w:t>Оповестяване на структурата и организацията на звеното за управление на операционен риск</w:t>
            </w:r>
          </w:p>
          <w:p w14:paraId="739779F0" w14:textId="092C61F0" w:rsidR="00E114F3" w:rsidRPr="00970DB1" w:rsidRDefault="00885AC5">
            <w:pPr>
              <w:spacing w:after="120"/>
              <w:jc w:val="both"/>
              <w:rPr>
                <w:rFonts w:ascii="Times New Roman" w:eastAsia="Times New Roman" w:hAnsi="Times New Roman" w:cs="Times New Roman"/>
                <w:color w:val="000000"/>
                <w:sz w:val="24"/>
              </w:rPr>
            </w:pPr>
            <w:r w:rsidRPr="00970DB1">
              <w:rPr>
                <w:rFonts w:ascii="Times New Roman" w:hAnsi="Times New Roman"/>
                <w:color w:val="000000" w:themeColor="text1"/>
                <w:sz w:val="24"/>
              </w:rPr>
              <w:t>По силата на член 435, параграф 1, буква б) от Регламент (ЕС) № 575/2013 институциите оповестяват структурата и организацията на звеното за управление на операционен риск, включително информация за неговите компетенции за управление на операционен риск, неговите правомощия и нива на отчетност в съответствие с учредителната и управленската документация на институцията, както и контролната функция.</w:t>
            </w:r>
          </w:p>
        </w:tc>
      </w:tr>
      <w:tr w:rsidR="00E114F3" w:rsidRPr="00970DB1"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970DB1" w:rsidRDefault="00E114F3">
            <w:pPr>
              <w:spacing w:after="120"/>
              <w:jc w:val="center"/>
              <w:rPr>
                <w:rFonts w:ascii="Times New Roman" w:eastAsia="Times New Roman" w:hAnsi="Times New Roman" w:cs="Times New Roman"/>
                <w:color w:val="000000"/>
                <w:sz w:val="24"/>
              </w:rPr>
            </w:pPr>
            <w:r w:rsidRPr="00970DB1">
              <w:rPr>
                <w:rFonts w:ascii="Times New Roman" w:hAnsi="Times New Roman"/>
                <w:color w:val="000000"/>
                <w:sz w:val="24"/>
              </w:rPr>
              <w:t>в)</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970DB1" w:rsidRDefault="005129A3" w:rsidP="005129A3">
            <w:pPr>
              <w:spacing w:before="120" w:after="120"/>
              <w:jc w:val="both"/>
              <w:rPr>
                <w:rFonts w:ascii="Times New Roman" w:eastAsia="Times New Roman" w:hAnsi="Times New Roman" w:cs="Times New Roman"/>
                <w:b/>
                <w:color w:val="000000"/>
                <w:sz w:val="24"/>
              </w:rPr>
            </w:pPr>
            <w:r w:rsidRPr="00970DB1">
              <w:rPr>
                <w:rFonts w:ascii="Times New Roman" w:hAnsi="Times New Roman"/>
                <w:b/>
                <w:color w:val="000000"/>
                <w:sz w:val="24"/>
              </w:rPr>
              <w:t>Описание на обхвата и естеството на системата за измерване</w:t>
            </w:r>
          </w:p>
          <w:p w14:paraId="2426746E" w14:textId="624D178E" w:rsidR="00E114F3" w:rsidRPr="00970DB1" w:rsidRDefault="005129A3">
            <w:pPr>
              <w:spacing w:after="120"/>
              <w:jc w:val="both"/>
              <w:rPr>
                <w:rFonts w:ascii="Times New Roman" w:eastAsia="Times New Roman" w:hAnsi="Times New Roman" w:cs="Times New Roman"/>
                <w:color w:val="000000"/>
                <w:sz w:val="24"/>
              </w:rPr>
            </w:pPr>
            <w:r w:rsidRPr="00970DB1">
              <w:rPr>
                <w:rFonts w:ascii="Times New Roman" w:hAnsi="Times New Roman"/>
                <w:color w:val="000000" w:themeColor="text1"/>
                <w:sz w:val="24"/>
              </w:rPr>
              <w:t>По силата на член 435, параграф 1, буква в) от Регламент (ЕС) № 575/2013 институциите оповестяват обхвата и естеството на системата за измерване на операционен риск (т.е. системите и данните, използвани за измерване на операционен риск с цел оценяване на капиталовото изискване за операционен риск).</w:t>
            </w:r>
          </w:p>
        </w:tc>
      </w:tr>
      <w:tr w:rsidR="00E114F3" w:rsidRPr="00970DB1"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970DB1" w:rsidRDefault="00E114F3">
            <w:pPr>
              <w:spacing w:after="120"/>
              <w:jc w:val="center"/>
              <w:rPr>
                <w:rFonts w:ascii="Times New Roman" w:eastAsia="Times New Roman" w:hAnsi="Times New Roman" w:cs="Times New Roman"/>
                <w:color w:val="000000"/>
                <w:sz w:val="24"/>
              </w:rPr>
            </w:pPr>
            <w:r w:rsidRPr="00970DB1">
              <w:rPr>
                <w:rFonts w:ascii="Times New Roman" w:hAnsi="Times New Roman"/>
                <w:color w:val="000000"/>
                <w:sz w:val="24"/>
              </w:rPr>
              <w:lastRenderedPageBreak/>
              <w:t>г)</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970DB1" w:rsidRDefault="005D02AE" w:rsidP="00EC5B29">
            <w:pPr>
              <w:keepNext/>
              <w:spacing w:before="120" w:after="120"/>
              <w:jc w:val="both"/>
              <w:rPr>
                <w:rFonts w:ascii="Times New Roman" w:eastAsia="Times New Roman" w:hAnsi="Times New Roman" w:cs="Times New Roman"/>
                <w:b/>
                <w:color w:val="000000"/>
                <w:sz w:val="24"/>
              </w:rPr>
            </w:pPr>
            <w:r w:rsidRPr="00970DB1">
              <w:rPr>
                <w:rFonts w:ascii="Times New Roman" w:hAnsi="Times New Roman"/>
                <w:b/>
                <w:color w:val="000000" w:themeColor="text1"/>
                <w:sz w:val="24"/>
              </w:rPr>
              <w:t>Описание на обхвата и естеството на рамката за отчитане на операционен риск</w:t>
            </w:r>
          </w:p>
          <w:p w14:paraId="1EE9A69D" w14:textId="428D8604" w:rsidR="00E114F3" w:rsidRPr="00970DB1" w:rsidRDefault="005D02AE">
            <w:pPr>
              <w:spacing w:after="120"/>
              <w:jc w:val="both"/>
              <w:rPr>
                <w:rFonts w:ascii="Times New Roman" w:eastAsia="Times New Roman" w:hAnsi="Times New Roman" w:cs="Times New Roman"/>
                <w:color w:val="000000"/>
                <w:sz w:val="24"/>
              </w:rPr>
            </w:pPr>
            <w:r w:rsidRPr="00970DB1">
              <w:rPr>
                <w:rFonts w:ascii="Times New Roman" w:hAnsi="Times New Roman"/>
                <w:color w:val="000000" w:themeColor="text1"/>
                <w:sz w:val="24"/>
              </w:rPr>
              <w:t>По силата на член 435, параграф 1, буква в) от Регламент (ЕС) № 575/2013 институциите оповестяват обхвата и естеството на рамката за отчитане на операционен риск пред изпълнителното ръководство и съвета на директорите.</w:t>
            </w:r>
          </w:p>
        </w:tc>
      </w:tr>
      <w:tr w:rsidR="00E5460F" w:rsidRPr="00970DB1"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970DB1" w:rsidRDefault="00E5460F">
            <w:pPr>
              <w:spacing w:after="120"/>
              <w:jc w:val="center"/>
              <w:rPr>
                <w:rFonts w:ascii="Times New Roman" w:eastAsia="Times New Roman" w:hAnsi="Times New Roman" w:cs="Times New Roman"/>
                <w:color w:val="000000"/>
                <w:sz w:val="24"/>
              </w:rPr>
            </w:pPr>
            <w:r w:rsidRPr="00970DB1">
              <w:rPr>
                <w:rFonts w:ascii="Times New Roman" w:hAnsi="Times New Roman"/>
                <w:color w:val="000000"/>
                <w:sz w:val="24"/>
              </w:rPr>
              <w:t>д)</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970DB1" w:rsidRDefault="00E25C0C" w:rsidP="00E25C0C">
            <w:pPr>
              <w:spacing w:before="120" w:after="120"/>
              <w:jc w:val="both"/>
              <w:rPr>
                <w:rFonts w:ascii="Times New Roman" w:eastAsia="Times New Roman" w:hAnsi="Times New Roman" w:cs="Times New Roman"/>
                <w:color w:val="000000"/>
                <w:sz w:val="24"/>
              </w:rPr>
            </w:pPr>
            <w:r w:rsidRPr="00970DB1">
              <w:rPr>
                <w:rFonts w:ascii="Times New Roman" w:hAnsi="Times New Roman"/>
                <w:b/>
                <w:color w:val="000000" w:themeColor="text1"/>
                <w:sz w:val="24"/>
              </w:rPr>
              <w:t>Описание на политиките и стратегиите за редуциране и хеджиране на риска</w:t>
            </w:r>
          </w:p>
          <w:p w14:paraId="443DC7A5" w14:textId="7D68A10D" w:rsidR="00E5460F" w:rsidRPr="00970DB1" w:rsidDel="009A4E43" w:rsidRDefault="00E25C0C" w:rsidP="00E25C0C">
            <w:pPr>
              <w:spacing w:after="120"/>
              <w:jc w:val="both"/>
              <w:rPr>
                <w:rFonts w:ascii="Times New Roman" w:eastAsia="Times New Roman" w:hAnsi="Times New Roman" w:cs="Times New Roman"/>
                <w:b/>
                <w:color w:val="000000"/>
                <w:sz w:val="24"/>
              </w:rPr>
            </w:pPr>
            <w:r w:rsidRPr="00970DB1">
              <w:rPr>
                <w:rFonts w:ascii="Times New Roman" w:hAnsi="Times New Roman"/>
                <w:color w:val="000000" w:themeColor="text1"/>
                <w:sz w:val="24"/>
              </w:rPr>
              <w:t>По силата на член 435, параграф 1, буква г) от Регламент (ЕС) № 575/2013 институциите оповестяват своите политики и стратегии за редуциране и хеджиране на риска, използвани при управлението на операционен риск, включително когато редуцирането на операционен риск се постига чрез политики (в който случай те оповестяват политиките относно културата на риска, склонността към поемане на риск и възлагането на дейности на външни изпълнители) или когато това се постига чрез изтегляне на инвестиции от високорискови стопански дейности или чрез въвеждане на контролни механизми. Институциите също така оповестяват оставащите експозиции, които се поемат от самите институции, или, когато е приложимо, оставащите експозиции, които се прехвърлят по различни начини, включително чрез застраховка.</w:t>
            </w:r>
          </w:p>
        </w:tc>
      </w:tr>
    </w:tbl>
    <w:p w14:paraId="0A37501D" w14:textId="77777777" w:rsidR="00E114F3" w:rsidRPr="00970DB1" w:rsidRDefault="00E114F3" w:rsidP="00E114F3">
      <w:pPr>
        <w:spacing w:after="120"/>
        <w:jc w:val="both"/>
        <w:rPr>
          <w:rFonts w:ascii="Times New Roman" w:hAnsi="Times New Roman" w:cs="Times New Roman"/>
          <w:b/>
          <w:bCs/>
          <w:sz w:val="24"/>
        </w:rPr>
      </w:pPr>
    </w:p>
    <w:p w14:paraId="73228265" w14:textId="2825D40F" w:rsidR="00E114F3" w:rsidRPr="00970DB1" w:rsidRDefault="00E114F3" w:rsidP="00E114F3">
      <w:pPr>
        <w:spacing w:after="120"/>
        <w:jc w:val="both"/>
        <w:rPr>
          <w:rFonts w:ascii="Times New Roman" w:hAnsi="Times New Roman" w:cs="Times New Roman"/>
          <w:bCs/>
          <w:sz w:val="24"/>
        </w:rPr>
      </w:pPr>
      <w:r w:rsidRPr="00970DB1">
        <w:rPr>
          <w:rFonts w:ascii="Times New Roman" w:hAnsi="Times New Roman"/>
          <w:b/>
          <w:sz w:val="24"/>
        </w:rPr>
        <w:t xml:space="preserve">Образец EU OR1 — Загуби от операционен риск. </w:t>
      </w:r>
      <w:r w:rsidRPr="00970DB1">
        <w:rPr>
          <w:rFonts w:ascii="Times New Roman" w:hAnsi="Times New Roman"/>
          <w:sz w:val="24"/>
        </w:rPr>
        <w:t>Образец със зададен формат</w:t>
      </w:r>
    </w:p>
    <w:p w14:paraId="70B287DB" w14:textId="7164F419"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Институциите оповестяват информацията, включена в образец EU OR1, в изпълнение на член 446, параграф 2, букви а) и б) от Регламент (ЕС) № 575/2013. В този образец се предоставя информация за годишните загуби от операционен риск, понесени през последните десет години, въз основа на счетоводната дата на понесените загуби. Тези годишни загуби от операционен риск ще бъдат изчислени в съответствие с член 316, параграф 1 от Регламент (ЕС) № 575/2013 и включват в съответствие с член 317, параграф 2 от Регламент (ЕС) № 575/2013 всички загуби, произтичащи от всички субекти, които са част от обхвата на консолидацията, включително загубите от слети/придобити предприятия (съгласно член 321, параграф 1 от Регламент (ЕС) № 575/2013). Тази информация се предоставя, доколкото е налична и при полагане на максимални усилия, докато станат приложими член 316, параграф 3, член 317, параграф 9, член 320, параграф 3 и член 321, параграф 2 от Регламент (ЕС) № 575/2013.</w:t>
      </w:r>
    </w:p>
    <w:p w14:paraId="0C12CA7B" w14:textId="77777777" w:rsidR="00D740B8" w:rsidRPr="00970DB1" w:rsidRDefault="00D740B8" w:rsidP="00D740B8">
      <w:pPr>
        <w:ind w:left="360"/>
        <w:jc w:val="both"/>
        <w:rPr>
          <w:rFonts w:ascii="Times New Roman" w:hAnsi="Times New Roman" w:cs="Times New Roman"/>
          <w:bCs/>
          <w:sz w:val="24"/>
        </w:rPr>
      </w:pPr>
    </w:p>
    <w:p w14:paraId="47EE9624" w14:textId="4A5B22B7" w:rsidR="00D740B8" w:rsidRPr="00970DB1" w:rsidRDefault="00D740B8" w:rsidP="00D740B8">
      <w:pPr>
        <w:numPr>
          <w:ilvl w:val="0"/>
          <w:numId w:val="1"/>
        </w:numPr>
        <w:jc w:val="both"/>
        <w:rPr>
          <w:rFonts w:ascii="Times New Roman" w:hAnsi="Times New Roman" w:cs="Times New Roman"/>
          <w:sz w:val="24"/>
        </w:rPr>
      </w:pPr>
      <w:r w:rsidRPr="00970DB1">
        <w:rPr>
          <w:rFonts w:ascii="Times New Roman" w:hAnsi="Times New Roman"/>
          <w:sz w:val="24"/>
        </w:rPr>
        <w:t xml:space="preserve">За всяка от последните десет години институциите оповестяват данни за броя на загубите от операционен риск и броя на изключените загуби от операционен риск, общата сума на загубите от операционен риск, без възстановяванията, и общата сума на загубите от операционен риск, без възстановяванията и без изключените загуби. Общият годишен размер на загубите от операционен риск ще се изчислява като сбора от всички нетни загуби за дадена финансова година, изчислени в съответствие с член 318, параграф 1 от Регламент (ЕС) № 575/2013, които са равни или надвишават праговете за данни за загуби, определени съответно в член 319, параграфи 1 или 2 от същия регламент (т.е. 20 000 EUR и 100 000 EUR). Въпреки това загубите, породени </w:t>
      </w:r>
      <w:r w:rsidRPr="00970DB1">
        <w:rPr>
          <w:rFonts w:ascii="Times New Roman" w:hAnsi="Times New Roman"/>
          <w:sz w:val="24"/>
        </w:rPr>
        <w:lastRenderedPageBreak/>
        <w:t>от общо операционно събитие или от множество събития с отношение към едно и също операционно събитие („основно събитие“), които са признати в различни счетоводни години, се сумират за последните 10 години, за да се определи дали прагът за оповестяване е превишен. Загубите и корекциите следва да се оповестяват съгласно разпоредбите на член 317, параграф 3, буква в) и член 318 от Регламент (ЕС) № 575/2013. Тези суми се оповестяват през годината, в която са били записани във финансовите отчети.</w:t>
      </w:r>
    </w:p>
    <w:p w14:paraId="2702CB88" w14:textId="77777777" w:rsidR="00D740B8" w:rsidRPr="00970DB1" w:rsidRDefault="00D740B8" w:rsidP="00D740B8">
      <w:pPr>
        <w:pStyle w:val="ListParagraph"/>
        <w:rPr>
          <w:rFonts w:ascii="Times New Roman" w:hAnsi="Times New Roman"/>
          <w:bCs/>
          <w:sz w:val="24"/>
        </w:rPr>
      </w:pPr>
    </w:p>
    <w:p w14:paraId="3146DBD3" w14:textId="48F555B9"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 xml:space="preserve"> В придружаващото разяснение институциите оповестяват обосновката в обобщен вид за извънредните операционни събития, които са били изключени от изчислението на годишните загуби от операционен риск, в съответствие с член 446, параграф 2, буква б) от Регламент (ЕС) № 575/2013.</w:t>
      </w:r>
    </w:p>
    <w:p w14:paraId="066C0912" w14:textId="77777777" w:rsidR="00D740B8" w:rsidRPr="00970DB1" w:rsidRDefault="00D740B8" w:rsidP="00D740B8">
      <w:pPr>
        <w:pStyle w:val="ListParagraph"/>
        <w:rPr>
          <w:rFonts w:ascii="Times New Roman" w:hAnsi="Times New Roman"/>
          <w:bCs/>
          <w:sz w:val="24"/>
        </w:rPr>
      </w:pPr>
    </w:p>
    <w:p w14:paraId="79A49BBA" w14:textId="5D2F1C9E"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 xml:space="preserve"> Институциите оповестяват също така в обобщен вид всяка съществена информация, която би могла да помогне на ползвателите да разберат загубите за отминали периоди, възстановяванията и законовите резерви на институциите, с изключение на поверителната или защитена информация.</w:t>
      </w:r>
    </w:p>
    <w:p w14:paraId="3AF72482" w14:textId="77777777" w:rsidR="00D740B8" w:rsidRPr="00970DB1" w:rsidRDefault="00D740B8" w:rsidP="00D740B8">
      <w:pPr>
        <w:pStyle w:val="ListParagraph"/>
        <w:rPr>
          <w:rFonts w:ascii="Times New Roman" w:hAnsi="Times New Roman"/>
          <w:bCs/>
          <w:sz w:val="24"/>
        </w:rPr>
      </w:pPr>
    </w:p>
    <w:p w14:paraId="36406578" w14:textId="77777777" w:rsidR="00D740B8" w:rsidRPr="00970DB1"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970DB1" w14:paraId="7E388732" w14:textId="77777777">
        <w:tc>
          <w:tcPr>
            <w:tcW w:w="1271" w:type="dxa"/>
            <w:shd w:val="clear" w:color="auto" w:fill="BFBFBF" w:themeFill="background1" w:themeFillShade="BF"/>
          </w:tcPr>
          <w:p w14:paraId="5F81890E" w14:textId="77777777" w:rsidR="00D740B8" w:rsidRPr="00970DB1" w:rsidRDefault="00D740B8">
            <w:pPr>
              <w:autoSpaceDE w:val="0"/>
              <w:autoSpaceDN w:val="0"/>
              <w:adjustRightInd w:val="0"/>
              <w:rPr>
                <w:rFonts w:ascii="Times New Roman" w:hAnsi="Times New Roman"/>
                <w:bCs/>
                <w:sz w:val="24"/>
              </w:rPr>
            </w:pPr>
            <w:r w:rsidRPr="00970DB1">
              <w:rPr>
                <w:rFonts w:ascii="Times New Roman" w:hAnsi="Times New Roman"/>
                <w:b/>
                <w:sz w:val="24"/>
              </w:rPr>
              <w:t>Колона</w:t>
            </w:r>
          </w:p>
        </w:tc>
        <w:tc>
          <w:tcPr>
            <w:tcW w:w="7745" w:type="dxa"/>
            <w:shd w:val="clear" w:color="auto" w:fill="BFBFBF" w:themeFill="background1" w:themeFillShade="BF"/>
          </w:tcPr>
          <w:p w14:paraId="0773BD79" w14:textId="77777777" w:rsidR="00D740B8" w:rsidRPr="00970DB1" w:rsidRDefault="00D740B8">
            <w:pPr>
              <w:spacing w:before="60" w:after="120"/>
              <w:jc w:val="both"/>
              <w:rPr>
                <w:rFonts w:ascii="Times New Roman" w:eastAsia="Times New Roman" w:hAnsi="Times New Roman" w:cs="Times New Roman"/>
                <w:b/>
                <w:sz w:val="24"/>
              </w:rPr>
            </w:pPr>
            <w:r w:rsidRPr="00970DB1">
              <w:rPr>
                <w:rFonts w:ascii="Times New Roman" w:hAnsi="Times New Roman"/>
                <w:b/>
                <w:sz w:val="24"/>
              </w:rPr>
              <w:t>Препратки към нормативни актове и указания</w:t>
            </w:r>
          </w:p>
        </w:tc>
      </w:tr>
      <w:tr w:rsidR="00D740B8" w:rsidRPr="00970DB1" w14:paraId="4A7B0862" w14:textId="77777777">
        <w:tc>
          <w:tcPr>
            <w:tcW w:w="1271" w:type="dxa"/>
          </w:tcPr>
          <w:p w14:paraId="59A78ADD" w14:textId="77777777" w:rsidR="00D740B8" w:rsidRPr="00970DB1" w:rsidRDefault="00D740B8">
            <w:pPr>
              <w:autoSpaceDE w:val="0"/>
              <w:autoSpaceDN w:val="0"/>
              <w:adjustRightInd w:val="0"/>
              <w:jc w:val="center"/>
              <w:rPr>
                <w:rFonts w:ascii="Times New Roman" w:hAnsi="Times New Roman"/>
                <w:bCs/>
                <w:sz w:val="24"/>
              </w:rPr>
            </w:pPr>
            <w:r w:rsidRPr="00970DB1">
              <w:rPr>
                <w:rFonts w:ascii="Times New Roman" w:hAnsi="Times New Roman"/>
                <w:sz w:val="24"/>
              </w:rPr>
              <w:t>а—й</w:t>
            </w:r>
          </w:p>
        </w:tc>
        <w:tc>
          <w:tcPr>
            <w:tcW w:w="7745" w:type="dxa"/>
          </w:tcPr>
          <w:p w14:paraId="0B872A50" w14:textId="77777777" w:rsidR="00D740B8" w:rsidRPr="00970DB1" w:rsidRDefault="00D740B8">
            <w:pPr>
              <w:spacing w:before="120" w:after="120"/>
              <w:jc w:val="both"/>
              <w:rPr>
                <w:rFonts w:ascii="Times New Roman" w:eastAsia="Times New Roman" w:hAnsi="Times New Roman" w:cs="Times New Roman"/>
                <w:sz w:val="24"/>
              </w:rPr>
            </w:pPr>
            <w:r w:rsidRPr="00970DB1">
              <w:rPr>
                <w:rFonts w:ascii="Times New Roman" w:hAnsi="Times New Roman"/>
                <w:b/>
                <w:sz w:val="24"/>
              </w:rPr>
              <w:t>Година (T, T-1, T-2, T-3, T-4, T-5, T-6, T-7, T-8, T-9)</w:t>
            </w:r>
          </w:p>
          <w:p w14:paraId="5B6EF35C" w14:textId="3033D1CC" w:rsidR="00D740B8" w:rsidRPr="00970DB1" w:rsidRDefault="00D740B8">
            <w:pPr>
              <w:spacing w:before="120" w:after="120"/>
              <w:rPr>
                <w:rFonts w:ascii="Times New Roman" w:hAnsi="Times New Roman"/>
                <w:sz w:val="24"/>
              </w:rPr>
            </w:pPr>
            <w:r w:rsidRPr="00970DB1">
              <w:rPr>
                <w:rFonts w:ascii="Times New Roman" w:hAnsi="Times New Roman"/>
                <w:sz w:val="24"/>
              </w:rPr>
              <w:t xml:space="preserve">Стойността, посочена в съответния ред, за последните десет финансови години. </w:t>
            </w:r>
          </w:p>
        </w:tc>
      </w:tr>
      <w:tr w:rsidR="00D740B8" w:rsidRPr="00970DB1" w14:paraId="7D63969A" w14:textId="77777777">
        <w:tc>
          <w:tcPr>
            <w:tcW w:w="1271" w:type="dxa"/>
          </w:tcPr>
          <w:p w14:paraId="6CFD6A05" w14:textId="77777777" w:rsidR="00D740B8" w:rsidRPr="00970DB1" w:rsidRDefault="00D740B8">
            <w:pPr>
              <w:autoSpaceDE w:val="0"/>
              <w:autoSpaceDN w:val="0"/>
              <w:adjustRightInd w:val="0"/>
              <w:jc w:val="center"/>
              <w:rPr>
                <w:rFonts w:ascii="Times New Roman" w:hAnsi="Times New Roman"/>
                <w:bCs/>
                <w:sz w:val="24"/>
              </w:rPr>
            </w:pPr>
            <w:r w:rsidRPr="00970DB1">
              <w:rPr>
                <w:rFonts w:ascii="Times New Roman" w:hAnsi="Times New Roman"/>
                <w:sz w:val="24"/>
              </w:rPr>
              <w:t>к</w:t>
            </w:r>
          </w:p>
        </w:tc>
        <w:tc>
          <w:tcPr>
            <w:tcW w:w="7745" w:type="dxa"/>
          </w:tcPr>
          <w:p w14:paraId="50D93A86" w14:textId="77777777"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Десетгодишна средна стойност</w:t>
            </w:r>
          </w:p>
          <w:p w14:paraId="38A7187F" w14:textId="0CB464F2" w:rsidR="00D740B8" w:rsidRPr="00970DB1" w:rsidRDefault="00D740B8">
            <w:pPr>
              <w:spacing w:before="120" w:after="120"/>
              <w:rPr>
                <w:rFonts w:ascii="Times New Roman" w:hAnsi="Times New Roman"/>
                <w:bCs/>
                <w:sz w:val="24"/>
              </w:rPr>
            </w:pPr>
            <w:r w:rsidRPr="00970DB1">
              <w:rPr>
                <w:rFonts w:ascii="Times New Roman" w:hAnsi="Times New Roman"/>
                <w:sz w:val="24"/>
              </w:rPr>
              <w:t>Средната стойност на стойностите, посочени в съответния ред, за последните 10 години.</w:t>
            </w:r>
          </w:p>
        </w:tc>
      </w:tr>
    </w:tbl>
    <w:p w14:paraId="7095834F" w14:textId="77777777" w:rsidR="00D740B8" w:rsidRPr="00970DB1" w:rsidRDefault="00D740B8" w:rsidP="00D740B8">
      <w:pPr>
        <w:pStyle w:val="ListParagraph"/>
        <w:rPr>
          <w:rFonts w:ascii="Times New Roman" w:hAnsi="Times New Roman"/>
          <w:bCs/>
          <w:sz w:val="24"/>
        </w:rPr>
      </w:pPr>
    </w:p>
    <w:p w14:paraId="32DB6729" w14:textId="77777777" w:rsidR="00D740B8" w:rsidRPr="00970DB1" w:rsidRDefault="00D740B8" w:rsidP="00D740B8">
      <w:pPr>
        <w:pStyle w:val="ListParagraph"/>
        <w:rPr>
          <w:rFonts w:ascii="Times New Roman" w:hAnsi="Times New Roman"/>
          <w:bCs/>
          <w:sz w:val="24"/>
        </w:rPr>
      </w:pPr>
    </w:p>
    <w:p w14:paraId="2611544E" w14:textId="77777777" w:rsidR="00D740B8" w:rsidRPr="00970DB1"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70DB1"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970DB1" w:rsidRDefault="00D740B8">
            <w:pPr>
              <w:autoSpaceDE w:val="0"/>
              <w:autoSpaceDN w:val="0"/>
              <w:adjustRightInd w:val="0"/>
              <w:rPr>
                <w:rFonts w:ascii="Times New Roman" w:hAnsi="Times New Roman" w:cs="Times New Roman"/>
                <w:b/>
                <w:sz w:val="24"/>
              </w:rPr>
            </w:pPr>
            <w:r w:rsidRPr="00970DB1">
              <w:rPr>
                <w:rFonts w:ascii="Times New Roman" w:hAnsi="Times New Roman"/>
                <w:b/>
                <w:sz w:val="24"/>
              </w:rPr>
              <w:t>Ред</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970DB1" w:rsidRDefault="00D740B8">
            <w:pPr>
              <w:rPr>
                <w:rFonts w:ascii="Times New Roman" w:hAnsi="Times New Roman" w:cs="Times New Roman"/>
                <w:b/>
                <w:sz w:val="24"/>
              </w:rPr>
            </w:pPr>
            <w:r w:rsidRPr="00970DB1">
              <w:rPr>
                <w:rFonts w:ascii="Times New Roman" w:hAnsi="Times New Roman"/>
                <w:b/>
                <w:sz w:val="24"/>
              </w:rPr>
              <w:t>Препратки към нормативни актове и указания</w:t>
            </w:r>
          </w:p>
        </w:tc>
      </w:tr>
      <w:tr w:rsidR="00D740B8" w:rsidRPr="00970DB1"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Общ размер на загубите от операционен риск, без възстановяванията (без изключения)</w:t>
            </w:r>
          </w:p>
          <w:p w14:paraId="73A6B59F" w14:textId="42A729DD" w:rsidR="00D740B8" w:rsidRPr="00970DB1" w:rsidRDefault="00D740B8">
            <w:pPr>
              <w:spacing w:before="120" w:after="120"/>
              <w:jc w:val="both"/>
              <w:rPr>
                <w:rFonts w:ascii="Times New Roman" w:eastAsia="Times New Roman" w:hAnsi="Times New Roman" w:cs="Times New Roman"/>
                <w:sz w:val="24"/>
              </w:rPr>
            </w:pPr>
            <w:r w:rsidRPr="00970DB1">
              <w:rPr>
                <w:rFonts w:ascii="Times New Roman" w:hAnsi="Times New Roman"/>
                <w:sz w:val="24"/>
              </w:rPr>
              <w:t>Член 446, параграф 2, буква а) и член 316, параграф 1 от Регламент (ЕС) № 575/2013.</w:t>
            </w:r>
          </w:p>
          <w:p w14:paraId="5D929629" w14:textId="254FA976" w:rsidR="00D740B8" w:rsidRPr="00970DB1" w:rsidRDefault="002B0785">
            <w:pPr>
              <w:spacing w:before="120" w:after="120"/>
              <w:jc w:val="both"/>
              <w:rPr>
                <w:rFonts w:ascii="Times New Roman" w:eastAsia="Times New Roman" w:hAnsi="Times New Roman" w:cs="Times New Roman"/>
                <w:b/>
                <w:sz w:val="24"/>
              </w:rPr>
            </w:pPr>
            <w:r w:rsidRPr="00970DB1">
              <w:rPr>
                <w:rFonts w:ascii="Times New Roman" w:hAnsi="Times New Roman"/>
                <w:sz w:val="24"/>
              </w:rPr>
              <w:t xml:space="preserve">В реда се оповестява общият размер на загубите без възстановяванията в резултат на водещи до загуби събития над прага от 20 000 EUR за всеки от последните 10 отчетни периода, включително загуби от сливания и придобивания. Загубите, породени от общо операционно събитие или от множество събития с отношение към едно и също операционно събитие, които са признати в различни счетоводни години, се сумират за последните десет години, за да се определи дали прагът за оповестяване е превишен. Извънредните операционни събития през годината, които вече не са от значение за рисковия профил на институцията и за които тя е получила разрешение от компетентния орган да ги изключи от годишните си загуби от операционен риск в съответствие с член 320, параграф 1 от </w:t>
            </w:r>
            <w:r w:rsidRPr="00970DB1">
              <w:rPr>
                <w:rFonts w:ascii="Times New Roman" w:hAnsi="Times New Roman"/>
                <w:sz w:val="24"/>
              </w:rPr>
              <w:lastRenderedPageBreak/>
              <w:t>Регламент (ЕС) № 575/2013, продължават да се вземат предвид при изчисляването на елемента за този ред.</w:t>
            </w:r>
          </w:p>
        </w:tc>
      </w:tr>
      <w:tr w:rsidR="00D740B8" w:rsidRPr="00970DB1"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Общ размер на загубите от операционен риск</w:t>
            </w:r>
          </w:p>
          <w:p w14:paraId="2EA91375" w14:textId="28AF0058" w:rsidR="00D740B8" w:rsidRPr="00970DB1" w:rsidRDefault="00D740B8">
            <w:pPr>
              <w:spacing w:before="120" w:after="120"/>
              <w:jc w:val="both"/>
              <w:rPr>
                <w:rFonts w:ascii="Times New Roman" w:eastAsia="Times New Roman" w:hAnsi="Times New Roman" w:cs="Times New Roman"/>
                <w:sz w:val="24"/>
              </w:rPr>
            </w:pPr>
            <w:r w:rsidRPr="00970DB1">
              <w:rPr>
                <w:rFonts w:ascii="Times New Roman" w:hAnsi="Times New Roman"/>
                <w:sz w:val="24"/>
              </w:rPr>
              <w:t>Член 446, параграф 2, буква а) и член 316, параграф 1 от Регламент (ЕС) № 575/2013.</w:t>
            </w:r>
          </w:p>
          <w:p w14:paraId="275C478C" w14:textId="69738AFF" w:rsidR="00D740B8" w:rsidRPr="00970DB1" w:rsidRDefault="00471410">
            <w:pPr>
              <w:spacing w:before="120" w:after="120"/>
              <w:rPr>
                <w:rFonts w:ascii="Times New Roman" w:eastAsia="Times New Roman" w:hAnsi="Times New Roman" w:cs="Times New Roman"/>
                <w:sz w:val="24"/>
              </w:rPr>
            </w:pPr>
            <w:r w:rsidRPr="00970DB1">
              <w:rPr>
                <w:rFonts w:ascii="Times New Roman" w:hAnsi="Times New Roman"/>
                <w:sz w:val="24"/>
              </w:rPr>
              <w:t>Общият брой на загубите от операционен риск над прага от 20 000 EUR за събития, водещи до загуби.</w:t>
            </w:r>
          </w:p>
        </w:tc>
      </w:tr>
      <w:tr w:rsidR="00D740B8" w:rsidRPr="00970DB1"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Общ размер на изключените загуби от операционен риск</w:t>
            </w:r>
          </w:p>
          <w:p w14:paraId="5C1A66AF" w14:textId="5CAD041D" w:rsidR="00D740B8" w:rsidRPr="00970DB1" w:rsidRDefault="00D740B8">
            <w:pPr>
              <w:spacing w:before="120" w:after="120"/>
              <w:rPr>
                <w:rFonts w:ascii="Times New Roman" w:eastAsia="Times New Roman" w:hAnsi="Times New Roman" w:cs="Times New Roman"/>
                <w:sz w:val="24"/>
              </w:rPr>
            </w:pPr>
            <w:r w:rsidRPr="00970DB1">
              <w:rPr>
                <w:rFonts w:ascii="Times New Roman" w:hAnsi="Times New Roman"/>
                <w:sz w:val="24"/>
              </w:rPr>
              <w:t>Член 446, параграф 2, буква б) и член 320, параграф 1 от Регламент (ЕС) № 575/2013.</w:t>
            </w:r>
          </w:p>
          <w:p w14:paraId="7BE235CA" w14:textId="7483A5B2" w:rsidR="00D740B8" w:rsidRPr="00970DB1" w:rsidRDefault="002B0785">
            <w:pPr>
              <w:spacing w:before="120" w:after="120"/>
              <w:rPr>
                <w:rFonts w:ascii="Times New Roman" w:eastAsia="Times New Roman" w:hAnsi="Times New Roman" w:cs="Times New Roman"/>
                <w:sz w:val="24"/>
              </w:rPr>
            </w:pPr>
            <w:r w:rsidRPr="00970DB1">
              <w:rPr>
                <w:rFonts w:ascii="Times New Roman" w:hAnsi="Times New Roman"/>
                <w:sz w:val="24"/>
              </w:rPr>
              <w:t>Общият размер на нетните загуби над прага за загуби от 20 000 EUR, които са били изключени в съответствие с член 320, параграф 1 от Регламент (ЕС) № 575/2013, за всеки от последните десет отчетни периода.</w:t>
            </w:r>
          </w:p>
        </w:tc>
      </w:tr>
      <w:tr w:rsidR="00D740B8" w:rsidRPr="00970DB1"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970DB1" w:rsidRDefault="00D740B8">
            <w:pPr>
              <w:spacing w:before="12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Общ брой на изключените операционни събития</w:t>
            </w:r>
          </w:p>
          <w:p w14:paraId="7914E462" w14:textId="7978A3B5" w:rsidR="00D740B8" w:rsidRPr="00970DB1" w:rsidRDefault="00D740B8">
            <w:pPr>
              <w:spacing w:before="120" w:after="120"/>
              <w:rPr>
                <w:rFonts w:ascii="Times New Roman" w:eastAsia="Times New Roman" w:hAnsi="Times New Roman" w:cs="Times New Roman"/>
                <w:sz w:val="24"/>
              </w:rPr>
            </w:pPr>
            <w:r w:rsidRPr="00970DB1">
              <w:rPr>
                <w:rFonts w:ascii="Times New Roman" w:hAnsi="Times New Roman"/>
                <w:sz w:val="24"/>
              </w:rPr>
              <w:t>Член 446, параграф 2, буква б) и член 320, параграф 1 от Регламент (ЕС) № 575/2013.</w:t>
            </w:r>
          </w:p>
          <w:p w14:paraId="318A732C" w14:textId="242D554F" w:rsidR="00D740B8" w:rsidRPr="00970DB1" w:rsidRDefault="009D4A12">
            <w:pPr>
              <w:spacing w:before="120" w:after="120"/>
              <w:jc w:val="both"/>
              <w:rPr>
                <w:rFonts w:ascii="Times New Roman" w:eastAsia="Times New Roman" w:hAnsi="Times New Roman" w:cs="Times New Roman"/>
                <w:sz w:val="24"/>
              </w:rPr>
            </w:pPr>
            <w:r w:rsidRPr="00970DB1">
              <w:rPr>
                <w:rFonts w:ascii="Times New Roman" w:hAnsi="Times New Roman"/>
                <w:sz w:val="24"/>
              </w:rPr>
              <w:t xml:space="preserve">Общият брой на извънредните операционни събития над прага от 20 000 EUR за събития, водещи до загуби, които са били изключени в съответствие с член 320, параграф 1 от Регламент (ЕС) № 575/2013, за всеки от последните десет отчетни периода. </w:t>
            </w:r>
          </w:p>
        </w:tc>
      </w:tr>
      <w:tr w:rsidR="00D740B8" w:rsidRPr="00970DB1"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970DB1" w:rsidRDefault="00D740B8">
            <w:pPr>
              <w:spacing w:before="12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Общ размер на загубите от операционен риск, без възстановявания и без изключени загуби</w:t>
            </w:r>
          </w:p>
          <w:p w14:paraId="4203582A" w14:textId="7C24EBAE" w:rsidR="00D740B8" w:rsidRPr="00970DB1" w:rsidRDefault="002B0785">
            <w:pPr>
              <w:spacing w:before="120" w:after="120"/>
              <w:jc w:val="both"/>
              <w:rPr>
                <w:rFonts w:ascii="Times New Roman" w:eastAsia="Times New Roman" w:hAnsi="Times New Roman" w:cs="Times New Roman"/>
                <w:sz w:val="24"/>
              </w:rPr>
            </w:pPr>
            <w:r w:rsidRPr="00970DB1">
              <w:rPr>
                <w:rFonts w:ascii="Times New Roman" w:hAnsi="Times New Roman"/>
                <w:sz w:val="24"/>
              </w:rPr>
              <w:t>Общият размер на загубите от операционен риск, намален със сумата на възстановяванията, оповестени в ред 1, и намален с изключените загуби, оповестени в ред 3.</w:t>
            </w:r>
          </w:p>
        </w:tc>
      </w:tr>
      <w:tr w:rsidR="00D740B8" w:rsidRPr="00970DB1"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Общ размер на загубите от операционен риск, без възстановяванията (без изключения)</w:t>
            </w:r>
          </w:p>
          <w:p w14:paraId="647BDEC8" w14:textId="66617A83" w:rsidR="00D740B8" w:rsidRPr="00970DB1" w:rsidRDefault="00D740B8">
            <w:pPr>
              <w:spacing w:before="120" w:after="120"/>
              <w:jc w:val="both"/>
              <w:rPr>
                <w:rFonts w:ascii="Times New Roman" w:eastAsia="Times New Roman" w:hAnsi="Times New Roman" w:cs="Times New Roman"/>
                <w:sz w:val="24"/>
              </w:rPr>
            </w:pPr>
            <w:r w:rsidRPr="00970DB1">
              <w:rPr>
                <w:rFonts w:ascii="Times New Roman" w:hAnsi="Times New Roman"/>
                <w:sz w:val="24"/>
              </w:rPr>
              <w:t>Член 446, параграф 2, буква а) и член 316, параграф 1 от Регламент (ЕС) № 575/2013.</w:t>
            </w:r>
          </w:p>
          <w:p w14:paraId="7F1E94AA" w14:textId="3C3700EE" w:rsidR="00D740B8" w:rsidRPr="00970DB1" w:rsidRDefault="003D54AC">
            <w:pPr>
              <w:spacing w:before="120" w:after="120"/>
              <w:jc w:val="both"/>
              <w:rPr>
                <w:rStyle w:val="InstructionsTabelleberschrift"/>
                <w:rFonts w:ascii="Times New Roman" w:eastAsia="Times New Roman" w:hAnsi="Times New Roman"/>
                <w:bCs w:val="0"/>
                <w:sz w:val="24"/>
              </w:rPr>
            </w:pPr>
            <w:r w:rsidRPr="00970DB1">
              <w:rPr>
                <w:rFonts w:ascii="Times New Roman" w:hAnsi="Times New Roman"/>
                <w:sz w:val="24"/>
              </w:rPr>
              <w:t xml:space="preserve">Общият размер на загубите от операционен риск, намален със сумата на възстановяванията, в резултат на водещи до загуби събития над прага от 100 000 EUR за всеки от последните 10 отчетни периода, включително загуби от сливания и придобивания. Загубите, породени от общо операционно събитие или от множество събития с отношение към едно и също операционно събитие, които са признати в различни счетоводни години, се сумират за последните десет години, за да се определи дали прагът за оповестяване е превишен. Извънредните операционни събития през годината, които вече не са от значение за рисковия профил на институцията и за които тя е получила разрешение от компетентния орган да ги изключи от годишните си загуби от операционен риск в съответствие с член 320, параграф 1 от Регламент (ЕС) № 575/2013, </w:t>
            </w:r>
            <w:r w:rsidRPr="00970DB1">
              <w:rPr>
                <w:rFonts w:ascii="Times New Roman" w:hAnsi="Times New Roman"/>
                <w:sz w:val="24"/>
              </w:rPr>
              <w:lastRenderedPageBreak/>
              <w:t>продължават да се вземат предвид при изчисляването на елемента за този ред.</w:t>
            </w:r>
          </w:p>
        </w:tc>
      </w:tr>
      <w:tr w:rsidR="00D740B8" w:rsidRPr="00970DB1"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Общ размер на загубите от операционен риск</w:t>
            </w:r>
          </w:p>
          <w:p w14:paraId="7AD8EE0D" w14:textId="092E19E2" w:rsidR="00D740B8" w:rsidRPr="00970DB1" w:rsidRDefault="00D740B8">
            <w:pPr>
              <w:spacing w:before="120" w:after="120"/>
              <w:jc w:val="both"/>
              <w:rPr>
                <w:rFonts w:ascii="Times New Roman" w:eastAsia="Times New Roman" w:hAnsi="Times New Roman" w:cs="Times New Roman"/>
                <w:sz w:val="24"/>
              </w:rPr>
            </w:pPr>
            <w:r w:rsidRPr="00970DB1">
              <w:rPr>
                <w:rFonts w:ascii="Times New Roman" w:hAnsi="Times New Roman"/>
                <w:sz w:val="24"/>
              </w:rPr>
              <w:t>Член 446, параграф 2, буква а) и член 316, параграф 1 от Регламент (ЕС) № 575/2013.</w:t>
            </w:r>
          </w:p>
          <w:p w14:paraId="6F316B8B" w14:textId="6ABB567B" w:rsidR="00D740B8" w:rsidRPr="00970DB1" w:rsidRDefault="00471410">
            <w:pPr>
              <w:spacing w:before="120" w:after="120"/>
              <w:jc w:val="both"/>
              <w:rPr>
                <w:rStyle w:val="InstructionsTabelleberschrift"/>
                <w:rFonts w:ascii="Times New Roman" w:eastAsia="Times New Roman" w:hAnsi="Times New Roman"/>
                <w:bCs w:val="0"/>
                <w:sz w:val="24"/>
              </w:rPr>
            </w:pPr>
            <w:r w:rsidRPr="00970DB1">
              <w:rPr>
                <w:rFonts w:ascii="Times New Roman" w:hAnsi="Times New Roman"/>
                <w:sz w:val="24"/>
              </w:rPr>
              <w:t>Общият брой на загубите от операционен риск над прага от 100 000 EUR за събития, водещи до загуби.</w:t>
            </w:r>
          </w:p>
        </w:tc>
      </w:tr>
      <w:tr w:rsidR="00D740B8" w:rsidRPr="00970DB1"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970DB1" w:rsidRDefault="00D740B8">
            <w:pPr>
              <w:spacing w:before="120" w:after="120"/>
              <w:jc w:val="both"/>
              <w:rPr>
                <w:rFonts w:ascii="Times New Roman" w:eastAsia="Times New Roman" w:hAnsi="Times New Roman" w:cs="Times New Roman"/>
                <w:b/>
                <w:sz w:val="24"/>
              </w:rPr>
            </w:pPr>
            <w:r w:rsidRPr="00970DB1">
              <w:rPr>
                <w:rFonts w:ascii="Times New Roman" w:hAnsi="Times New Roman"/>
                <w:b/>
                <w:sz w:val="24"/>
              </w:rPr>
              <w:t>Общ размер на изключените загуби от операционен риск</w:t>
            </w:r>
          </w:p>
          <w:p w14:paraId="71DECF65" w14:textId="48A395A5" w:rsidR="00D740B8" w:rsidRPr="00970DB1" w:rsidRDefault="00D740B8">
            <w:pPr>
              <w:spacing w:before="120" w:after="120"/>
              <w:rPr>
                <w:rFonts w:ascii="Times New Roman" w:eastAsia="Times New Roman" w:hAnsi="Times New Roman" w:cs="Times New Roman"/>
                <w:sz w:val="24"/>
              </w:rPr>
            </w:pPr>
            <w:r w:rsidRPr="00970DB1">
              <w:rPr>
                <w:rFonts w:ascii="Times New Roman" w:hAnsi="Times New Roman"/>
                <w:sz w:val="24"/>
              </w:rPr>
              <w:t>Член 446, параграф 2, буква б) и член 320, параграф 1 от Регламент (ЕС) № 575/2013.</w:t>
            </w:r>
          </w:p>
          <w:p w14:paraId="0BC74916" w14:textId="396B699A" w:rsidR="00D740B8" w:rsidRPr="00970DB1" w:rsidRDefault="003D54AC">
            <w:pPr>
              <w:spacing w:before="120" w:after="120"/>
              <w:jc w:val="both"/>
              <w:rPr>
                <w:rStyle w:val="InstructionsTabelleberschrift"/>
                <w:rFonts w:ascii="Times New Roman" w:eastAsia="Times New Roman" w:hAnsi="Times New Roman"/>
                <w:bCs w:val="0"/>
                <w:sz w:val="24"/>
              </w:rPr>
            </w:pPr>
            <w:r w:rsidRPr="00970DB1">
              <w:rPr>
                <w:rFonts w:ascii="Times New Roman" w:hAnsi="Times New Roman"/>
                <w:sz w:val="24"/>
              </w:rPr>
              <w:t>Общият размер на нетните загуби над прага от 100 000 EUR за събития, водещи до загуби, изключени в съответствие с член 320, параграф 1 от Регламент (ЕС) № 575/2013, за всеки от последните десет отчетни периода.</w:t>
            </w:r>
          </w:p>
        </w:tc>
      </w:tr>
      <w:tr w:rsidR="00D740B8" w:rsidRPr="00970DB1"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970DB1" w:rsidRDefault="00D740B8">
            <w:pPr>
              <w:spacing w:before="12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Общ брой на изключените операционни събития</w:t>
            </w:r>
          </w:p>
          <w:p w14:paraId="2B56754D" w14:textId="46B0AAAA" w:rsidR="00D740B8" w:rsidRPr="00970DB1" w:rsidRDefault="00D740B8">
            <w:pPr>
              <w:spacing w:before="120" w:after="120"/>
              <w:rPr>
                <w:rFonts w:ascii="Times New Roman" w:eastAsia="Times New Roman" w:hAnsi="Times New Roman" w:cs="Times New Roman"/>
                <w:sz w:val="24"/>
              </w:rPr>
            </w:pPr>
            <w:r w:rsidRPr="00970DB1">
              <w:rPr>
                <w:rFonts w:ascii="Times New Roman" w:hAnsi="Times New Roman"/>
                <w:sz w:val="24"/>
              </w:rPr>
              <w:t>Член 446, параграф 2, буква б) и член 320, параграф 1 от Регламент (ЕС) № 575/2013.</w:t>
            </w:r>
          </w:p>
          <w:p w14:paraId="2EDEC8CA" w14:textId="252B783D" w:rsidR="00D740B8" w:rsidRPr="00970DB1" w:rsidRDefault="00471410">
            <w:pPr>
              <w:spacing w:before="120" w:after="120"/>
              <w:jc w:val="both"/>
              <w:rPr>
                <w:rStyle w:val="InstructionsTabelleberschrift"/>
                <w:rFonts w:ascii="Times New Roman" w:eastAsia="Times New Roman" w:hAnsi="Times New Roman"/>
                <w:bCs w:val="0"/>
                <w:sz w:val="24"/>
              </w:rPr>
            </w:pPr>
            <w:r w:rsidRPr="00970DB1">
              <w:rPr>
                <w:rFonts w:ascii="Times New Roman" w:hAnsi="Times New Roman"/>
                <w:sz w:val="24"/>
              </w:rPr>
              <w:t>Общият брой на извънредните събития, свързани с операционен риск, над прага от 100 000 EUR за събития, водещи до загуби, които са били изключени в съответствие с член 320, параграф 1 от Регламент (ЕС) № 575/2013 за всеки от последните 10 отчетни периода.</w:t>
            </w:r>
          </w:p>
        </w:tc>
      </w:tr>
      <w:tr w:rsidR="00D740B8" w:rsidRPr="00970DB1"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970DB1" w:rsidRDefault="00D740B8">
            <w:pPr>
              <w:spacing w:before="12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Общ размер на загубите от операционен риск, без възстановявания и без изключени загуби</w:t>
            </w:r>
          </w:p>
          <w:p w14:paraId="65622881" w14:textId="32C07686" w:rsidR="00D740B8" w:rsidRPr="00970DB1" w:rsidRDefault="006943D3">
            <w:pPr>
              <w:spacing w:before="120" w:after="120"/>
              <w:jc w:val="both"/>
              <w:rPr>
                <w:rStyle w:val="InstructionsTabelleberschrift"/>
                <w:rFonts w:ascii="Times New Roman" w:eastAsia="Times New Roman" w:hAnsi="Times New Roman"/>
                <w:bCs w:val="0"/>
                <w:sz w:val="24"/>
              </w:rPr>
            </w:pPr>
            <w:r w:rsidRPr="00970DB1">
              <w:rPr>
                <w:rFonts w:ascii="Times New Roman" w:hAnsi="Times New Roman"/>
                <w:sz w:val="24"/>
              </w:rPr>
              <w:t>В реда се оповестява общият размер на загубите от операционен риск, намален със сумата на възстановяванията, оповестени в ред 6, намален със сумата на изключените загуби, оповестени в ред 8.</w:t>
            </w:r>
          </w:p>
        </w:tc>
      </w:tr>
      <w:tr w:rsidR="00D740B8" w:rsidRPr="00970DB1"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970DB1"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970DB1">
              <w:rPr>
                <w:rFonts w:ascii="Times New Roman" w:hAnsi="Times New Roman"/>
                <w:sz w:val="24"/>
              </w:rPr>
              <w:t>Не се прилага.</w:t>
            </w:r>
          </w:p>
        </w:tc>
      </w:tr>
      <w:tr w:rsidR="00D740B8" w:rsidRPr="00970DB1"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970DB1" w:rsidRDefault="00D740B8">
            <w:pPr>
              <w:spacing w:before="12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Не се прилага.</w:t>
            </w:r>
          </w:p>
        </w:tc>
      </w:tr>
      <w:tr w:rsidR="00D740B8" w:rsidRPr="00970DB1"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970DB1" w:rsidRDefault="00D740B8">
            <w:pPr>
              <w:spacing w:before="12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Не се прилага.</w:t>
            </w:r>
          </w:p>
        </w:tc>
      </w:tr>
    </w:tbl>
    <w:p w14:paraId="25A698B0" w14:textId="77777777" w:rsidR="00D740B8" w:rsidRPr="00970DB1" w:rsidRDefault="00D740B8" w:rsidP="00D740B8">
      <w:pPr>
        <w:pStyle w:val="InstructionsText2"/>
        <w:numPr>
          <w:ilvl w:val="0"/>
          <w:numId w:val="0"/>
        </w:numPr>
        <w:ind w:left="360"/>
        <w:rPr>
          <w:lang w:val="en-US"/>
        </w:rPr>
      </w:pPr>
    </w:p>
    <w:p w14:paraId="033C5861" w14:textId="77777777" w:rsidR="00D740B8" w:rsidRPr="00970DB1" w:rsidRDefault="00D740B8" w:rsidP="00D740B8">
      <w:pPr>
        <w:jc w:val="both"/>
        <w:rPr>
          <w:rFonts w:ascii="Times New Roman" w:hAnsi="Times New Roman" w:cs="Times New Roman"/>
          <w:bCs/>
          <w:sz w:val="24"/>
        </w:rPr>
      </w:pPr>
      <w:r w:rsidRPr="00970DB1">
        <w:rPr>
          <w:rFonts w:ascii="Times New Roman" w:hAnsi="Times New Roman"/>
          <w:b/>
          <w:sz w:val="24"/>
        </w:rPr>
        <w:t xml:space="preserve">Образец EU OR2 — Бизнес индикатор, компоненти и подкомпоненти. </w:t>
      </w:r>
      <w:r w:rsidRPr="00970DB1">
        <w:rPr>
          <w:rFonts w:ascii="Times New Roman" w:hAnsi="Times New Roman"/>
          <w:sz w:val="24"/>
        </w:rPr>
        <w:t>Образец със зададен формат</w:t>
      </w:r>
    </w:p>
    <w:p w14:paraId="3D173CCF" w14:textId="77777777" w:rsidR="00D740B8" w:rsidRPr="00970DB1" w:rsidRDefault="00D740B8" w:rsidP="00D740B8">
      <w:pPr>
        <w:ind w:left="360"/>
        <w:jc w:val="both"/>
        <w:rPr>
          <w:rFonts w:ascii="Times New Roman" w:hAnsi="Times New Roman" w:cs="Times New Roman"/>
          <w:bCs/>
          <w:sz w:val="24"/>
        </w:rPr>
      </w:pPr>
    </w:p>
    <w:p w14:paraId="3F849430" w14:textId="414C531B"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 xml:space="preserve">Институциите оповестяват информацията, включена в образец EU OR2, в изпълнение на член 446, параграф 1, букви в) и г) от Регламент (ЕС) № 575/2013. В този образец се предоставя информация за изчисляването на компонента на бизнес индикатора (BIC) в съответствие с член 313 от Регламент (ЕС) № 575/2013, както и за изчисляването на бизнес индикатора (BI), компонентите и подкомпонентите в съответствие с член 314 от Регламент (ЕС) № 575/2013. Освен това в този образец се </w:t>
      </w:r>
      <w:r w:rsidRPr="00970DB1">
        <w:rPr>
          <w:rFonts w:ascii="Times New Roman" w:hAnsi="Times New Roman"/>
          <w:sz w:val="24"/>
        </w:rPr>
        <w:lastRenderedPageBreak/>
        <w:t>предоставя и информация за изключените от бизнес индикатора суми, свързани с прехвърлени субекти или дейности, в съответствие с член 315, параграф 2.</w:t>
      </w:r>
    </w:p>
    <w:p w14:paraId="5C35CEC0" w14:textId="77777777" w:rsidR="00D740B8" w:rsidRPr="00970DB1" w:rsidRDefault="00D740B8" w:rsidP="00D740B8">
      <w:pPr>
        <w:ind w:left="360"/>
        <w:jc w:val="both"/>
        <w:rPr>
          <w:rFonts w:ascii="Times New Roman" w:hAnsi="Times New Roman" w:cs="Times New Roman"/>
          <w:bCs/>
          <w:sz w:val="24"/>
        </w:rPr>
      </w:pPr>
    </w:p>
    <w:p w14:paraId="1749895F" w14:textId="07869965"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Институциите оповестяват информацияta за последните три финансови години относно сумите по съответния списък с елементи, които са необходими за изчисляването на подкомпонентите на BI, които допринасят за изчисляването на капиталовите изисквания за операционен риск.</w:t>
      </w:r>
    </w:p>
    <w:p w14:paraId="7B27D162" w14:textId="77777777" w:rsidR="00D740B8" w:rsidRPr="00970DB1" w:rsidRDefault="00D740B8" w:rsidP="00D740B8">
      <w:pPr>
        <w:pStyle w:val="ListParagraph"/>
        <w:rPr>
          <w:rFonts w:ascii="Times New Roman" w:hAnsi="Times New Roman"/>
          <w:bCs/>
          <w:sz w:val="24"/>
        </w:rPr>
      </w:pPr>
    </w:p>
    <w:p w14:paraId="41988E91" w14:textId="281D16EA"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В съответствие с член 314, параграф 8 от Регламент (ЕС) № 575/2013, когато няма налични исторически данни, институциите отчитат насочени към бъдещето приблизителни бизнес оценки.</w:t>
      </w:r>
    </w:p>
    <w:p w14:paraId="14A23528" w14:textId="485ED75C" w:rsidR="00D740B8" w:rsidRPr="00970DB1" w:rsidRDefault="00D740B8" w:rsidP="00D740B8">
      <w:pPr>
        <w:pStyle w:val="numberedparagraph"/>
        <w:numPr>
          <w:ilvl w:val="0"/>
          <w:numId w:val="1"/>
        </w:numPr>
        <w:rPr>
          <w:rFonts w:ascii="Times New Roman" w:hAnsi="Times New Roman" w:cs="Times New Roman"/>
          <w:sz w:val="24"/>
        </w:rPr>
      </w:pPr>
      <w:r w:rsidRPr="00970DB1">
        <w:rPr>
          <w:rFonts w:ascii="Times New Roman" w:hAnsi="Times New Roman"/>
          <w:sz w:val="24"/>
        </w:rPr>
        <w:t>Когато институциите разполагат с налични данни за по-малко от три години, свързани с подробните елементи, които се включват в компонентите на BI, наличните исторически данни се отнасят по приоритет към съответните колони в образеца. Когато институциите разполагат с исторически данни, свързани с компонентите на BI, само за една година, тези данни се отчитат в колоната, съответстваща на най-скорошната година (напр. „предходната година“). Когато изглежда разумно, насочените към бъдещето приблизителни оценки се включват съответно в година -1 и година -2, докато тези данни станат налични.</w:t>
      </w:r>
    </w:p>
    <w:p w14:paraId="2DDE0943" w14:textId="7F04DC41" w:rsidR="00D740B8" w:rsidRPr="00970DB1" w:rsidRDefault="00D740B8" w:rsidP="00D740B8">
      <w:pPr>
        <w:pStyle w:val="numberedparagraph"/>
        <w:numPr>
          <w:ilvl w:val="0"/>
          <w:numId w:val="1"/>
        </w:numPr>
        <w:rPr>
          <w:rFonts w:ascii="Times New Roman" w:hAnsi="Times New Roman" w:cs="Times New Roman"/>
          <w:sz w:val="24"/>
        </w:rPr>
      </w:pPr>
      <w:r w:rsidRPr="00970DB1">
        <w:rPr>
          <w:rFonts w:ascii="Times New Roman" w:hAnsi="Times New Roman"/>
          <w:sz w:val="24"/>
        </w:rPr>
        <w:t>Институциите не включват в поделементите, които участват в изчисляването на компонента на лихвите, лизинга и дивидентите (ILDC), никакви стойности, свързани с конкретните дъщерни институции, чийто ILDC се изчислява отделно в съответствие с член 314, параграф 3 от Регламент (ЕС) № 575/2013.</w:t>
      </w:r>
    </w:p>
    <w:p w14:paraId="3512454B" w14:textId="27224DC8" w:rsidR="00841A0D"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Институциите не включват в поделементите, които участват в изчисляването на компонента на лихвите, лизинга и дивидентите (ILDC), никакви стойности от дейностите по банкиране на дребно и/или търговско банкиране в случаите, когато институцията е получила разрешение да прилага член 314, параграф 4 от Регламент (ЕС) № 575/2013.</w:t>
      </w:r>
    </w:p>
    <w:p w14:paraId="22AE3E22" w14:textId="77777777" w:rsidR="00841A0D" w:rsidRPr="00970DB1" w:rsidRDefault="00841A0D" w:rsidP="00841A0D">
      <w:pPr>
        <w:ind w:left="360"/>
        <w:jc w:val="both"/>
        <w:rPr>
          <w:rFonts w:ascii="Times New Roman" w:hAnsi="Times New Roman" w:cs="Times New Roman"/>
          <w:bCs/>
          <w:sz w:val="24"/>
        </w:rPr>
      </w:pPr>
    </w:p>
    <w:p w14:paraId="3A161EFD" w14:textId="7882B43A" w:rsidR="00D740B8" w:rsidRPr="00970DB1" w:rsidRDefault="003826D3" w:rsidP="00D740B8">
      <w:pPr>
        <w:numPr>
          <w:ilvl w:val="0"/>
          <w:numId w:val="1"/>
        </w:numPr>
        <w:jc w:val="both"/>
        <w:rPr>
          <w:rFonts w:ascii="Times New Roman" w:hAnsi="Times New Roman" w:cs="Times New Roman"/>
          <w:bCs/>
          <w:sz w:val="24"/>
        </w:rPr>
      </w:pPr>
      <w:r w:rsidRPr="00970DB1">
        <w:rPr>
          <w:rFonts w:ascii="Times New Roman" w:hAnsi="Times New Roman"/>
          <w:sz w:val="24"/>
        </w:rPr>
        <w:t>Независимо от това институциите отчитат в ред 1 общата сума по ILDC, включително сумите, изчислени в съответствие с член 314, параграф 3 от Регламент (ЕС) № 575/2013. В ред EU 1 се отчита и ILDC без да се включват субектите, обхванати от член 314, параграф 3.</w:t>
      </w:r>
    </w:p>
    <w:p w14:paraId="7DAFACF8" w14:textId="77777777" w:rsidR="00D740B8" w:rsidRPr="00970DB1" w:rsidRDefault="00D740B8" w:rsidP="00D740B8">
      <w:pPr>
        <w:ind w:left="360"/>
        <w:jc w:val="both"/>
        <w:rPr>
          <w:rFonts w:ascii="Times New Roman" w:hAnsi="Times New Roman" w:cs="Times New Roman"/>
          <w:bCs/>
          <w:sz w:val="24"/>
        </w:rPr>
      </w:pPr>
    </w:p>
    <w:p w14:paraId="578B96DC" w14:textId="494916C5" w:rsidR="00D740B8" w:rsidRPr="00970DB1" w:rsidRDefault="00D740B8" w:rsidP="00D740B8">
      <w:pPr>
        <w:numPr>
          <w:ilvl w:val="0"/>
          <w:numId w:val="1"/>
        </w:numPr>
        <w:jc w:val="both"/>
        <w:rPr>
          <w:rFonts w:ascii="Times New Roman" w:hAnsi="Times New Roman" w:cs="Times New Roman"/>
          <w:bCs/>
          <w:sz w:val="24"/>
        </w:rPr>
      </w:pPr>
      <w:r w:rsidRPr="00970DB1">
        <w:rPr>
          <w:rFonts w:ascii="Times New Roman" w:hAnsi="Times New Roman"/>
          <w:sz w:val="24"/>
        </w:rPr>
        <w:t>В придружаващото разяснение в съответствие с член 446, параграф 1 от Регламент (ЕС) № 575/2013 институциите оповестяват обосновката за всяко изключване от бизнес индикатора, без изключването на дейностите по банкиране на дребно и търговско банкиране, разгледани в член 314, параграф 4.</w:t>
      </w:r>
    </w:p>
    <w:p w14:paraId="22C673C4" w14:textId="77777777" w:rsidR="00393FEF" w:rsidRPr="00970DB1" w:rsidRDefault="00393FEF" w:rsidP="00532CFA">
      <w:pPr>
        <w:pStyle w:val="ListParagraph"/>
        <w:rPr>
          <w:rFonts w:ascii="Times New Roman" w:hAnsi="Times New Roman"/>
          <w:bCs/>
          <w:sz w:val="24"/>
        </w:rPr>
      </w:pPr>
    </w:p>
    <w:p w14:paraId="7DD11602" w14:textId="2BC0B288" w:rsidR="00393FEF" w:rsidRPr="00970DB1" w:rsidRDefault="006020C0" w:rsidP="00D740B8">
      <w:pPr>
        <w:numPr>
          <w:ilvl w:val="0"/>
          <w:numId w:val="1"/>
        </w:numPr>
        <w:jc w:val="both"/>
        <w:rPr>
          <w:rFonts w:ascii="Times New Roman" w:hAnsi="Times New Roman" w:cs="Times New Roman"/>
          <w:bCs/>
          <w:sz w:val="24"/>
        </w:rPr>
      </w:pPr>
      <w:r w:rsidRPr="00970DB1">
        <w:rPr>
          <w:rFonts w:ascii="Times New Roman" w:hAnsi="Times New Roman"/>
          <w:sz w:val="24"/>
        </w:rPr>
        <w:t>Предвид тясната връзка между изискванията за оповестяване на операционния риск и финансовите отчети на институциите, позоваванията на изискванията за отчитане, отразени в приложение V към ИТ решенията на ЕБО (FINREP), са включени в целите указания.</w:t>
      </w:r>
    </w:p>
    <w:p w14:paraId="1D4913E2" w14:textId="77777777" w:rsidR="00DD1D82" w:rsidRPr="00970DB1" w:rsidRDefault="00DD1D82" w:rsidP="00DD1D82">
      <w:pPr>
        <w:pStyle w:val="ListParagraph"/>
        <w:rPr>
          <w:rFonts w:ascii="Times New Roman" w:hAnsi="Times New Roman"/>
          <w:bCs/>
          <w:sz w:val="24"/>
        </w:rPr>
      </w:pPr>
    </w:p>
    <w:p w14:paraId="11E51AFD" w14:textId="3D720718" w:rsidR="00DD1D82" w:rsidRPr="00970DB1" w:rsidRDefault="00050ABA" w:rsidP="001257B6">
      <w:pPr>
        <w:numPr>
          <w:ilvl w:val="0"/>
          <w:numId w:val="1"/>
        </w:numPr>
        <w:jc w:val="both"/>
        <w:rPr>
          <w:rFonts w:ascii="Times New Roman" w:hAnsi="Times New Roman" w:cs="Times New Roman"/>
          <w:bCs/>
          <w:sz w:val="24"/>
        </w:rPr>
      </w:pPr>
      <w:r w:rsidRPr="00970DB1">
        <w:rPr>
          <w:rFonts w:ascii="Times New Roman" w:hAnsi="Times New Roman"/>
          <w:sz w:val="24"/>
        </w:rPr>
        <w:t>Условностите за използване на знаци, които трябва да се попълнят в този образец, следват условностите, отразени в приложение V към ИТ решенията на ЕБО.</w:t>
      </w:r>
    </w:p>
    <w:p w14:paraId="21275E00" w14:textId="77777777" w:rsidR="00D740B8" w:rsidRPr="00970DB1"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970DB1" w14:paraId="069EA903" w14:textId="77777777">
        <w:trPr>
          <w:trHeight w:val="300"/>
        </w:trPr>
        <w:tc>
          <w:tcPr>
            <w:tcW w:w="1260" w:type="dxa"/>
            <w:shd w:val="clear" w:color="auto" w:fill="BFBFBF" w:themeFill="background1" w:themeFillShade="BF"/>
          </w:tcPr>
          <w:p w14:paraId="7E4DE4F0" w14:textId="77777777" w:rsidR="00D740B8" w:rsidRPr="00970DB1" w:rsidRDefault="00D740B8">
            <w:pPr>
              <w:autoSpaceDE w:val="0"/>
              <w:autoSpaceDN w:val="0"/>
              <w:adjustRightInd w:val="0"/>
              <w:rPr>
                <w:rFonts w:ascii="Times New Roman" w:hAnsi="Times New Roman" w:cs="Times New Roman"/>
                <w:b/>
                <w:sz w:val="24"/>
              </w:rPr>
            </w:pPr>
            <w:r w:rsidRPr="00970DB1">
              <w:rPr>
                <w:rFonts w:ascii="Times New Roman" w:hAnsi="Times New Roman"/>
                <w:b/>
                <w:sz w:val="24"/>
              </w:rPr>
              <w:t>Колона</w:t>
            </w:r>
          </w:p>
        </w:tc>
        <w:tc>
          <w:tcPr>
            <w:tcW w:w="7756" w:type="dxa"/>
            <w:shd w:val="clear" w:color="auto" w:fill="BFBFBF" w:themeFill="background1" w:themeFillShade="BF"/>
          </w:tcPr>
          <w:p w14:paraId="0D54BB35" w14:textId="77777777" w:rsidR="00D740B8" w:rsidRPr="00970DB1" w:rsidDel="00B46ADB" w:rsidRDefault="00D740B8">
            <w:pPr>
              <w:autoSpaceDE w:val="0"/>
              <w:autoSpaceDN w:val="0"/>
              <w:adjustRightInd w:val="0"/>
              <w:rPr>
                <w:bCs/>
              </w:rPr>
            </w:pPr>
            <w:r w:rsidRPr="00970DB1">
              <w:rPr>
                <w:rFonts w:ascii="Times New Roman" w:hAnsi="Times New Roman"/>
                <w:b/>
                <w:sz w:val="24"/>
              </w:rPr>
              <w:t>Препратки към нормативни актове и указания</w:t>
            </w:r>
          </w:p>
        </w:tc>
      </w:tr>
      <w:tr w:rsidR="00D740B8" w:rsidRPr="00970DB1" w14:paraId="7AE7216D" w14:textId="77777777">
        <w:trPr>
          <w:trHeight w:val="300"/>
        </w:trPr>
        <w:tc>
          <w:tcPr>
            <w:tcW w:w="1260" w:type="dxa"/>
          </w:tcPr>
          <w:p w14:paraId="0FC699E1" w14:textId="0D76C831" w:rsidR="00D740B8" w:rsidRPr="00970DB1" w:rsidRDefault="00D740B8" w:rsidP="00165BEF">
            <w:pPr>
              <w:autoSpaceDE w:val="0"/>
              <w:autoSpaceDN w:val="0"/>
              <w:adjustRightInd w:val="0"/>
              <w:jc w:val="center"/>
              <w:rPr>
                <w:rFonts w:ascii="Times New Roman" w:hAnsi="Times New Roman"/>
                <w:bCs/>
                <w:sz w:val="24"/>
              </w:rPr>
            </w:pPr>
            <w:r w:rsidRPr="00970DB1">
              <w:rPr>
                <w:rFonts w:ascii="Times New Roman" w:hAnsi="Times New Roman"/>
                <w:sz w:val="24"/>
              </w:rPr>
              <w:t>а, б, в</w:t>
            </w:r>
          </w:p>
        </w:tc>
        <w:tc>
          <w:tcPr>
            <w:tcW w:w="7756" w:type="dxa"/>
          </w:tcPr>
          <w:p w14:paraId="510A12A5" w14:textId="13FB6D98" w:rsidR="00D740B8" w:rsidRPr="00970DB1" w:rsidRDefault="00D740B8">
            <w:pPr>
              <w:autoSpaceDE w:val="0"/>
              <w:autoSpaceDN w:val="0"/>
              <w:adjustRightInd w:val="0"/>
              <w:rPr>
                <w:rStyle w:val="InstructionsTabelleberschrift"/>
                <w:rFonts w:ascii="Times New Roman" w:hAnsi="Times New Roman"/>
                <w:sz w:val="24"/>
                <w:u w:val="none"/>
              </w:rPr>
            </w:pPr>
            <w:r w:rsidRPr="00970DB1">
              <w:rPr>
                <w:rStyle w:val="InstructionsTabelleberschrift"/>
                <w:rFonts w:ascii="Times New Roman" w:hAnsi="Times New Roman"/>
                <w:sz w:val="24"/>
                <w:u w:val="none"/>
              </w:rPr>
              <w:t>Стойност</w:t>
            </w:r>
          </w:p>
          <w:p w14:paraId="0A7A2FD7" w14:textId="77777777" w:rsidR="00D740B8" w:rsidRPr="00970DB1" w:rsidRDefault="00D740B8">
            <w:pPr>
              <w:rPr>
                <w:rFonts w:ascii="Times New Roman" w:hAnsi="Times New Roman"/>
                <w:sz w:val="24"/>
                <w:lang w:eastAsia="de-DE"/>
              </w:rPr>
            </w:pPr>
          </w:p>
          <w:p w14:paraId="0C8A142A" w14:textId="4CAB13C5" w:rsidR="00D740B8" w:rsidRPr="00970DB1" w:rsidRDefault="00D740B8">
            <w:pPr>
              <w:autoSpaceDE w:val="0"/>
              <w:autoSpaceDN w:val="0"/>
              <w:adjustRightInd w:val="0"/>
              <w:rPr>
                <w:rFonts w:ascii="Times New Roman" w:hAnsi="Times New Roman" w:cs="Times New Roman"/>
                <w:bCs/>
                <w:sz w:val="24"/>
              </w:rPr>
            </w:pPr>
            <w:r w:rsidRPr="00970DB1">
              <w:rPr>
                <w:rFonts w:ascii="Times New Roman" w:hAnsi="Times New Roman"/>
                <w:sz w:val="24"/>
              </w:rPr>
              <w:t>Член 446, параграф 1, буква г) и член 314, параграф 1 от Регламент (ЕС) № 575/2013.</w:t>
            </w:r>
          </w:p>
          <w:p w14:paraId="7883915F" w14:textId="77777777" w:rsidR="00D740B8" w:rsidRPr="00970DB1" w:rsidRDefault="00D740B8">
            <w:pPr>
              <w:autoSpaceDE w:val="0"/>
              <w:autoSpaceDN w:val="0"/>
              <w:adjustRightInd w:val="0"/>
              <w:rPr>
                <w:rFonts w:ascii="Times New Roman" w:hAnsi="Times New Roman"/>
                <w:bCs/>
                <w:sz w:val="24"/>
                <w:lang w:eastAsia="nl-BE"/>
              </w:rPr>
            </w:pPr>
          </w:p>
          <w:p w14:paraId="558CD9DA" w14:textId="2FA81485" w:rsidR="00EA10B1" w:rsidRPr="00970DB1" w:rsidRDefault="002F3CFA">
            <w:pPr>
              <w:pStyle w:val="paragraph"/>
              <w:spacing w:before="0" w:beforeAutospacing="0" w:after="0" w:afterAutospacing="0"/>
              <w:textAlignment w:val="baseline"/>
            </w:pPr>
            <w:r w:rsidRPr="00970DB1">
              <w:t>Стойността на списъка с елементи, които са част от изчислението на BI и неговите компоненти (изчисление на компонента на лихвите, лизинга и дивидентите (ILDC), компонента на услугите (SC) и финансовия компонент (FC) в съответствие с приложимите счетоводни стандарти за всяка от последните три финансови години.</w:t>
            </w:r>
          </w:p>
          <w:p w14:paraId="3414DDFE" w14:textId="77777777" w:rsidR="007B3E62" w:rsidRPr="00970DB1" w:rsidRDefault="007B3E62">
            <w:pPr>
              <w:pStyle w:val="paragraph"/>
              <w:spacing w:before="0" w:beforeAutospacing="0" w:after="0" w:afterAutospacing="0"/>
              <w:textAlignment w:val="baseline"/>
              <w:rPr>
                <w:lang w:eastAsia="de-DE"/>
              </w:rPr>
            </w:pPr>
          </w:p>
          <w:p w14:paraId="374E1BCA" w14:textId="5E2803E9" w:rsidR="007B3E62" w:rsidRPr="00970DB1" w:rsidRDefault="00B76B25">
            <w:pPr>
              <w:pStyle w:val="paragraph"/>
              <w:spacing w:before="0" w:beforeAutospacing="0" w:after="0" w:afterAutospacing="0"/>
              <w:textAlignment w:val="baseline"/>
            </w:pPr>
            <w:r w:rsidRPr="00970DB1">
              <w:t>Сумите се отчитат след прилагане на корекциите, свързани със сливания/придобивания и прехвърлени дейности.</w:t>
            </w:r>
          </w:p>
          <w:p w14:paraId="00BACA37" w14:textId="77777777" w:rsidR="00EA10B1" w:rsidRPr="00970DB1" w:rsidRDefault="00EA10B1">
            <w:pPr>
              <w:pStyle w:val="paragraph"/>
              <w:spacing w:before="0" w:beforeAutospacing="0" w:after="0" w:afterAutospacing="0"/>
              <w:textAlignment w:val="baseline"/>
              <w:rPr>
                <w:lang w:eastAsia="de-DE"/>
              </w:rPr>
            </w:pPr>
          </w:p>
          <w:p w14:paraId="21635601" w14:textId="1A8DE566" w:rsidR="00D740B8" w:rsidRPr="00970DB1" w:rsidRDefault="00D740B8" w:rsidP="000F6C61">
            <w:pPr>
              <w:pStyle w:val="paragraph"/>
              <w:spacing w:before="0" w:beforeAutospacing="0" w:after="0" w:afterAutospacing="0"/>
              <w:textAlignment w:val="baseline"/>
            </w:pPr>
            <w:r w:rsidRPr="00970DB1">
              <w:t>За FC оповестените стойности ще отразяват счетоводните стойности, определени чрез използване на счетоводната граница или пруденциалната граница за идентифициране на елементите от търговския портфейл и банковия портфейл за всяка от последните три финансови години в съответствие с член 314, параграф 6 от Регламент (ЕС) № 575/2013.</w:t>
            </w:r>
          </w:p>
        </w:tc>
      </w:tr>
      <w:tr w:rsidR="00D740B8" w:rsidRPr="00970DB1" w14:paraId="3103AD05" w14:textId="77777777">
        <w:trPr>
          <w:trHeight w:val="300"/>
        </w:trPr>
        <w:tc>
          <w:tcPr>
            <w:tcW w:w="1260" w:type="dxa"/>
          </w:tcPr>
          <w:p w14:paraId="0FFA543A" w14:textId="77777777" w:rsidR="00D740B8" w:rsidRPr="00970DB1" w:rsidRDefault="00D740B8" w:rsidP="00165BEF">
            <w:pPr>
              <w:autoSpaceDE w:val="0"/>
              <w:autoSpaceDN w:val="0"/>
              <w:adjustRightInd w:val="0"/>
              <w:jc w:val="center"/>
              <w:rPr>
                <w:rFonts w:ascii="Times New Roman" w:hAnsi="Times New Roman"/>
                <w:bCs/>
                <w:sz w:val="24"/>
              </w:rPr>
            </w:pPr>
            <w:r w:rsidRPr="00970DB1">
              <w:rPr>
                <w:rFonts w:ascii="Times New Roman" w:hAnsi="Times New Roman"/>
                <w:sz w:val="24"/>
              </w:rPr>
              <w:t>г</w:t>
            </w:r>
          </w:p>
        </w:tc>
        <w:tc>
          <w:tcPr>
            <w:tcW w:w="7756" w:type="dxa"/>
          </w:tcPr>
          <w:p w14:paraId="117DF1D7" w14:textId="77777777" w:rsidR="00D740B8" w:rsidRPr="00970DB1" w:rsidRDefault="00D740B8">
            <w:pPr>
              <w:autoSpaceDE w:val="0"/>
              <w:autoSpaceDN w:val="0"/>
              <w:adjustRightInd w:val="0"/>
              <w:rPr>
                <w:rStyle w:val="InstructionsTabelleberschrift"/>
                <w:rFonts w:ascii="Times New Roman" w:hAnsi="Times New Roman"/>
                <w:sz w:val="24"/>
                <w:u w:val="none"/>
              </w:rPr>
            </w:pPr>
            <w:r w:rsidRPr="00970DB1">
              <w:rPr>
                <w:rStyle w:val="InstructionsTabelleberschrift"/>
                <w:rFonts w:ascii="Times New Roman" w:hAnsi="Times New Roman"/>
                <w:sz w:val="24"/>
                <w:u w:val="none"/>
              </w:rPr>
              <w:t>Средни стойности</w:t>
            </w:r>
          </w:p>
          <w:p w14:paraId="27B3847F" w14:textId="77777777" w:rsidR="00D740B8" w:rsidRPr="00970DB1" w:rsidRDefault="00D740B8">
            <w:pPr>
              <w:autoSpaceDE w:val="0"/>
              <w:autoSpaceDN w:val="0"/>
              <w:adjustRightInd w:val="0"/>
              <w:rPr>
                <w:rFonts w:ascii="Times New Roman" w:hAnsi="Times New Roman"/>
                <w:sz w:val="24"/>
                <w:lang w:eastAsia="de-DE"/>
              </w:rPr>
            </w:pPr>
          </w:p>
          <w:p w14:paraId="2CEEC93D" w14:textId="277817D6" w:rsidR="00D740B8" w:rsidRPr="00970DB1" w:rsidRDefault="00D740B8">
            <w:pPr>
              <w:autoSpaceDE w:val="0"/>
              <w:autoSpaceDN w:val="0"/>
              <w:adjustRightInd w:val="0"/>
              <w:rPr>
                <w:rFonts w:ascii="Times New Roman" w:hAnsi="Times New Roman" w:cs="Times New Roman"/>
                <w:bCs/>
                <w:sz w:val="24"/>
              </w:rPr>
            </w:pPr>
            <w:r w:rsidRPr="00970DB1">
              <w:rPr>
                <w:rFonts w:ascii="Times New Roman" w:hAnsi="Times New Roman"/>
                <w:sz w:val="24"/>
              </w:rPr>
              <w:t>Член 314, параграфи 2, 5 и 6 от Регламент (ЕС) № 575/2013.</w:t>
            </w:r>
          </w:p>
          <w:p w14:paraId="5FAAFF7A" w14:textId="77777777" w:rsidR="00D740B8" w:rsidRPr="00970DB1" w:rsidRDefault="00D740B8">
            <w:pPr>
              <w:autoSpaceDE w:val="0"/>
              <w:autoSpaceDN w:val="0"/>
              <w:adjustRightInd w:val="0"/>
              <w:rPr>
                <w:rStyle w:val="InstructionsTabelleberschrift"/>
                <w:rFonts w:ascii="Times New Roman" w:hAnsi="Times New Roman"/>
                <w:sz w:val="24"/>
              </w:rPr>
            </w:pPr>
          </w:p>
          <w:p w14:paraId="3E17CEC0" w14:textId="402AFA6E" w:rsidR="00D740B8" w:rsidRPr="00970DB1" w:rsidRDefault="00D740B8">
            <w:pPr>
              <w:pStyle w:val="paragraph"/>
              <w:spacing w:before="0" w:beforeAutospacing="0" w:after="0" w:afterAutospacing="0"/>
              <w:textAlignment w:val="baseline"/>
              <w:rPr>
                <w:rStyle w:val="normaltextrun"/>
              </w:rPr>
            </w:pPr>
            <w:r w:rsidRPr="00970DB1">
              <w:rPr>
                <w:rStyle w:val="normaltextrun"/>
              </w:rPr>
              <w:t>Изчислените стойности на компонентите ILDC, SC и FC и средната стойност на свързаните с тях подкомпоненти, изчислени през последните три финансови години и отнасящи се за година T.</w:t>
            </w:r>
          </w:p>
          <w:p w14:paraId="32637704" w14:textId="35682543" w:rsidR="00D740B8" w:rsidRPr="00970DB1" w:rsidRDefault="00D740B8">
            <w:pPr>
              <w:pStyle w:val="paragraph"/>
              <w:spacing w:before="0" w:beforeAutospacing="0" w:after="0" w:afterAutospacing="0"/>
              <w:textAlignment w:val="baseline"/>
              <w:rPr>
                <w:rStyle w:val="normaltextrun"/>
              </w:rPr>
            </w:pPr>
          </w:p>
          <w:p w14:paraId="6C270BFC" w14:textId="453723AA" w:rsidR="00D740B8" w:rsidRPr="00970DB1"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970DB1">
              <w:rPr>
                <w:rStyle w:val="normaltextrun"/>
              </w:rPr>
              <w:t xml:space="preserve">Средната стойност се изчислява, като се вземат предвид счетоводните стойности за всяка една от последните три години. </w:t>
            </w:r>
          </w:p>
        </w:tc>
      </w:tr>
    </w:tbl>
    <w:p w14:paraId="75117700" w14:textId="77777777" w:rsidR="00D740B8" w:rsidRPr="00970DB1"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70DB1"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970DB1" w:rsidRDefault="00D740B8">
            <w:pPr>
              <w:autoSpaceDE w:val="0"/>
              <w:autoSpaceDN w:val="0"/>
              <w:adjustRightInd w:val="0"/>
              <w:rPr>
                <w:rFonts w:ascii="Times New Roman" w:hAnsi="Times New Roman" w:cs="Times New Roman"/>
                <w:b/>
                <w:sz w:val="24"/>
              </w:rPr>
            </w:pPr>
            <w:r w:rsidRPr="00970DB1">
              <w:rPr>
                <w:rFonts w:ascii="Times New Roman" w:hAnsi="Times New Roman"/>
                <w:b/>
                <w:sz w:val="24"/>
              </w:rPr>
              <w:t>Ред</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970DB1" w:rsidRDefault="00D740B8">
            <w:pPr>
              <w:rPr>
                <w:rFonts w:ascii="Times New Roman" w:hAnsi="Times New Roman" w:cs="Times New Roman"/>
                <w:b/>
                <w:sz w:val="24"/>
              </w:rPr>
            </w:pPr>
            <w:r w:rsidRPr="00970DB1">
              <w:rPr>
                <w:rFonts w:ascii="Times New Roman" w:hAnsi="Times New Roman"/>
                <w:b/>
                <w:sz w:val="24"/>
              </w:rPr>
              <w:t>Препратки към нормативни актове и указания</w:t>
            </w:r>
          </w:p>
        </w:tc>
      </w:tr>
      <w:tr w:rsidR="00D740B8" w:rsidRPr="00970DB1"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970DB1" w:rsidRDefault="00D740B8">
            <w:pPr>
              <w:spacing w:before="60" w:after="120"/>
              <w:jc w:val="both"/>
              <w:rPr>
                <w:rFonts w:ascii="Times New Roman" w:eastAsia="Times New Roman" w:hAnsi="Times New Roman" w:cs="Times New Roman"/>
                <w:b/>
                <w:sz w:val="24"/>
              </w:rPr>
            </w:pPr>
            <w:r w:rsidRPr="00970DB1">
              <w:rPr>
                <w:rFonts w:ascii="Times New Roman" w:hAnsi="Times New Roman"/>
                <w:b/>
                <w:sz w:val="24"/>
              </w:rPr>
              <w:t>Компонент на лихвите, лизинга и дивидентите (ILDC)</w:t>
            </w:r>
          </w:p>
          <w:p w14:paraId="78381763" w14:textId="2625CE0B" w:rsidR="00D740B8" w:rsidRPr="00970DB1" w:rsidRDefault="00D740B8">
            <w:pPr>
              <w:spacing w:before="60" w:after="120"/>
              <w:jc w:val="both"/>
              <w:rPr>
                <w:rFonts w:ascii="Times New Roman" w:eastAsia="Times New Roman" w:hAnsi="Times New Roman" w:cs="Times New Roman"/>
                <w:b/>
                <w:sz w:val="24"/>
              </w:rPr>
            </w:pPr>
            <w:r w:rsidRPr="00970DB1">
              <w:rPr>
                <w:rFonts w:ascii="Times New Roman" w:hAnsi="Times New Roman"/>
                <w:sz w:val="24"/>
              </w:rPr>
              <w:t>Компонентът на лихвите, лизинга и дивидентите (ILDC) се изчислява в съответствие с член 314, параграф 2 от Регламент (ЕС) № 575/2013, като се включват, когато е приложимо, сумите, изчислени в съответствие с член 314, параграф 3 от Регламент (ЕС) № 575/2013. Когато дадена институция е обект на дерогацията, посочена в член 314, параграф 4 от Регламент (ЕС) № 575/2013, институцията не включва никакви стойности от дейностите по банкиране на дребно и търговско банкиране.</w:t>
            </w:r>
          </w:p>
        </w:tc>
      </w:tr>
      <w:tr w:rsidR="00456F97" w:rsidRPr="00970DB1"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970DB1" w:rsidRDefault="00E03FA1">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970DB1" w:rsidRDefault="00E2624F">
            <w:pPr>
              <w:spacing w:before="60" w:after="120"/>
              <w:jc w:val="both"/>
              <w:rPr>
                <w:rFonts w:ascii="Times New Roman" w:eastAsia="Times New Roman" w:hAnsi="Times New Roman" w:cs="Times New Roman"/>
                <w:b/>
                <w:sz w:val="24"/>
              </w:rPr>
            </w:pPr>
            <w:r w:rsidRPr="00970DB1">
              <w:rPr>
                <w:rFonts w:ascii="Times New Roman" w:hAnsi="Times New Roman"/>
                <w:b/>
                <w:sz w:val="24"/>
              </w:rPr>
              <w:t>ILDC, свързан с отделната институция/консолидираната група (с изключение на субектите, посочени в член 314, параграф 3)</w:t>
            </w:r>
          </w:p>
          <w:p w14:paraId="3B4A0231" w14:textId="6A33703B" w:rsidR="00E2624F" w:rsidRPr="00970DB1" w:rsidRDefault="00E2624F" w:rsidP="00413B96">
            <w:pPr>
              <w:rPr>
                <w:rFonts w:ascii="Times New Roman" w:hAnsi="Times New Roman"/>
                <w:color w:val="000000" w:themeColor="text1"/>
                <w:sz w:val="24"/>
              </w:rPr>
            </w:pPr>
            <w:r w:rsidRPr="00970DB1">
              <w:rPr>
                <w:rFonts w:ascii="Times New Roman" w:hAnsi="Times New Roman"/>
                <w:sz w:val="24"/>
              </w:rPr>
              <w:t xml:space="preserve">Компонентът на лихвите, лизинга и дивидентите (ILDC) се изчислява в съответствие с член 314, параграф 2 от Регламент (ЕС) №575/2013, без да се включват стойности, които са част от изчислението на ILDC в </w:t>
            </w:r>
            <w:r w:rsidRPr="00970DB1">
              <w:rPr>
                <w:rFonts w:ascii="Times New Roman" w:hAnsi="Times New Roman"/>
                <w:sz w:val="24"/>
              </w:rPr>
              <w:lastRenderedPageBreak/>
              <w:t>случаите, когато институцията прилага дерогацията в съответствие с член 314, параграф 3 от Регламент (ЕС) № 575/2013.</w:t>
            </w:r>
          </w:p>
        </w:tc>
      </w:tr>
      <w:tr w:rsidR="00D740B8" w:rsidRPr="00970DB1"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1а</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970DB1" w:rsidRDefault="00D740B8">
            <w:pPr>
              <w:spacing w:before="60" w:after="120"/>
              <w:jc w:val="both"/>
              <w:rPr>
                <w:rFonts w:ascii="Times New Roman" w:eastAsia="Times New Roman" w:hAnsi="Times New Roman" w:cs="Times New Roman"/>
                <w:b/>
                <w:sz w:val="24"/>
              </w:rPr>
            </w:pPr>
            <w:r w:rsidRPr="00970DB1">
              <w:rPr>
                <w:rFonts w:ascii="Times New Roman" w:hAnsi="Times New Roman"/>
                <w:b/>
                <w:sz w:val="24"/>
              </w:rPr>
              <w:t>Приходи от лихви и приходи от лизинг</w:t>
            </w:r>
          </w:p>
          <w:p w14:paraId="33CCD1CB" w14:textId="130AE220" w:rsidR="00BD248A" w:rsidRPr="00970DB1" w:rsidRDefault="00D740B8">
            <w:pPr>
              <w:rPr>
                <w:rFonts w:ascii="Times New Roman" w:eastAsia="Times New Roman" w:hAnsi="Times New Roman" w:cs="Times New Roman"/>
                <w:sz w:val="24"/>
              </w:rPr>
            </w:pPr>
            <w:r w:rsidRPr="00970DB1">
              <w:rPr>
                <w:rFonts w:ascii="Times New Roman" w:hAnsi="Times New Roman"/>
                <w:sz w:val="24"/>
              </w:rPr>
              <w:t>Сумата от приходи от лихви по всички финансови активи, други приходи от отдадени на лизинг активи и печалби от отдадени на лизинг активи в съответствие с приложение V към ИТ решенията на ЕБО.</w:t>
            </w:r>
          </w:p>
          <w:p w14:paraId="76D4A1E7" w14:textId="77777777" w:rsidR="00BD248A" w:rsidRPr="00970DB1" w:rsidRDefault="00BD248A">
            <w:pPr>
              <w:rPr>
                <w:rFonts w:ascii="Times New Roman" w:eastAsia="Times New Roman" w:hAnsi="Times New Roman" w:cs="Times New Roman"/>
                <w:sz w:val="24"/>
              </w:rPr>
            </w:pPr>
          </w:p>
          <w:p w14:paraId="19841383" w14:textId="08257E38" w:rsidR="00F5221D" w:rsidRPr="00970DB1" w:rsidRDefault="004F220F">
            <w:pPr>
              <w:rPr>
                <w:rFonts w:ascii="Times New Roman" w:eastAsia="Times New Roman" w:hAnsi="Times New Roman" w:cs="Times New Roman"/>
                <w:sz w:val="24"/>
              </w:rPr>
            </w:pPr>
            <w:r w:rsidRPr="00970DB1">
              <w:rPr>
                <w:rFonts w:ascii="Times New Roman" w:hAnsi="Times New Roman"/>
                <w:sz w:val="24"/>
              </w:rPr>
              <w:t>Приходите от лихви по всички финансови активи се изчисляват в съответствие с приложение V, част 2, параграф 31 от ИТ решенията на ЕБО и съгласно допълнителните спецификации от приложение V, част 2, параграфи 187, 189 и 194ii от ИТ решенията на ЕБО.</w:t>
            </w:r>
          </w:p>
          <w:p w14:paraId="55B6FFE6" w14:textId="77777777" w:rsidR="00F5221D" w:rsidRPr="00970DB1" w:rsidRDefault="00F5221D">
            <w:pPr>
              <w:rPr>
                <w:rFonts w:ascii="Times New Roman" w:eastAsia="Times New Roman" w:hAnsi="Times New Roman" w:cs="Times New Roman"/>
                <w:sz w:val="24"/>
              </w:rPr>
            </w:pPr>
          </w:p>
          <w:p w14:paraId="00ED9136" w14:textId="12CD18AE" w:rsidR="00E76AA5" w:rsidRPr="00970DB1" w:rsidRDefault="00F5221D" w:rsidP="007535CB">
            <w:pPr>
              <w:rPr>
                <w:rFonts w:ascii="Times New Roman" w:eastAsia="Times New Roman" w:hAnsi="Times New Roman" w:cs="Times New Roman"/>
                <w:sz w:val="24"/>
              </w:rPr>
            </w:pPr>
            <w:r w:rsidRPr="00970DB1">
              <w:rPr>
                <w:rFonts w:ascii="Times New Roman" w:hAnsi="Times New Roman"/>
                <w:sz w:val="24"/>
              </w:rPr>
              <w:t>Другите приходи от отдадени на лизинг активи (финансови и оперативни) не включват приходите от лихви. Сумата се изчислява в съответствие с приложение V, част 2, параграфи 314 и 315 от ИТ решенията на ЕБО, които представляват: i) приходи от промени в справедливата стойност на инвестиционни имоти, които генерират приходи от наеми и се оценяват по модела на справедливата стойност; и/или ii) приходи от оперативни лизинги, включително приходи от наеми от инвестиционни имоти.</w:t>
            </w:r>
          </w:p>
          <w:p w14:paraId="6C1BE770" w14:textId="77777777" w:rsidR="007535CB" w:rsidRPr="00970DB1" w:rsidRDefault="007535CB" w:rsidP="007535CB">
            <w:pPr>
              <w:rPr>
                <w:rFonts w:ascii="Times New Roman" w:eastAsia="Times New Roman" w:hAnsi="Times New Roman" w:cs="Times New Roman"/>
                <w:sz w:val="24"/>
              </w:rPr>
            </w:pPr>
          </w:p>
          <w:p w14:paraId="742C7468" w14:textId="3A50C109" w:rsidR="00D740B8" w:rsidRPr="00970DB1" w:rsidRDefault="00BB0B3D" w:rsidP="004F34D4">
            <w:pPr>
              <w:rPr>
                <w:rFonts w:ascii="Times New Roman" w:eastAsia="Times New Roman" w:hAnsi="Times New Roman" w:cs="Times New Roman"/>
                <w:sz w:val="24"/>
              </w:rPr>
            </w:pPr>
            <w:r w:rsidRPr="00970DB1">
              <w:rPr>
                <w:rFonts w:ascii="Times New Roman" w:hAnsi="Times New Roman"/>
                <w:sz w:val="24"/>
              </w:rPr>
              <w:t>Печалбите от отдадени на лизинг активи (финансови и оперативни) включват: i) печалбите от измененията на лизинговия договор в съответствие с приложение V, част 2, параграф 49 от ИТ решенията на ЕБО; ii) останалата част от другите оперативни приходи (други оперативни приходи) в съответствие с приложение V, част 2, параграфи 314 и 316 от ИТ решенията на ЕБО, ако те са свързани с отдадени на лизинг активи (финансови и оперативни).</w:t>
            </w:r>
          </w:p>
        </w:tc>
      </w:tr>
      <w:tr w:rsidR="00D740B8" w:rsidRPr="00970DB1"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970DB1" w:rsidRDefault="00D740B8">
            <w:pPr>
              <w:spacing w:before="60" w:after="120"/>
              <w:jc w:val="both"/>
              <w:rPr>
                <w:rFonts w:ascii="Times New Roman" w:eastAsia="Times New Roman" w:hAnsi="Times New Roman" w:cs="Times New Roman"/>
                <w:b/>
                <w:sz w:val="24"/>
              </w:rPr>
            </w:pPr>
            <w:r w:rsidRPr="00970DB1">
              <w:rPr>
                <w:rFonts w:ascii="Times New Roman" w:hAnsi="Times New Roman"/>
                <w:b/>
                <w:sz w:val="24"/>
              </w:rPr>
              <w:t>Разходи за лихви и разходи за лизинг</w:t>
            </w:r>
          </w:p>
          <w:p w14:paraId="65B73157" w14:textId="72BA8427" w:rsidR="00EC1398" w:rsidRPr="00970DB1" w:rsidRDefault="00D740B8">
            <w:pPr>
              <w:rPr>
                <w:rFonts w:ascii="Times New Roman" w:eastAsia="Times New Roman" w:hAnsi="Times New Roman" w:cs="Times New Roman"/>
                <w:sz w:val="24"/>
              </w:rPr>
            </w:pPr>
            <w:r w:rsidRPr="00970DB1">
              <w:rPr>
                <w:rFonts w:ascii="Times New Roman" w:hAnsi="Times New Roman"/>
                <w:sz w:val="24"/>
              </w:rPr>
              <w:t>Сумата от разходи за лихви по всички финансови пасиви, разходи по отдадени на лизинг активи и амортизация, обезценка и загуби от активи, предмет на лизинг, както е посочено в приложение V към ИТ решенията на ЕБО.</w:t>
            </w:r>
          </w:p>
          <w:p w14:paraId="06CEDDA9" w14:textId="77777777" w:rsidR="00BA33C3" w:rsidRPr="00970DB1" w:rsidRDefault="00BA33C3">
            <w:pPr>
              <w:rPr>
                <w:rFonts w:ascii="Times New Roman" w:eastAsia="Times New Roman" w:hAnsi="Times New Roman" w:cs="Times New Roman"/>
                <w:sz w:val="24"/>
              </w:rPr>
            </w:pPr>
          </w:p>
          <w:p w14:paraId="3ACFF991" w14:textId="1BCDC8C4" w:rsidR="00BA33C3" w:rsidRPr="00970DB1" w:rsidRDefault="00BA33C3">
            <w:pPr>
              <w:rPr>
                <w:rFonts w:ascii="Times New Roman" w:eastAsia="Times New Roman" w:hAnsi="Times New Roman" w:cs="Times New Roman"/>
                <w:sz w:val="24"/>
              </w:rPr>
            </w:pPr>
            <w:r w:rsidRPr="00970DB1">
              <w:rPr>
                <w:rFonts w:ascii="Times New Roman" w:hAnsi="Times New Roman"/>
                <w:sz w:val="24"/>
              </w:rPr>
              <w:t>Разходите за лихви по всички финансови пасиви се изчисляват в съответствие с приложение V, част 2, параграф 31 от ИТ решенията на ЕБО и съгласно допълнителните спецификации от приложение V, част 2, параграфи 188, 190 и 194ii от ИТ решенията на ЕБО. Разходите за лихви, произтичащи от операционни събития, не се включват. Вместо това те се включват в компонента на услугите в съответствие с член 314, параграф 5 от Регламент (ЕС) № 575/2013.</w:t>
            </w:r>
          </w:p>
          <w:p w14:paraId="2D079DF5" w14:textId="77777777" w:rsidR="003D0A4B" w:rsidRPr="00970DB1" w:rsidRDefault="003D0A4B">
            <w:pPr>
              <w:rPr>
                <w:rFonts w:ascii="Times New Roman" w:eastAsia="Times New Roman" w:hAnsi="Times New Roman" w:cs="Times New Roman"/>
                <w:sz w:val="24"/>
              </w:rPr>
            </w:pPr>
          </w:p>
          <w:p w14:paraId="08A94531" w14:textId="1EA15404" w:rsidR="003D0A4B" w:rsidRPr="00970DB1" w:rsidRDefault="003D0A4B" w:rsidP="00D136A0">
            <w:pPr>
              <w:rPr>
                <w:rFonts w:ascii="Times New Roman" w:eastAsia="Times New Roman" w:hAnsi="Times New Roman" w:cs="Times New Roman"/>
                <w:sz w:val="24"/>
              </w:rPr>
            </w:pPr>
            <w:r w:rsidRPr="00970DB1">
              <w:rPr>
                <w:rFonts w:ascii="Times New Roman" w:hAnsi="Times New Roman"/>
                <w:sz w:val="24"/>
              </w:rPr>
              <w:t xml:space="preserve">Разходите по отдадени на лизинг активи (оперативни) включват разходите в съответствие с приложение V, част 2, параграфи 314 и 315 от ИТ решенията на ЕБО, свързани с оперативни лизинги, които представляват: i) разходи по промени в справедливата стойност на инвестиционни имоти, които генерират приходи от наеми и се оценяват по модела на справедливата стойност от отдадени на оперативен лизинг активи; и ii) разходи по оперативен лизинг, включително преки </w:t>
            </w:r>
            <w:r w:rsidRPr="00970DB1">
              <w:rPr>
                <w:rFonts w:ascii="Times New Roman" w:hAnsi="Times New Roman"/>
                <w:sz w:val="24"/>
              </w:rPr>
              <w:lastRenderedPageBreak/>
              <w:t>оперативни разходи по инвестиционни имоти, които генерират приходи от наеми. В допълнение тук институциите следва да включват други административни разходи по отдадени на оперативен лизинг активи в съответствие с приложение V, част 2, параграф 208ix от ИТ решенията на ЕБО. Разходите, които се дължат на операционни събития, не се включват. Вместо това те се включват в компонента на услугите в съответствие с член 314, параграф 5 от Регламент (ЕС) № 575/2013.</w:t>
            </w:r>
          </w:p>
          <w:p w14:paraId="61020FEC" w14:textId="77777777" w:rsidR="00376B14" w:rsidRPr="00970DB1" w:rsidRDefault="00376B14">
            <w:pPr>
              <w:rPr>
                <w:rFonts w:ascii="Times New Roman" w:eastAsia="Times New Roman" w:hAnsi="Times New Roman" w:cs="Times New Roman"/>
                <w:sz w:val="24"/>
              </w:rPr>
            </w:pPr>
          </w:p>
          <w:p w14:paraId="5D976FDD" w14:textId="0FB08478" w:rsidR="00376B14" w:rsidRPr="00970DB1" w:rsidRDefault="00376B14">
            <w:pPr>
              <w:rPr>
                <w:rFonts w:ascii="Times New Roman" w:eastAsia="Times New Roman" w:hAnsi="Times New Roman" w:cs="Times New Roman"/>
                <w:sz w:val="24"/>
              </w:rPr>
            </w:pPr>
            <w:r w:rsidRPr="00970DB1">
              <w:rPr>
                <w:rFonts w:ascii="Times New Roman" w:hAnsi="Times New Roman"/>
                <w:sz w:val="24"/>
              </w:rPr>
              <w:t>Амортизацията на активи, предмет на лизинг, съответства на разходите за амортизация, отчетени в съответствие с Международните счетоводни стандарти (МСС) 1, параграфи 102 и 104, но само по отдадени на оперативен лизинг активи, приходите или разходите за които са включени в изчисляването на лихвените приходи и разходи.</w:t>
            </w:r>
          </w:p>
          <w:p w14:paraId="5D82FC67" w14:textId="77777777" w:rsidR="00DA24A2" w:rsidRPr="00970DB1" w:rsidRDefault="00DA24A2">
            <w:pPr>
              <w:rPr>
                <w:rFonts w:ascii="Times New Roman" w:eastAsia="Times New Roman" w:hAnsi="Times New Roman" w:cs="Times New Roman"/>
                <w:sz w:val="24"/>
              </w:rPr>
            </w:pPr>
          </w:p>
          <w:p w14:paraId="1D89DE9C" w14:textId="6D7B59E2" w:rsidR="00DA24A2" w:rsidRPr="00970DB1" w:rsidRDefault="00DA24A2">
            <w:pPr>
              <w:rPr>
                <w:rFonts w:ascii="Times New Roman" w:eastAsia="Times New Roman" w:hAnsi="Times New Roman" w:cs="Times New Roman"/>
                <w:sz w:val="24"/>
              </w:rPr>
            </w:pPr>
            <w:r w:rsidRPr="00970DB1">
              <w:rPr>
                <w:rFonts w:ascii="Times New Roman" w:hAnsi="Times New Roman"/>
                <w:sz w:val="24"/>
              </w:rPr>
              <w:t>Обезценката на активи, предмет на лизинг, съответства на разходите по отдадени на оперативен лизинг активи, които представляват обезценка или възстановяване на обезценки съгласно МСС 36, параграф 126, букви а) и б) на отдадени на оперативен лизинг активи.</w:t>
            </w:r>
          </w:p>
          <w:p w14:paraId="11B36ACB" w14:textId="77777777" w:rsidR="00DA24A2" w:rsidRPr="00970DB1" w:rsidRDefault="00DA24A2">
            <w:pPr>
              <w:rPr>
                <w:rFonts w:ascii="Times New Roman" w:eastAsia="Times New Roman" w:hAnsi="Times New Roman" w:cs="Times New Roman"/>
                <w:sz w:val="24"/>
              </w:rPr>
            </w:pPr>
          </w:p>
          <w:p w14:paraId="0FA351B6" w14:textId="470A5833" w:rsidR="00D740B8" w:rsidRPr="00970DB1" w:rsidRDefault="00DA24A2" w:rsidP="004F34D4">
            <w:pPr>
              <w:rPr>
                <w:rFonts w:ascii="Times New Roman" w:hAnsi="Times New Roman"/>
                <w:sz w:val="24"/>
              </w:rPr>
            </w:pPr>
            <w:r w:rsidRPr="00970DB1">
              <w:rPr>
                <w:rFonts w:ascii="Times New Roman" w:hAnsi="Times New Roman"/>
                <w:sz w:val="24"/>
              </w:rPr>
              <w:t>Загубите от активи, предмет на лизинг, съответства на останалите други оперативни разходи (други оперативни разходи) в съответствие с приложение V, част 2, раздел 29.3, параграф 316 от ИТ решенията на ЕБО, ако са свързани с отдадени на оперативен лизинг активи. Загубите, дължащи се на операционни събития, не се включват. Вместо това те се включват в компонента на услугите в съответствие с член 314, параграф 5 от Регламент (ЕС) № 575/2013.</w:t>
            </w:r>
          </w:p>
        </w:tc>
      </w:tr>
      <w:tr w:rsidR="00D740B8" w:rsidRPr="00970DB1"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1в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970DB1" w:rsidRDefault="00B76736">
            <w:pPr>
              <w:spacing w:before="60" w:after="120"/>
              <w:jc w:val="both"/>
              <w:rPr>
                <w:rStyle w:val="InstructionsTabelleberschrift"/>
                <w:rFonts w:ascii="Times New Roman" w:eastAsia="Times New Roman" w:hAnsi="Times New Roman"/>
                <w:sz w:val="24"/>
                <w:u w:val="none"/>
              </w:rPr>
            </w:pPr>
            <w:r w:rsidRPr="00970DB1">
              <w:rPr>
                <w:rStyle w:val="InstructionsTabelleberschrift"/>
                <w:rFonts w:ascii="Times New Roman" w:hAnsi="Times New Roman"/>
                <w:sz w:val="24"/>
                <w:u w:val="none"/>
              </w:rPr>
              <w:t>Общ размер на активите/Компонент на активите</w:t>
            </w:r>
          </w:p>
          <w:p w14:paraId="15501679" w14:textId="3EB04379" w:rsidR="00D740B8" w:rsidRPr="00970DB1" w:rsidRDefault="00B76736">
            <w:pPr>
              <w:spacing w:before="60" w:after="120"/>
              <w:jc w:val="both"/>
              <w:rPr>
                <w:rFonts w:ascii="Times New Roman" w:eastAsia="Times New Roman" w:hAnsi="Times New Roman" w:cs="Times New Roman"/>
                <w:sz w:val="24"/>
              </w:rPr>
            </w:pPr>
            <w:r w:rsidRPr="00970DB1">
              <w:rPr>
                <w:rFonts w:ascii="Times New Roman" w:hAnsi="Times New Roman"/>
                <w:sz w:val="24"/>
              </w:rPr>
              <w:t>В колона г) се изчислява компонентът на активите в съответствие с член 314, параграф 2 от Регламент (ЕС) № 575/2013.</w:t>
            </w:r>
          </w:p>
          <w:p w14:paraId="65FF56C9" w14:textId="24401D0D" w:rsidR="004E3E86" w:rsidRPr="00970DB1" w:rsidRDefault="003E3201" w:rsidP="00373F9D">
            <w:pPr>
              <w:rPr>
                <w:rFonts w:ascii="Times New Roman" w:hAnsi="Times New Roman"/>
                <w:sz w:val="24"/>
              </w:rPr>
            </w:pPr>
            <w:r w:rsidRPr="00970DB1">
              <w:rPr>
                <w:rFonts w:ascii="Times New Roman" w:hAnsi="Times New Roman"/>
                <w:sz w:val="24"/>
              </w:rPr>
              <w:t>В другите колони общият размер на активите съответства на сбора от брутната балансова стойност на паричните салда при централни банки и други безсрочни депозити, дългови ценни книжа, заеми и аванси, както и балансовата стойност на дериватите (с цел търгуване, икономическо хеджиране и отчитане на хеджирането) и активите, предмет на лизинг (материални и нематериални активи). Тези елементи се отнасят до приложение V към ИТ решенията на ЕБО.</w:t>
            </w:r>
          </w:p>
          <w:p w14:paraId="2655EEC4" w14:textId="6116BB66" w:rsidR="00BC1F18" w:rsidRPr="00970DB1" w:rsidRDefault="00BC1F18" w:rsidP="00BC1F18">
            <w:pPr>
              <w:rPr>
                <w:rFonts w:ascii="Times New Roman" w:hAnsi="Times New Roman"/>
                <w:sz w:val="24"/>
              </w:rPr>
            </w:pPr>
          </w:p>
        </w:tc>
      </w:tr>
      <w:tr w:rsidR="00D740B8" w:rsidRPr="00970DB1"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1г</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970DB1" w:rsidRDefault="00B76736">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Приходи от дивиденти/компонент на дивидентите</w:t>
            </w:r>
          </w:p>
          <w:p w14:paraId="1A066B7B" w14:textId="4AA7538A" w:rsidR="00D740B8" w:rsidRPr="00970DB1" w:rsidRDefault="00B76736" w:rsidP="004E3E86">
            <w:pPr>
              <w:spacing w:before="60" w:after="120"/>
              <w:jc w:val="both"/>
              <w:rPr>
                <w:rFonts w:ascii="Times New Roman" w:eastAsia="Times New Roman" w:hAnsi="Times New Roman" w:cs="Times New Roman"/>
                <w:sz w:val="24"/>
              </w:rPr>
            </w:pPr>
            <w:r w:rsidRPr="00970DB1">
              <w:rPr>
                <w:rFonts w:ascii="Times New Roman" w:hAnsi="Times New Roman"/>
                <w:sz w:val="24"/>
              </w:rPr>
              <w:t>В колона г) се изчислява компонентът на дивидентите в съответствие с член 314, параграф 2 от Регламент (ЕС) № 575/2013.</w:t>
            </w:r>
          </w:p>
          <w:p w14:paraId="3F4B342E" w14:textId="23DB8876" w:rsidR="004E3E86" w:rsidRPr="00970DB1" w:rsidRDefault="004E3E86" w:rsidP="004E3E86">
            <w:pPr>
              <w:rPr>
                <w:rFonts w:ascii="Times New Roman" w:hAnsi="Times New Roman"/>
                <w:sz w:val="24"/>
              </w:rPr>
            </w:pPr>
            <w:r w:rsidRPr="00970DB1">
              <w:rPr>
                <w:rFonts w:ascii="Times New Roman" w:hAnsi="Times New Roman"/>
                <w:sz w:val="24"/>
              </w:rPr>
              <w:t>Институциите отчитат приходите от дивиденти в съответствие с приложение V, част 2, параграфи 40—42 от ИТ решенията на ЕБО.</w:t>
            </w:r>
          </w:p>
        </w:tc>
      </w:tr>
      <w:tr w:rsidR="003826D3" w:rsidRPr="00970DB1"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970DB1" w:rsidRDefault="003826D3" w:rsidP="003826D3">
            <w:pPr>
              <w:spacing w:before="60" w:after="120"/>
              <w:jc w:val="both"/>
              <w:rPr>
                <w:rFonts w:ascii="Times New Roman" w:eastAsia="Times New Roman" w:hAnsi="Times New Roman" w:cs="Times New Roman"/>
                <w:b/>
                <w:sz w:val="24"/>
              </w:rPr>
            </w:pPr>
            <w:r w:rsidRPr="00970DB1">
              <w:rPr>
                <w:rFonts w:ascii="Times New Roman" w:hAnsi="Times New Roman"/>
                <w:b/>
                <w:sz w:val="24"/>
              </w:rPr>
              <w:t>Компонент на услугите (SC)</w:t>
            </w:r>
          </w:p>
          <w:p w14:paraId="2D48B659" w14:textId="0264DFE4" w:rsidR="00080F37" w:rsidRPr="00970DB1" w:rsidRDefault="005E7C4C"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Компонентът на услугите (SC) се изчислява в съответствие с член 314, параграф 5 от Регламент (ЕС) № 575/2013.</w:t>
            </w:r>
          </w:p>
          <w:p w14:paraId="2EFCFDAF" w14:textId="3F07E77F" w:rsidR="003826D3" w:rsidRPr="00970DB1" w:rsidRDefault="0094124B" w:rsidP="003826D3">
            <w:pPr>
              <w:spacing w:before="60" w:after="120"/>
              <w:jc w:val="both"/>
              <w:rPr>
                <w:rStyle w:val="InstructionsTabelleberschrift"/>
                <w:rFonts w:ascii="Times New Roman" w:eastAsia="Times New Roman" w:hAnsi="Times New Roman"/>
                <w:bCs w:val="0"/>
                <w:sz w:val="24"/>
              </w:rPr>
            </w:pPr>
            <w:r w:rsidRPr="00970DB1">
              <w:rPr>
                <w:rFonts w:ascii="Times New Roman" w:hAnsi="Times New Roman"/>
                <w:sz w:val="24"/>
              </w:rPr>
              <w:t xml:space="preserve">Когато дадена институция е обект на дерогацията, посочена в член 314, параграф 4 от Регламент (ЕС) № 575/2013, институцията не включва </w:t>
            </w:r>
            <w:r w:rsidRPr="00970DB1">
              <w:rPr>
                <w:rFonts w:ascii="Times New Roman" w:hAnsi="Times New Roman"/>
                <w:sz w:val="24"/>
              </w:rPr>
              <w:lastRenderedPageBreak/>
              <w:t xml:space="preserve">никакви стойности от дейностите по банкиране на дребно и търговско банкиране. </w:t>
            </w:r>
          </w:p>
        </w:tc>
      </w:tr>
      <w:tr w:rsidR="003826D3" w:rsidRPr="00970DB1"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970DB1" w:rsidRDefault="003826D3" w:rsidP="003826D3">
            <w:pPr>
              <w:spacing w:before="60" w:after="120"/>
              <w:jc w:val="both"/>
              <w:rPr>
                <w:rFonts w:ascii="Times New Roman" w:eastAsia="Times New Roman" w:hAnsi="Times New Roman" w:cs="Times New Roman"/>
                <w:b/>
                <w:sz w:val="24"/>
              </w:rPr>
            </w:pPr>
            <w:r w:rsidRPr="00970DB1">
              <w:rPr>
                <w:rFonts w:ascii="Times New Roman" w:hAnsi="Times New Roman"/>
                <w:b/>
                <w:sz w:val="24"/>
              </w:rPr>
              <w:t>Доходи от такси и комисиони</w:t>
            </w:r>
          </w:p>
          <w:p w14:paraId="1394D6AF" w14:textId="06AD3617" w:rsidR="003826D3" w:rsidRPr="00970DB1" w:rsidRDefault="009816D6"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Доходите от такси и комисиони, посочени в приложение V, част 2, точки 281—284 от ИТ решенията на ЕБО и изчислени в съответствие с член 314, параграф 5 от Регламент (ЕС) № 575/2013.</w:t>
            </w:r>
          </w:p>
          <w:p w14:paraId="0EA5E8EE" w14:textId="07382D3A" w:rsidR="008D318E" w:rsidRPr="00970DB1" w:rsidRDefault="008D318E"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Приходите от спомагателни дейности, например ИТ дейности, необходими за изпълнението на финансова услуга, също следва да бъдат включени в този елемент в съответствие с член 7 от РТС, който предстои да бъде разработен съгласно член 314, параграф 9 от Регламент (ЕС) № 575/2013.</w:t>
            </w:r>
          </w:p>
          <w:p w14:paraId="388F841F" w14:textId="1B0267DB" w:rsidR="00D91B18" w:rsidRPr="00970DB1" w:rsidRDefault="007D3710" w:rsidP="003826D3">
            <w:pPr>
              <w:spacing w:before="6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Частта от доходите от такси и комисиони, получени от институции, които са членове на същата институционална защитна схема, в съответствие с член 314, параграф 5 от Регламент (ЕС) № 575/2013 се изключва.</w:t>
            </w:r>
          </w:p>
        </w:tc>
      </w:tr>
      <w:tr w:rsidR="003826D3" w:rsidRPr="00970DB1"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2б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970DB1" w:rsidRDefault="003826D3" w:rsidP="003826D3">
            <w:pPr>
              <w:spacing w:before="60" w:after="120"/>
              <w:jc w:val="both"/>
              <w:rPr>
                <w:rFonts w:ascii="Times New Roman" w:eastAsia="Times New Roman" w:hAnsi="Times New Roman" w:cs="Times New Roman"/>
                <w:b/>
                <w:sz w:val="24"/>
              </w:rPr>
            </w:pPr>
            <w:r w:rsidRPr="00970DB1">
              <w:rPr>
                <w:rFonts w:ascii="Times New Roman" w:hAnsi="Times New Roman"/>
                <w:b/>
                <w:sz w:val="24"/>
              </w:rPr>
              <w:t>Разходи за такси и комисиони</w:t>
            </w:r>
          </w:p>
          <w:p w14:paraId="241530E4" w14:textId="72E685E0" w:rsidR="003826D3" w:rsidRPr="00970DB1" w:rsidRDefault="009816D6"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Разходи за такси и комисиони в съответствие с приложение V, част 2, параграфи 281—284 от ИТ решенията на ЕБО и изчислени в съответствие с член 314, параграф 5 от Регламент (ЕС) № 575/2013.</w:t>
            </w:r>
          </w:p>
          <w:p w14:paraId="03E34B08" w14:textId="2D67624D" w:rsidR="00126683" w:rsidRPr="00970DB1" w:rsidRDefault="00126683"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В този ред следва да се оповестяват платените възнаграждения на външни изпълнители за предоставяне на финансови услуги, представени в списъка на дейностите, посочен в член 8 от РТС, който предстои да бъде разработен съгласно член 314, параграф 9 от Регламент (ЕС) № 575/2013, в случай че са включени в административните разходи съгласно приложената счетоводна рамка в съответствие с член 16 от посочения РТС. Разходите за спомагателни дейности, например ИТ дейности, необходими за изпълнение на финансова услуга, също следва да бъдат включени в този елемент.</w:t>
            </w:r>
          </w:p>
          <w:p w14:paraId="37B7C759" w14:textId="401F429B" w:rsidR="00A87543" w:rsidRPr="00970DB1" w:rsidRDefault="00A87543" w:rsidP="003826D3">
            <w:pPr>
              <w:spacing w:before="60" w:after="120"/>
              <w:jc w:val="both"/>
              <w:rPr>
                <w:rStyle w:val="InstructionsTabelleberschrift"/>
                <w:rFonts w:ascii="Times New Roman" w:eastAsia="Times New Roman" w:hAnsi="Times New Roman"/>
                <w:b w:val="0"/>
                <w:sz w:val="24"/>
              </w:rPr>
            </w:pPr>
            <w:r w:rsidRPr="00970DB1">
              <w:rPr>
                <w:rFonts w:ascii="Times New Roman" w:hAnsi="Times New Roman"/>
                <w:sz w:val="24"/>
              </w:rPr>
              <w:t>Частта от разходите за такси и комисиони, платени на институции, които са членове на същата институционална защитна схема, в съответствие с член 314, параграф 5 от Регламент (ЕС) № 575/2013 се изключва.</w:t>
            </w:r>
          </w:p>
        </w:tc>
      </w:tr>
      <w:tr w:rsidR="003826D3" w:rsidRPr="00970DB1"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2в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970DB1" w:rsidRDefault="003826D3" w:rsidP="003826D3">
            <w:pPr>
              <w:spacing w:before="60" w:after="120"/>
              <w:jc w:val="both"/>
              <w:rPr>
                <w:rStyle w:val="InstructionsTabelleberschrift"/>
                <w:rFonts w:ascii="Times New Roman" w:eastAsia="Times New Roman" w:hAnsi="Times New Roman"/>
                <w:sz w:val="24"/>
                <w:u w:val="none"/>
              </w:rPr>
            </w:pPr>
            <w:r w:rsidRPr="00970DB1">
              <w:rPr>
                <w:rStyle w:val="InstructionsTabelleberschrift"/>
                <w:rFonts w:ascii="Times New Roman" w:hAnsi="Times New Roman"/>
                <w:sz w:val="24"/>
                <w:u w:val="none"/>
              </w:rPr>
              <w:t>Други оперативни приходи</w:t>
            </w:r>
          </w:p>
          <w:p w14:paraId="035A399D" w14:textId="7232F3EB" w:rsidR="00671F1C" w:rsidRPr="00970DB1" w:rsidRDefault="009816D6"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Други оперативни приходи, включващи печалби от нетекущи активи и групи за освобождаване, класифицирани като държани за продажба, които не отговарят на критериите за преустановени дейности (в случай на загуби стойностите се приемат за нулеви) в съответствие с приложение V, част 2, параграф 55 от ИТ решенията на ЕБО, и други оперативни приходи, както е посочено в приложение V, част 2, параграфи 314 и 316 от ИТ решенията на ЕБО, но като се изключват приходите от оперативни лизинги и всички елементи, определени съгласно член 314, параграф 7 от Регламент (ЕС) 2021/451.</w:t>
            </w:r>
          </w:p>
          <w:p w14:paraId="39451B35" w14:textId="17278A47" w:rsidR="00A471E8" w:rsidRPr="00970DB1" w:rsidRDefault="007863F3"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Възстановяването на административни разходи не следва да се разглежда в съответствие с член 5 от РТС относно компонентите на бизнес индикатора, които предстои да бъдат разработени съгласно член 314, параграф 9 от Регламент (ЕС) № 575/2013.</w:t>
            </w:r>
          </w:p>
          <w:p w14:paraId="0B35E56E" w14:textId="27C4774F" w:rsidR="00695D35" w:rsidRPr="00970DB1" w:rsidRDefault="00695D35" w:rsidP="003826D3">
            <w:pPr>
              <w:spacing w:before="60" w:after="120"/>
              <w:jc w:val="both"/>
              <w:rPr>
                <w:rFonts w:ascii="Times New Roman" w:eastAsia="Times New Roman" w:hAnsi="Times New Roman" w:cs="Times New Roman"/>
                <w:sz w:val="24"/>
              </w:rPr>
            </w:pPr>
            <w:r w:rsidRPr="00970DB1">
              <w:rPr>
                <w:rFonts w:ascii="Times New Roman" w:hAnsi="Times New Roman"/>
                <w:sz w:val="24"/>
              </w:rPr>
              <w:lastRenderedPageBreak/>
              <w:t>Размерът на другите оперативни приходи, получени от институции, които са членове на същата институционална защитна схема, в съответствие с член 314, параграф 5 от Регламент (ЕС) № 575/2013 се изключва.</w:t>
            </w:r>
          </w:p>
          <w:p w14:paraId="685D1BC1" w14:textId="04DD0137" w:rsidR="00695D35" w:rsidRPr="00970DB1" w:rsidRDefault="00695D35" w:rsidP="003826D3">
            <w:pPr>
              <w:spacing w:before="60" w:after="120"/>
              <w:jc w:val="both"/>
              <w:rPr>
                <w:rStyle w:val="InstructionsTabelleberschrift"/>
                <w:rFonts w:ascii="Times New Roman" w:eastAsia="Times New Roman" w:hAnsi="Times New Roman"/>
                <w:b w:val="0"/>
                <w:bCs w:val="0"/>
                <w:sz w:val="24"/>
                <w:u w:val="none"/>
              </w:rPr>
            </w:pPr>
            <w:r w:rsidRPr="00970DB1">
              <w:rPr>
                <w:rFonts w:ascii="Times New Roman" w:hAnsi="Times New Roman"/>
                <w:sz w:val="24"/>
              </w:rPr>
              <w:t>Сумата по този ред се изчислява в съответствие с член 314, параграф 5 от Регламент (ЕС) № 575/2013.</w:t>
            </w:r>
          </w:p>
        </w:tc>
      </w:tr>
      <w:tr w:rsidR="003826D3" w:rsidRPr="00970DB1"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2г</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970DB1" w:rsidRDefault="003826D3" w:rsidP="003826D3">
            <w:pPr>
              <w:spacing w:before="60" w:after="120"/>
              <w:jc w:val="both"/>
              <w:rPr>
                <w:rStyle w:val="InstructionsTabelleberschrift"/>
                <w:rFonts w:ascii="Times New Roman" w:eastAsia="Times New Roman" w:hAnsi="Times New Roman"/>
                <w:sz w:val="24"/>
                <w:u w:val="none"/>
              </w:rPr>
            </w:pPr>
            <w:r w:rsidRPr="00970DB1">
              <w:rPr>
                <w:rStyle w:val="InstructionsTabelleberschrift"/>
                <w:rFonts w:ascii="Times New Roman" w:hAnsi="Times New Roman"/>
                <w:sz w:val="24"/>
                <w:u w:val="none"/>
              </w:rPr>
              <w:t>Други оперативни разходи</w:t>
            </w:r>
          </w:p>
          <w:p w14:paraId="13FCDFA5" w14:textId="269315A4" w:rsidR="00B722D0" w:rsidRPr="00970DB1" w:rsidRDefault="009816D6" w:rsidP="003826D3">
            <w:pPr>
              <w:spacing w:before="60" w:after="120"/>
              <w:jc w:val="both"/>
              <w:rPr>
                <w:rFonts w:ascii="Times New Roman" w:eastAsia="Times New Roman" w:hAnsi="Times New Roman" w:cs="Times New Roman"/>
                <w:sz w:val="24"/>
              </w:rPr>
            </w:pPr>
            <w:r w:rsidRPr="00970DB1">
              <w:rPr>
                <w:rFonts w:ascii="Times New Roman" w:hAnsi="Times New Roman"/>
                <w:sz w:val="24"/>
              </w:rPr>
              <w:t>Други оперативни разходи, включващи:</w:t>
            </w:r>
          </w:p>
          <w:p w14:paraId="0E760CEE" w14:textId="74A56BE8" w:rsidR="00643568" w:rsidRPr="00970DB1" w:rsidRDefault="004D0A0E" w:rsidP="002A26E9">
            <w:pPr>
              <w:pStyle w:val="ListParagraph"/>
              <w:numPr>
                <w:ilvl w:val="0"/>
                <w:numId w:val="9"/>
              </w:numPr>
              <w:spacing w:before="60" w:after="120"/>
              <w:jc w:val="both"/>
              <w:rPr>
                <w:rFonts w:ascii="Times New Roman" w:eastAsia="Times New Roman" w:hAnsi="Times New Roman"/>
                <w:sz w:val="24"/>
              </w:rPr>
            </w:pPr>
            <w:r w:rsidRPr="00970DB1">
              <w:rPr>
                <w:rFonts w:ascii="Times New Roman" w:hAnsi="Times New Roman"/>
                <w:sz w:val="24"/>
              </w:rPr>
              <w:t>Загуби от нетекущи активи и групи за освобождаване, класифицирани като държани за продажба, които не отговарят на критериите за преустановени дейности: загуби, различни от тези, дължащи се на операционни събития, от нетекущи активи и групи за освобождаване, класифицирани като държани за продажба, които не отговарят на критериите за преустановени дейности съгласно приложение V, част 2, параграф 55 от ИТ решенията на ЕБО. Отчитат се само загубите. В случай на печалба стойността се третира като нула за целите на този ред.</w:t>
            </w:r>
          </w:p>
          <w:p w14:paraId="0334035E" w14:textId="19D6E763" w:rsidR="00EE7608" w:rsidRPr="00970DB1" w:rsidRDefault="004D0A0E" w:rsidP="00EE7608">
            <w:pPr>
              <w:pStyle w:val="ListParagraph"/>
              <w:numPr>
                <w:ilvl w:val="0"/>
                <w:numId w:val="9"/>
              </w:numPr>
              <w:spacing w:before="60" w:after="120"/>
              <w:jc w:val="both"/>
              <w:rPr>
                <w:rFonts w:ascii="Times New Roman" w:eastAsia="Times New Roman" w:hAnsi="Times New Roman"/>
                <w:sz w:val="24"/>
              </w:rPr>
            </w:pPr>
            <w:r w:rsidRPr="00970DB1">
              <w:rPr>
                <w:rFonts w:ascii="Times New Roman" w:hAnsi="Times New Roman"/>
                <w:sz w:val="24"/>
              </w:rPr>
              <w:t>Общият размер на загубите, разходите, провизиите и другите финансови въздействия, дължащи се на операционни събития: сборът от всички загуби, разходи, провизии и други финансови въздействия, отнасящи се до операционни събития, както са отчетени в ред 0080 на образец C.16.03, включен в приложение I към ИТ решенията на ЕБО.</w:t>
            </w:r>
          </w:p>
          <w:p w14:paraId="2C93E8CD" w14:textId="64776E12" w:rsidR="004D0A0E" w:rsidRPr="00970DB1" w:rsidRDefault="00A37C45" w:rsidP="00EE7608">
            <w:pPr>
              <w:pStyle w:val="ListParagraph"/>
              <w:numPr>
                <w:ilvl w:val="0"/>
                <w:numId w:val="9"/>
              </w:numPr>
              <w:spacing w:before="60" w:after="120"/>
              <w:jc w:val="both"/>
              <w:rPr>
                <w:rFonts w:ascii="Times New Roman" w:eastAsia="Times New Roman" w:hAnsi="Times New Roman"/>
                <w:sz w:val="24"/>
              </w:rPr>
            </w:pPr>
            <w:r w:rsidRPr="00970DB1">
              <w:rPr>
                <w:rFonts w:ascii="Times New Roman" w:hAnsi="Times New Roman"/>
                <w:sz w:val="24"/>
              </w:rPr>
              <w:t>Други оперативни разходи, различни от тези, дължащи се на операционни събития, в съответствие с приложение V, част 2, параграфи 314 и 316 от ИТ решенията на ЕБО, които представляват:</w:t>
            </w:r>
          </w:p>
          <w:p w14:paraId="01D56412" w14:textId="77777777" w:rsidR="004A5BBA" w:rsidRPr="00970DB1" w:rsidRDefault="004A5BBA" w:rsidP="004A5BBA">
            <w:pPr>
              <w:pStyle w:val="ListParagraph"/>
              <w:numPr>
                <w:ilvl w:val="1"/>
                <w:numId w:val="10"/>
              </w:numPr>
              <w:spacing w:before="60" w:after="120"/>
              <w:jc w:val="both"/>
              <w:rPr>
                <w:rFonts w:ascii="Times New Roman" w:eastAsia="Times New Roman" w:hAnsi="Times New Roman"/>
                <w:sz w:val="24"/>
              </w:rPr>
            </w:pPr>
            <w:r w:rsidRPr="00970DB1">
              <w:rPr>
                <w:rFonts w:ascii="Times New Roman" w:hAnsi="Times New Roman"/>
                <w:sz w:val="24"/>
              </w:rPr>
              <w:t>разходи по промени в справедливата стойност на материални активи, оценени по модела на справедливата стойност, с изключение на разходи по промени в справедливата стойност на инвестиционни имоти, които генерират приходи от наеми и се оценяват по модела на справедливата стойност от отдадени на оперативен лизинг активи;</w:t>
            </w:r>
          </w:p>
          <w:p w14:paraId="726CB5AB" w14:textId="426E3DFA" w:rsidR="004A5BBA" w:rsidRPr="00970DB1"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970DB1" w:rsidRDefault="004A5BBA" w:rsidP="004A5BBA">
            <w:pPr>
              <w:pStyle w:val="ListParagraph"/>
              <w:numPr>
                <w:ilvl w:val="1"/>
                <w:numId w:val="10"/>
              </w:numPr>
              <w:spacing w:before="60" w:after="120"/>
              <w:jc w:val="both"/>
              <w:rPr>
                <w:rFonts w:ascii="Times New Roman" w:eastAsia="Times New Roman" w:hAnsi="Times New Roman"/>
                <w:sz w:val="24"/>
              </w:rPr>
            </w:pPr>
            <w:r w:rsidRPr="00970DB1">
              <w:rPr>
                <w:rFonts w:ascii="Times New Roman" w:hAnsi="Times New Roman"/>
                <w:sz w:val="24"/>
              </w:rPr>
              <w:t>останали други оперативни разходи (други оперативни разходи) в съответствие с приложение V, част 2, параграфи 314 и 316 от ИТ решенията на ЕБО, ако те не са свързани с отдадени на лизинг активи.</w:t>
            </w:r>
          </w:p>
          <w:p w14:paraId="6CDC5FBE" w14:textId="54C68FB7" w:rsidR="004A3C86" w:rsidRPr="00970DB1" w:rsidRDefault="004A3C86" w:rsidP="00EE7608">
            <w:pPr>
              <w:spacing w:before="6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Размерът на другите оперативни разходи, изплатени на институциите, които са членове на една и съща институционална защитна схема, в съответствие с член 314, параграф 5 от Регламент (ЕС) № 575/2013 се изключва.</w:t>
            </w:r>
          </w:p>
          <w:p w14:paraId="6F1C30F0" w14:textId="3B05E985" w:rsidR="003826D3" w:rsidRPr="00970DB1" w:rsidRDefault="00DE3384" w:rsidP="003826D3">
            <w:pPr>
              <w:spacing w:before="60" w:after="120"/>
              <w:jc w:val="both"/>
              <w:rPr>
                <w:rStyle w:val="InstructionsTabelleberschrift"/>
                <w:rFonts w:ascii="Times New Roman" w:eastAsia="Times New Roman" w:hAnsi="Times New Roman"/>
                <w:sz w:val="24"/>
              </w:rPr>
            </w:pPr>
            <w:r w:rsidRPr="00970DB1">
              <w:rPr>
                <w:rFonts w:ascii="Times New Roman" w:hAnsi="Times New Roman"/>
                <w:sz w:val="24"/>
              </w:rPr>
              <w:t>Сумата по този ред се изчислява в съответствие с член 314, параграф 5 от Регламент (ЕС) № 575/2013.</w:t>
            </w:r>
          </w:p>
        </w:tc>
      </w:tr>
      <w:tr w:rsidR="003826D3" w:rsidRPr="00970DB1"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Финансов компонент (FC)</w:t>
            </w:r>
          </w:p>
          <w:p w14:paraId="1C2CD9AE" w14:textId="16B8F7FC" w:rsidR="003826D3" w:rsidRPr="00970DB1" w:rsidRDefault="00DE3384" w:rsidP="003826D3">
            <w:pPr>
              <w:spacing w:before="6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 xml:space="preserve">Финансовият компонент (FC) се изчислява в съответствие с член 314, параграф 6 от Регламент (ЕС) № 575/2013. </w:t>
            </w:r>
            <w:r w:rsidRPr="00970DB1">
              <w:rPr>
                <w:rFonts w:ascii="Times New Roman" w:hAnsi="Times New Roman"/>
                <w:sz w:val="24"/>
              </w:rPr>
              <w:t>Когато дадена институция е обект на дерогацията, посочена в член 314, параграф 4 от Регламент (ЕС) № 575/2013, институцията не включва никакви стойности от дейностите по банкиране на дребно и търговско банкиране.</w:t>
            </w:r>
          </w:p>
        </w:tc>
      </w:tr>
      <w:tr w:rsidR="003826D3" w:rsidRPr="00970DB1"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Нетна печалба или загуба, приложима към търговския портфейл (TB)</w:t>
            </w:r>
          </w:p>
          <w:p w14:paraId="4E177CA3" w14:textId="4C472892" w:rsidR="003826D3" w:rsidRPr="00970DB1" w:rsidRDefault="003826D3" w:rsidP="003826D3">
            <w:pPr>
              <w:spacing w:before="60" w:after="120"/>
              <w:jc w:val="both"/>
              <w:rPr>
                <w:rStyle w:val="InstructionsTabelleberschrift"/>
                <w:rFonts w:ascii="Times New Roman" w:hAnsi="Times New Roman"/>
                <w:b w:val="0"/>
                <w:bCs w:val="0"/>
                <w:sz w:val="24"/>
                <w:u w:val="none"/>
              </w:rPr>
            </w:pPr>
            <w:r w:rsidRPr="00970DB1">
              <w:rPr>
                <w:rStyle w:val="InstructionsTabelleberschrift"/>
                <w:rFonts w:ascii="Times New Roman" w:hAnsi="Times New Roman"/>
                <w:b w:val="0"/>
                <w:sz w:val="24"/>
                <w:u w:val="none"/>
              </w:rPr>
              <w:t>Нетната печалба или загуба, приложима към търговския портфейл, се изчислява като сбора от:</w:t>
            </w:r>
          </w:p>
          <w:p w14:paraId="6324889B" w14:textId="380EDA28" w:rsidR="008A379C" w:rsidRPr="00970DB1" w:rsidRDefault="008A379C" w:rsidP="00232265">
            <w:pPr>
              <w:pStyle w:val="Style1"/>
              <w:rPr>
                <w:rStyle w:val="InstructionsTabelleberschrift"/>
                <w:rFonts w:ascii="Times New Roman" w:hAnsi="Times New Roman"/>
                <w:b w:val="0"/>
                <w:bCs w:val="0"/>
                <w:sz w:val="24"/>
                <w:u w:val="none"/>
              </w:rPr>
            </w:pPr>
            <w:r w:rsidRPr="00970DB1">
              <w:rPr>
                <w:u w:val="single"/>
              </w:rPr>
              <w:t>Нетната печалба или (-) загуба от финансови активи и пасиви, държани за търгуване</w:t>
            </w:r>
            <w:r w:rsidRPr="00970DB1">
              <w:t>: печалбата или (-) загубата от финансови активи и пасиви, държани за търгуване, в съответствие с приложение V, част 2, параграфи 43 и 46 от ИТ решенията на ЕБО или от търгуеми финансови активи и пасиви в съответствие с член 27 Вертикална форма, параграф 6 от Директива 86/635/ЕИО на Съвета („Директивата за отчитане на банките (ДОБ);</w:t>
            </w:r>
          </w:p>
          <w:p w14:paraId="0B998657" w14:textId="654F8692" w:rsidR="008A379C" w:rsidRPr="00970DB1" w:rsidRDefault="008A379C" w:rsidP="00232265">
            <w:pPr>
              <w:pStyle w:val="Style1"/>
              <w:rPr>
                <w:rStyle w:val="InstructionsTabelleberschrift"/>
                <w:rFonts w:ascii="Times New Roman" w:hAnsi="Times New Roman"/>
                <w:b w:val="0"/>
                <w:bCs w:val="0"/>
                <w:sz w:val="24"/>
                <w:u w:val="none"/>
              </w:rPr>
            </w:pPr>
            <w:r w:rsidRPr="00970DB1">
              <w:rPr>
                <w:u w:val="single"/>
              </w:rPr>
              <w:t>Нетната печалба или (-) загуба от отчитане на хеджиране</w:t>
            </w:r>
            <w:r w:rsidRPr="00970DB1">
              <w:t>: нетната печалба или (-) загуба от счетоводното отчитане на хеджиране по компонента на търговския портфейл само при такива изключителни обстоятелства, при които отчитането на хеджирането, изчислено в съответствие с приложение V, част 2, параграф 47 от ИТ решенията на ЕБО или в съответствие с член 8, параграф 1, буква а), параграфи 6 и 8 от Директивата за счетоводството, се използва за хеджиране на финансови активи и пасиви, държани за търгуване, или на търгуеми финансови активи и пасиви; и</w:t>
            </w:r>
          </w:p>
          <w:p w14:paraId="1BC37DE4" w14:textId="36EA6A27" w:rsidR="008A379C" w:rsidRPr="00970DB1" w:rsidRDefault="008A379C" w:rsidP="00232265">
            <w:pPr>
              <w:pStyle w:val="Style1"/>
              <w:rPr>
                <w:rStyle w:val="InstructionsTabelleberschrift"/>
                <w:rFonts w:ascii="Times New Roman" w:hAnsi="Times New Roman"/>
                <w:b w:val="0"/>
                <w:bCs w:val="0"/>
                <w:sz w:val="24"/>
                <w:u w:val="none"/>
              </w:rPr>
            </w:pPr>
            <w:r w:rsidRPr="00970DB1">
              <w:rPr>
                <w:u w:val="single"/>
              </w:rPr>
              <w:t>Нетните курсови разлики [печалба или (-) загуба], свързани с търговския портфейл</w:t>
            </w:r>
            <w:r w:rsidRPr="00970DB1">
              <w:t>: нетните курсови разлики [печалба или (-) загуба] само когато тези разлики, изчислени в съответствие с МСС 21.28, точка 52, буква а) или в съответствие с член 39 от ДОБ, произтичат от финансови активи и пасиви, държани за търгуване, или от търгуеми финансови активи и пасиви.</w:t>
            </w:r>
          </w:p>
          <w:p w14:paraId="761552C0" w14:textId="5BF82331" w:rsidR="001E5563" w:rsidRPr="00970DB1" w:rsidRDefault="001E5563" w:rsidP="00C65626">
            <w:pPr>
              <w:pStyle w:val="paragraph"/>
              <w:textAlignment w:val="baseline"/>
              <w:rPr>
                <w:rStyle w:val="InstructionsTabelleberschrift"/>
                <w:rFonts w:ascii="Segoe UI" w:hAnsi="Segoe UI" w:cs="Segoe UI"/>
              </w:rPr>
            </w:pPr>
            <w:r w:rsidRPr="00970DB1">
              <w:t>Оповестените стойности ще отразяват счетоводните стойности, определени чрез използване на счетоводната граница или пруденциалната граница за идентифициране на елементите от търговския портфейл и банковия портфейл за всяка от последните три финансови години в съответствие с член 314, параграф 6 от Регламент (ЕС) № 575/2013.</w:t>
            </w:r>
          </w:p>
        </w:tc>
      </w:tr>
      <w:tr w:rsidR="003826D3" w:rsidRPr="00970DB1"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3б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Нетна печалба или загуба, приложима към банковия портфейл (BB)</w:t>
            </w:r>
          </w:p>
          <w:p w14:paraId="16F13570" w14:textId="0B537F1A" w:rsidR="003826D3" w:rsidRPr="00970DB1" w:rsidRDefault="003826D3" w:rsidP="003826D3">
            <w:pPr>
              <w:spacing w:before="6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Нетната печалба или загуба, приложима към банковия портфейл, се изчислява като сбора от:</w:t>
            </w:r>
          </w:p>
          <w:p w14:paraId="4816B36A" w14:textId="59F72F36" w:rsidR="008F0781" w:rsidRPr="00970DB1" w:rsidRDefault="008F0781" w:rsidP="00232265">
            <w:pPr>
              <w:pStyle w:val="Style1"/>
            </w:pPr>
            <w:r w:rsidRPr="00970DB1">
              <w:rPr>
                <w:u w:val="single"/>
              </w:rPr>
              <w:t>Нетната печалба или (-) загуба от отписването на финансови активи и пасиви, които не се отчитат по справедлива стойност в печалбата или загубата</w:t>
            </w:r>
            <w:r w:rsidRPr="00970DB1">
              <w:t xml:space="preserve">: нетната печалба или (-) загуба от </w:t>
            </w:r>
            <w:r w:rsidRPr="00970DB1">
              <w:lastRenderedPageBreak/>
              <w:t>отписването на финансови активи и пасиви, които не се отчитат по справедлива стойност в печалбата или загубата, в съответствие с приложение V, част 2, параграф 45 към ИТ решенията на ЕБО или с член 27 Вертикална форма, параграф 6 от ДОБ;</w:t>
            </w:r>
          </w:p>
          <w:p w14:paraId="29EDCF43" w14:textId="7ADB0AAC" w:rsidR="008F0781" w:rsidRPr="00970DB1" w:rsidRDefault="008F0781" w:rsidP="00232265">
            <w:pPr>
              <w:pStyle w:val="Style1"/>
            </w:pPr>
            <w:r w:rsidRPr="00970DB1">
              <w:rPr>
                <w:u w:val="single"/>
              </w:rPr>
              <w:t>Нетната печалба или (-) загуба от нетъргуеми финансови активи, задължително по справедлива стойност в печалбата или загубата</w:t>
            </w:r>
            <w:r w:rsidRPr="00970DB1">
              <w:t>: отчитат се нетната печалба или (-) загуба от нетъргуеми финансови активи, задължително по справедлива стойност в печалбата или загубата в съответствие с приложение V, част 2, параграф 46 от ИТ решенията на ЕБО;</w:t>
            </w:r>
          </w:p>
          <w:p w14:paraId="23350A71" w14:textId="40356371" w:rsidR="008F0781" w:rsidRPr="00970DB1" w:rsidRDefault="008F0781" w:rsidP="00232265">
            <w:pPr>
              <w:pStyle w:val="Style1"/>
            </w:pPr>
            <w:r w:rsidRPr="00970DB1">
              <w:rPr>
                <w:u w:val="single"/>
              </w:rPr>
              <w:t>Нетната печалба или (-) загуба от финансови активи и пасиви, отчитани по справедлива стойност в печалбата или загубата</w:t>
            </w:r>
            <w:r w:rsidRPr="00970DB1">
              <w:t>: нетната печалба или (-) загуба от финансови активи и пасиви, отчитани по справедлива стойност в печалбата или загубата, в съответствие с приложение V, част 2, параграф 44 от ИТ решенията на ЕБО;</w:t>
            </w:r>
          </w:p>
          <w:p w14:paraId="44DE675E" w14:textId="5B34C2BC" w:rsidR="008F0781" w:rsidRPr="00970DB1" w:rsidRDefault="008F0781" w:rsidP="00232265">
            <w:pPr>
              <w:pStyle w:val="Style1"/>
            </w:pPr>
            <w:r w:rsidRPr="00970DB1">
              <w:rPr>
                <w:u w:val="single"/>
              </w:rPr>
              <w:t>Нетната печалба или (-) загуба от отчитане на хеджиране, свързана с търговския портфейл</w:t>
            </w:r>
            <w:r w:rsidRPr="00970DB1">
              <w:t>: нетната печалба или (-) загуба от отчитане на хеджирането в съответствие с приложение V, част 2, параграф 47 от ИТ решенията на ЕБО или в съответствие с член 8, параграф 1, буква а), параграфи 6 и 8 от Директивата за счетоводството, когато тези печалби или загуби произтичат от финансови активи и пасиви, държани в банковия портфейл; и</w:t>
            </w:r>
          </w:p>
          <w:p w14:paraId="23306495" w14:textId="6A259674" w:rsidR="008F0781" w:rsidRPr="00970DB1" w:rsidRDefault="008F0781" w:rsidP="00232265">
            <w:pPr>
              <w:pStyle w:val="Style1"/>
            </w:pPr>
            <w:r w:rsidRPr="00970DB1">
              <w:rPr>
                <w:u w:val="single"/>
              </w:rPr>
              <w:t>Нетните курсови разлики [печалба или (-) загуба], свързани с банковия портфейл</w:t>
            </w:r>
            <w:r w:rsidRPr="00970DB1">
              <w:t>: нетните курсови разлики [печалба или (-) загуба] в съответствие с МСС 21.28, точка 52, буква а) или в съответствие с член 39 от ДОБ, когато тези разлики произтичат от финансови активи и пасиви, държани в банковия портфейл.</w:t>
            </w:r>
          </w:p>
          <w:p w14:paraId="3E9BB5BF" w14:textId="1D3FC8A9" w:rsidR="00F26A2D" w:rsidRPr="00970DB1" w:rsidRDefault="001E5563" w:rsidP="00F26A2D">
            <w:pPr>
              <w:spacing w:before="60" w:after="120"/>
              <w:jc w:val="both"/>
              <w:rPr>
                <w:rStyle w:val="InstructionsTabelleberschrift"/>
                <w:rFonts w:asciiTheme="majorBidi" w:hAnsiTheme="majorBidi" w:cstheme="majorBidi"/>
                <w:sz w:val="24"/>
                <w:u w:val="none"/>
              </w:rPr>
            </w:pPr>
            <w:r w:rsidRPr="00970DB1">
              <w:rPr>
                <w:rFonts w:asciiTheme="majorBidi" w:hAnsiTheme="majorBidi"/>
                <w:sz w:val="24"/>
              </w:rPr>
              <w:t>Оповестените стойности ще отразяват счетоводните стойности, определени чрез използване на счетоводната граница или пруденциалната граница за идентифициране на елементите от търговския портфейл и банковия портфейл за всяка от последните три финансови години в съответствие с член 314, параграф 6 от Регламент (ЕС) № 575/2013.</w:t>
            </w:r>
          </w:p>
        </w:tc>
      </w:tr>
      <w:tr w:rsidR="003826D3" w:rsidRPr="00970DB1"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EU 3в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970DB1" w:rsidRDefault="008C3E6A"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Подход, прилаган за определяне на границата на търговския портфейл (TB)/банковия портфейл (BB) (пруденциален подход за определяне на границата (PBA) или счетоводен подход)</w:t>
            </w:r>
          </w:p>
          <w:p w14:paraId="00A81A34" w14:textId="0A7D6D1A" w:rsidR="003826D3" w:rsidRPr="00970DB1" w:rsidRDefault="003826D3" w:rsidP="003826D3">
            <w:pPr>
              <w:spacing w:before="60" w:after="120"/>
              <w:jc w:val="both"/>
              <w:rPr>
                <w:rStyle w:val="InstructionsTabelleberschrift"/>
                <w:rFonts w:ascii="Times New Roman" w:eastAsia="Times New Roman" w:hAnsi="Times New Roman"/>
                <w:b w:val="0"/>
                <w:bCs w:val="0"/>
                <w:sz w:val="24"/>
                <w:u w:val="none"/>
              </w:rPr>
            </w:pPr>
            <w:r w:rsidRPr="00970DB1">
              <w:rPr>
                <w:rStyle w:val="InstructionsTabelleberschrift"/>
                <w:rFonts w:ascii="Times New Roman" w:hAnsi="Times New Roman"/>
                <w:b w:val="0"/>
                <w:sz w:val="24"/>
                <w:u w:val="none"/>
              </w:rPr>
              <w:t>Подходът, прилаган към референтната дата за определяне на финансовия компонент (FC): счетоводна или пруденциална класификация (PBA). Подходът се използва последователно за сумите, оповестени за всяка от последните три финансови години.</w:t>
            </w:r>
          </w:p>
        </w:tc>
      </w:tr>
      <w:tr w:rsidR="003826D3" w:rsidRPr="00970DB1"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Бизнес индикатор (BI)</w:t>
            </w:r>
          </w:p>
          <w:p w14:paraId="35C99FE1" w14:textId="0AFECB29" w:rsidR="003826D3" w:rsidRPr="00970DB1"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70DB1">
              <w:rPr>
                <w:rFonts w:asciiTheme="majorBidi" w:hAnsiTheme="majorBidi"/>
                <w:sz w:val="24"/>
              </w:rPr>
              <w:t>Бизнес индикаторът (BI), изчислен в съответствие с член 314, параграф 1 от Регламент (ЕС) № 575/2013, представлява сборът от следните три компонента: ILDC, SC и FC.</w:t>
            </w:r>
          </w:p>
        </w:tc>
      </w:tr>
      <w:tr w:rsidR="003826D3" w:rsidRPr="00970DB1"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970DB1" w:rsidRDefault="003826D3" w:rsidP="003826D3">
            <w:pPr>
              <w:spacing w:before="60" w:after="120"/>
              <w:jc w:val="both"/>
              <w:rPr>
                <w:rStyle w:val="InstructionsTabelleberschrift"/>
                <w:rFonts w:ascii="Times New Roman" w:eastAsia="Times New Roman" w:hAnsi="Times New Roman"/>
                <w:sz w:val="24"/>
                <w:u w:val="none"/>
              </w:rPr>
            </w:pPr>
            <w:r w:rsidRPr="00970DB1">
              <w:rPr>
                <w:rStyle w:val="InstructionsTabelleberschrift"/>
                <w:rFonts w:ascii="Times New Roman" w:hAnsi="Times New Roman"/>
                <w:sz w:val="24"/>
                <w:u w:val="none"/>
              </w:rPr>
              <w:t>Компонент на бизнес индикатора (BIC)</w:t>
            </w:r>
          </w:p>
          <w:p w14:paraId="4AC6BDA5" w14:textId="5507A684" w:rsidR="003826D3" w:rsidRPr="00970DB1" w:rsidRDefault="003826D3" w:rsidP="003826D3">
            <w:pPr>
              <w:spacing w:before="60" w:after="120"/>
              <w:jc w:val="both"/>
              <w:rPr>
                <w:rStyle w:val="InstructionsTabelleberschrift"/>
                <w:rFonts w:ascii="Times New Roman" w:eastAsia="Times New Roman" w:hAnsi="Times New Roman"/>
                <w:b w:val="0"/>
                <w:bCs w:val="0"/>
                <w:sz w:val="24"/>
                <w:u w:val="none"/>
              </w:rPr>
            </w:pPr>
            <w:r w:rsidRPr="00970DB1">
              <w:rPr>
                <w:rFonts w:ascii="Times New Roman" w:hAnsi="Times New Roman"/>
                <w:sz w:val="24"/>
              </w:rPr>
              <w:t xml:space="preserve">BIC се изчислява в съответствие с член 313 от Регламент (ЕС) № 575/2013. </w:t>
            </w:r>
          </w:p>
        </w:tc>
      </w:tr>
      <w:tr w:rsidR="003826D3" w:rsidRPr="00970DB1"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Брутен BI без изключените прехвърлени дейности</w:t>
            </w:r>
          </w:p>
          <w:p w14:paraId="4B01F051" w14:textId="678BE249" w:rsidR="003826D3" w:rsidRPr="00970DB1"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70DB1">
              <w:rPr>
                <w:rFonts w:asciiTheme="majorBidi" w:hAnsiTheme="majorBidi"/>
                <w:sz w:val="24"/>
              </w:rPr>
              <w:t>Размерът на бизнес индикатора (BI), включващ изключените прехвърлени дейности в съответствие с член 315, параграф 2 от Регламент (ЕС) № 575/2013.</w:t>
            </w:r>
          </w:p>
        </w:tc>
      </w:tr>
      <w:tr w:rsidR="003826D3" w:rsidRPr="00970DB1"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6б</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Намаление на BI поради изключени прехвърлени дейности</w:t>
            </w:r>
          </w:p>
          <w:p w14:paraId="100A0132" w14:textId="636B5EF6" w:rsidR="003826D3" w:rsidRPr="00970DB1"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70DB1">
              <w:rPr>
                <w:rFonts w:asciiTheme="majorBidi" w:hAnsiTheme="majorBidi"/>
                <w:sz w:val="24"/>
              </w:rPr>
              <w:t xml:space="preserve">Разликата между бизнес индикатора (BI), изчислен без приспадане на прехвърлени дейности (ред 6a), и общия размер на бизнес индикатора (ред 4). </w:t>
            </w:r>
          </w:p>
        </w:tc>
      </w:tr>
      <w:tr w:rsidR="003826D3" w:rsidRPr="00970DB1"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970DB1" w:rsidRDefault="003826D3" w:rsidP="003826D3">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EU 6в</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970DB1" w:rsidRDefault="003826D3" w:rsidP="003826D3">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Въздействие на сливанията/придобиванията върху BI</w:t>
            </w:r>
          </w:p>
          <w:p w14:paraId="68B0EB8C" w14:textId="39D74825" w:rsidR="003826D3" w:rsidRPr="00970DB1"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970DB1">
              <w:rPr>
                <w:rFonts w:asciiTheme="majorBidi" w:hAnsiTheme="majorBidi"/>
                <w:sz w:val="24"/>
              </w:rPr>
              <w:t>Сумата, включена в бизнес индикатора (BI), която съответства на компонентите на BI, дължащи се на слети или придобити субекти или дейности в съответствие с член 315, параграф 1 от Регламент (ЕС) № 575/2013.</w:t>
            </w:r>
          </w:p>
        </w:tc>
      </w:tr>
    </w:tbl>
    <w:p w14:paraId="2517003F" w14:textId="77777777" w:rsidR="00D740B8" w:rsidRPr="00970DB1"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970DB1" w:rsidRDefault="00D740B8" w:rsidP="00D740B8">
      <w:pPr>
        <w:jc w:val="both"/>
        <w:rPr>
          <w:rFonts w:ascii="Times New Roman" w:hAnsi="Times New Roman" w:cs="Times New Roman"/>
          <w:bCs/>
          <w:sz w:val="24"/>
        </w:rPr>
      </w:pPr>
      <w:r w:rsidRPr="00970DB1">
        <w:rPr>
          <w:rFonts w:ascii="Times New Roman" w:hAnsi="Times New Roman"/>
          <w:b/>
          <w:sz w:val="24"/>
        </w:rPr>
        <w:t xml:space="preserve">Образец EU OR3 — Капиталови изисквания за операционен риск и размери на рисковите експозиции </w:t>
      </w:r>
      <w:r w:rsidRPr="00970DB1">
        <w:rPr>
          <w:rFonts w:ascii="Times New Roman" w:hAnsi="Times New Roman"/>
          <w:sz w:val="24"/>
        </w:rPr>
        <w:t>Образец със зададен формат</w:t>
      </w:r>
    </w:p>
    <w:p w14:paraId="5AB15A39" w14:textId="77777777" w:rsidR="00D740B8" w:rsidRPr="00970DB1" w:rsidRDefault="00D740B8" w:rsidP="00D740B8">
      <w:pPr>
        <w:ind w:left="360"/>
        <w:jc w:val="both"/>
        <w:rPr>
          <w:rFonts w:ascii="Times New Roman" w:hAnsi="Times New Roman" w:cs="Times New Roman"/>
          <w:bCs/>
          <w:sz w:val="24"/>
        </w:rPr>
      </w:pPr>
    </w:p>
    <w:p w14:paraId="60DF34D1" w14:textId="121F9A97" w:rsidR="00D740B8" w:rsidRPr="00970DB1" w:rsidRDefault="00D740B8" w:rsidP="00D740B8">
      <w:pPr>
        <w:numPr>
          <w:ilvl w:val="0"/>
          <w:numId w:val="1"/>
        </w:numPr>
        <w:jc w:val="both"/>
        <w:rPr>
          <w:rFonts w:ascii="Times New Roman" w:hAnsi="Times New Roman" w:cs="Times New Roman"/>
          <w:sz w:val="24"/>
        </w:rPr>
      </w:pPr>
      <w:r w:rsidRPr="00970DB1">
        <w:rPr>
          <w:rFonts w:ascii="Times New Roman" w:hAnsi="Times New Roman"/>
          <w:sz w:val="24"/>
        </w:rPr>
        <w:t>Институциите оповестяват информацията, включена в образец EU OR3, в изпълнение на член 446, параграф 1, буква б) от Регламент (ЕС) № 575/2013. В този образец се предоставя информация за изчисляването на капиталовите изисквания за операционен риск в съответствие с членове 312—315 от Регламент (ЕС) № 575/2013.</w:t>
      </w:r>
    </w:p>
    <w:p w14:paraId="6DFA1648" w14:textId="77777777" w:rsidR="00D740B8" w:rsidRPr="00970DB1" w:rsidRDefault="00D740B8" w:rsidP="00D740B8">
      <w:pPr>
        <w:ind w:left="360"/>
        <w:jc w:val="both"/>
        <w:rPr>
          <w:rFonts w:ascii="Times New Roman" w:hAnsi="Times New Roman" w:cs="Times New Roman"/>
          <w:bCs/>
          <w:sz w:val="24"/>
        </w:rPr>
      </w:pPr>
    </w:p>
    <w:p w14:paraId="2E35B8A0" w14:textId="77777777" w:rsidR="00D740B8" w:rsidRPr="00970DB1"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970DB1"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970DB1" w:rsidRDefault="00D740B8">
            <w:pPr>
              <w:autoSpaceDE w:val="0"/>
              <w:autoSpaceDN w:val="0"/>
              <w:adjustRightInd w:val="0"/>
              <w:rPr>
                <w:rFonts w:ascii="Times New Roman" w:hAnsi="Times New Roman" w:cs="Times New Roman"/>
                <w:b/>
                <w:sz w:val="24"/>
              </w:rPr>
            </w:pPr>
            <w:r w:rsidRPr="00970DB1">
              <w:rPr>
                <w:rFonts w:ascii="Times New Roman" w:hAnsi="Times New Roman"/>
                <w:b/>
                <w:sz w:val="24"/>
              </w:rPr>
              <w:t xml:space="preserve">Ред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970DB1" w:rsidRDefault="00D740B8">
            <w:pPr>
              <w:rPr>
                <w:rFonts w:ascii="Times New Roman" w:hAnsi="Times New Roman" w:cs="Times New Roman"/>
                <w:b/>
                <w:sz w:val="24"/>
              </w:rPr>
            </w:pPr>
            <w:r w:rsidRPr="00970DB1">
              <w:rPr>
                <w:rFonts w:ascii="Times New Roman" w:hAnsi="Times New Roman"/>
                <w:b/>
                <w:sz w:val="24"/>
              </w:rPr>
              <w:t>Обяснение</w:t>
            </w:r>
          </w:p>
        </w:tc>
      </w:tr>
      <w:tr w:rsidR="00D740B8" w:rsidRPr="00970DB1"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970DB1" w:rsidRDefault="00D740B8">
            <w:pPr>
              <w:spacing w:before="60" w:after="120"/>
              <w:jc w:val="both"/>
              <w:rPr>
                <w:rFonts w:ascii="Times New Roman" w:eastAsia="Times New Roman" w:hAnsi="Times New Roman" w:cs="Times New Roman"/>
                <w:b/>
                <w:sz w:val="24"/>
              </w:rPr>
            </w:pPr>
            <w:r w:rsidRPr="00970DB1">
              <w:rPr>
                <w:rFonts w:ascii="Times New Roman" w:hAnsi="Times New Roman"/>
                <w:b/>
                <w:sz w:val="24"/>
              </w:rPr>
              <w:t>Компонент на бизнес индикатора (BIC)</w:t>
            </w:r>
          </w:p>
          <w:p w14:paraId="1B10BB72" w14:textId="77777777" w:rsidR="00D740B8" w:rsidRPr="00970DB1" w:rsidRDefault="00D740B8">
            <w:pPr>
              <w:spacing w:before="60" w:after="120"/>
              <w:jc w:val="both"/>
              <w:rPr>
                <w:rFonts w:ascii="Times New Roman" w:eastAsia="Times New Roman" w:hAnsi="Times New Roman" w:cs="Times New Roman"/>
                <w:sz w:val="24"/>
              </w:rPr>
            </w:pPr>
            <w:r w:rsidRPr="00970DB1">
              <w:rPr>
                <w:rFonts w:ascii="Times New Roman" w:hAnsi="Times New Roman"/>
                <w:sz w:val="24"/>
              </w:rPr>
              <w:t>В този ред се посочва компонентът на бизнес показателя, който се изчислява в съответствие с член 313 от Регламент (ЕС) № 575/2013.</w:t>
            </w:r>
          </w:p>
        </w:tc>
      </w:tr>
      <w:tr w:rsidR="00CA794A" w:rsidRPr="00970DB1"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970DB1" w:rsidRDefault="004A58B5">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970DB1" w:rsidRDefault="004A58B5">
            <w:pPr>
              <w:spacing w:before="60" w:after="120"/>
              <w:jc w:val="both"/>
              <w:rPr>
                <w:rFonts w:ascii="Times New Roman" w:eastAsia="Times New Roman" w:hAnsi="Times New Roman" w:cs="Times New Roman"/>
                <w:b/>
                <w:sz w:val="24"/>
              </w:rPr>
            </w:pPr>
            <w:r w:rsidRPr="00970DB1">
              <w:rPr>
                <w:rFonts w:ascii="Times New Roman" w:hAnsi="Times New Roman"/>
                <w:b/>
                <w:sz w:val="24"/>
              </w:rPr>
              <w:t>Алтернативен стандартизиран подход (ASA) към капиталови изисквания съгласно член 314, параграф 4</w:t>
            </w:r>
          </w:p>
          <w:p w14:paraId="7762DF0B" w14:textId="6E2ACCB9" w:rsidR="004A58B5" w:rsidRPr="00970DB1" w:rsidRDefault="005B4907">
            <w:pPr>
              <w:spacing w:before="60" w:after="120"/>
              <w:jc w:val="both"/>
              <w:rPr>
                <w:rFonts w:ascii="Times New Roman" w:eastAsia="Times New Roman" w:hAnsi="Times New Roman" w:cs="Times New Roman"/>
                <w:b/>
                <w:sz w:val="24"/>
              </w:rPr>
            </w:pPr>
            <w:r w:rsidRPr="00970DB1">
              <w:rPr>
                <w:rFonts w:ascii="Times New Roman" w:hAnsi="Times New Roman"/>
                <w:sz w:val="24"/>
              </w:rPr>
              <w:t>В този ред се включват капиталовите изисквания за групите дейности, разглеждани в член 314, параграф 4, когато е приложимо, до 31 декември 2027 г. или до момента, в който консолидиращият надзорник предостави разрешение в съответствие с член 314, параграф 3, в зависимост от това кое от двете събития настъпи по-рано.</w:t>
            </w:r>
          </w:p>
        </w:tc>
      </w:tr>
      <w:tr w:rsidR="00D740B8" w:rsidRPr="00970DB1"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970DB1" w:rsidRDefault="001918A2">
            <w:pPr>
              <w:spacing w:before="60" w:after="120"/>
              <w:jc w:val="both"/>
              <w:rPr>
                <w:rFonts w:ascii="Times New Roman" w:eastAsia="Times New Roman" w:hAnsi="Times New Roman" w:cs="Times New Roman"/>
                <w:sz w:val="24"/>
              </w:rPr>
            </w:pPr>
            <w:r w:rsidRPr="00970DB1">
              <w:rPr>
                <w:rFonts w:ascii="Times New Roman" w:hAnsi="Times New Roman"/>
                <w:sz w:val="24"/>
              </w:rPr>
              <w:t>Не се прилага.</w:t>
            </w:r>
          </w:p>
        </w:tc>
      </w:tr>
      <w:tr w:rsidR="00D740B8" w:rsidRPr="00970DB1"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970DB1" w:rsidRDefault="00D740B8">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Минимални капиталови изисквания за операционен риск (OROF)</w:t>
            </w:r>
          </w:p>
          <w:p w14:paraId="2A7C24D0" w14:textId="54D9C5FF" w:rsidR="00D740B8" w:rsidRPr="00970DB1" w:rsidRDefault="00977842">
            <w:pPr>
              <w:spacing w:before="60" w:after="120"/>
              <w:jc w:val="both"/>
              <w:rPr>
                <w:rFonts w:ascii="Times New Roman" w:eastAsia="Times New Roman" w:hAnsi="Times New Roman" w:cs="Times New Roman"/>
                <w:sz w:val="24"/>
              </w:rPr>
            </w:pPr>
            <w:r w:rsidRPr="00970DB1">
              <w:rPr>
                <w:rFonts w:ascii="Times New Roman" w:hAnsi="Times New Roman"/>
                <w:sz w:val="24"/>
              </w:rPr>
              <w:t xml:space="preserve">Капиталовите изисквания се изчисляват в съответствие с член 312 от Регламент (ЕС) № 575/2013. В този ред се посочват капиталовите </w:t>
            </w:r>
            <w:r w:rsidRPr="00970DB1">
              <w:rPr>
                <w:rFonts w:ascii="Times New Roman" w:hAnsi="Times New Roman"/>
                <w:sz w:val="24"/>
              </w:rPr>
              <w:lastRenderedPageBreak/>
              <w:t xml:space="preserve">изисквания за операционен риск, които съвпадат със сбора на компонента на бизнес индикатора (BIC) и капиталовите изисквания за групите дейности по член 314, параграф 4, когато е приложимо. </w:t>
            </w:r>
          </w:p>
        </w:tc>
      </w:tr>
      <w:tr w:rsidR="00D740B8" w:rsidRPr="00970DB1"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970DB1" w:rsidRDefault="00D740B8">
            <w:pPr>
              <w:autoSpaceDE w:val="0"/>
              <w:autoSpaceDN w:val="0"/>
              <w:adjustRightInd w:val="0"/>
              <w:spacing w:before="60" w:after="120"/>
              <w:jc w:val="center"/>
              <w:rPr>
                <w:rFonts w:ascii="Times New Roman" w:hAnsi="Times New Roman" w:cs="Times New Roman"/>
                <w:b/>
                <w:sz w:val="24"/>
              </w:rPr>
            </w:pPr>
            <w:r w:rsidRPr="00970DB1">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970DB1" w:rsidRDefault="00D740B8">
            <w:pPr>
              <w:spacing w:before="60" w:after="120"/>
              <w:jc w:val="both"/>
              <w:rPr>
                <w:rStyle w:val="InstructionsTabelleberschrift"/>
                <w:rFonts w:ascii="Times New Roman" w:eastAsia="Times New Roman" w:hAnsi="Times New Roman"/>
                <w:bCs w:val="0"/>
                <w:sz w:val="24"/>
                <w:u w:val="none"/>
              </w:rPr>
            </w:pPr>
            <w:r w:rsidRPr="00970DB1">
              <w:rPr>
                <w:rStyle w:val="InstructionsTabelleberschrift"/>
                <w:rFonts w:ascii="Times New Roman" w:hAnsi="Times New Roman"/>
                <w:sz w:val="24"/>
                <w:u w:val="none"/>
              </w:rPr>
              <w:t>Размери на експозициите към операционен риск (REA)</w:t>
            </w:r>
          </w:p>
          <w:p w14:paraId="317F9BDE" w14:textId="6672A695" w:rsidR="00D740B8" w:rsidRPr="00970DB1" w:rsidRDefault="00D740B8">
            <w:pPr>
              <w:spacing w:before="60" w:after="120"/>
              <w:jc w:val="both"/>
              <w:rPr>
                <w:rFonts w:ascii="Times New Roman" w:eastAsia="Times New Roman" w:hAnsi="Times New Roman" w:cs="Times New Roman"/>
                <w:sz w:val="24"/>
              </w:rPr>
            </w:pPr>
            <w:r w:rsidRPr="00970DB1">
              <w:rPr>
                <w:rFonts w:ascii="Times New Roman" w:hAnsi="Times New Roman"/>
                <w:sz w:val="24"/>
              </w:rPr>
              <w:t xml:space="preserve">Въз основа на член 92, параграф 3, буква д) и член 92, параграф 4 от Регламент (ЕС) № 575/2013 в този ред се оповестяват капиталовите изисквания в ред 3, умножени по 12,5. </w:t>
            </w:r>
          </w:p>
        </w:tc>
      </w:tr>
    </w:tbl>
    <w:p w14:paraId="079B8CA0" w14:textId="77777777" w:rsidR="00D740B8" w:rsidRPr="00970DB1" w:rsidRDefault="00D740B8" w:rsidP="00D740B8">
      <w:pPr>
        <w:rPr>
          <w:rFonts w:ascii="Times New Roman" w:hAnsi="Times New Roman" w:cs="Times New Roman"/>
          <w:sz w:val="24"/>
        </w:rPr>
      </w:pPr>
    </w:p>
    <w:p w14:paraId="41C8F396" w14:textId="77777777" w:rsidR="002C1404" w:rsidRPr="00EC5B29" w:rsidRDefault="002C1404">
      <w:pPr>
        <w:rPr>
          <w:lang w:val="en-US"/>
        </w:rPr>
      </w:pPr>
    </w:p>
    <w:sectPr w:rsidR="002C1404" w:rsidRPr="00EC5B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970DB1" w:rsidRDefault="00924970" w:rsidP="00E114F3">
      <w:r w:rsidRPr="00970DB1">
        <w:separator/>
      </w:r>
    </w:p>
  </w:endnote>
  <w:endnote w:type="continuationSeparator" w:id="0">
    <w:p w14:paraId="6750FE16" w14:textId="77777777" w:rsidR="00924970" w:rsidRPr="00970DB1" w:rsidRDefault="00924970" w:rsidP="00E114F3">
      <w:r w:rsidRPr="00970DB1">
        <w:continuationSeparator/>
      </w:r>
    </w:p>
  </w:endnote>
  <w:endnote w:type="continuationNotice" w:id="1">
    <w:p w14:paraId="44EFD629" w14:textId="77777777" w:rsidR="00924970" w:rsidRPr="00970DB1"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172C" w14:textId="77777777" w:rsidR="00970DB1" w:rsidRPr="00970DB1" w:rsidRDefault="00970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970DB1" w:rsidRDefault="00E114F3">
        <w:pPr>
          <w:pStyle w:val="Footer"/>
          <w:jc w:val="right"/>
        </w:pPr>
        <w:r w:rsidRPr="00970DB1">
          <w:fldChar w:fldCharType="begin"/>
        </w:r>
        <w:r w:rsidRPr="00970DB1">
          <w:instrText xml:space="preserve"> PAGE   \* MERGEFORMAT </w:instrText>
        </w:r>
        <w:r w:rsidRPr="00970DB1">
          <w:fldChar w:fldCharType="separate"/>
        </w:r>
        <w:r w:rsidR="00370155" w:rsidRPr="00970DB1">
          <w:t>1</w:t>
        </w:r>
        <w:r w:rsidRPr="00970DB1">
          <w:fldChar w:fldCharType="end"/>
        </w:r>
      </w:p>
    </w:sdtContent>
  </w:sdt>
  <w:p w14:paraId="049F31CB" w14:textId="77777777" w:rsidR="00E114F3" w:rsidRPr="00970DB1"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64E6" w14:textId="77777777" w:rsidR="00970DB1" w:rsidRPr="00970DB1" w:rsidRDefault="00970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970DB1" w:rsidRDefault="00924970" w:rsidP="00E114F3">
      <w:r w:rsidRPr="00970DB1">
        <w:separator/>
      </w:r>
    </w:p>
  </w:footnote>
  <w:footnote w:type="continuationSeparator" w:id="0">
    <w:p w14:paraId="3D7D4E32" w14:textId="77777777" w:rsidR="00924970" w:rsidRPr="00970DB1" w:rsidRDefault="00924970" w:rsidP="00E114F3">
      <w:r w:rsidRPr="00970DB1">
        <w:continuationSeparator/>
      </w:r>
    </w:p>
  </w:footnote>
  <w:footnote w:type="continuationNotice" w:id="1">
    <w:p w14:paraId="6FCD0CD0" w14:textId="77777777" w:rsidR="00924970" w:rsidRPr="00970DB1" w:rsidRDefault="00924970"/>
  </w:footnote>
  <w:footnote w:id="2">
    <w:p w14:paraId="3798489D" w14:textId="469FF1F7" w:rsidR="00E114F3" w:rsidRPr="00970DB1" w:rsidRDefault="00E114F3" w:rsidP="003D3122">
      <w:pPr>
        <w:pStyle w:val="FootnoteText"/>
      </w:pPr>
      <w:r w:rsidRPr="00970DB1">
        <w:rPr>
          <w:rStyle w:val="FootnoteReference"/>
          <w:rFonts w:cstheme="minorHAnsi"/>
        </w:rPr>
        <w:footnoteRef/>
      </w:r>
      <w:r w:rsidRPr="00970DB1">
        <w:tab/>
        <w:t>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и за изменение на Регламент (ЕС) № 2024/2012 (</w:t>
      </w:r>
      <w:hyperlink r:id="rId1" w:history="1">
        <w:r w:rsidRPr="00970DB1">
          <w:rPr>
            <w:rStyle w:val="Hyperlink"/>
            <w:color w:val="800080"/>
          </w:rPr>
          <w:t xml:space="preserve">ОВ L 176, 27.6.2013 г., стр. 1; </w:t>
        </w:r>
      </w:hyperlink>
      <w:hyperlink r:id="rId2" w:history="1">
        <w:r w:rsidRPr="00970DB1">
          <w:rPr>
            <w:rStyle w:val="Hyperlink"/>
          </w:rPr>
          <w:t>Регламент — ЕС —2024/1623 — BG — EUR-Lex (europa.eu</w:t>
        </w:r>
      </w:hyperlink>
      <w:r w:rsidRPr="00970DB1">
        <w:t>).</w:t>
      </w:r>
    </w:p>
    <w:p w14:paraId="45FB0818" w14:textId="77777777" w:rsidR="00E114F3" w:rsidRPr="00970DB1"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970DB1" w:rsidRDefault="00864ECA">
    <w:pPr>
      <w:pStyle w:val="Header"/>
    </w:pPr>
    <w:r w:rsidRPr="00970DB1">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970DB1" w:rsidRDefault="00864ECA" w:rsidP="00864ECA">
                          <w:pPr>
                            <w:rPr>
                              <w:rFonts w:ascii="Calibri" w:eastAsia="Calibri" w:hAnsi="Calibri" w:cs="Calibri"/>
                              <w:noProof/>
                              <w:color w:val="000000"/>
                              <w:sz w:val="24"/>
                            </w:rPr>
                          </w:pPr>
                          <w:r w:rsidRPr="00970DB1">
                            <w:rPr>
                              <w:rFonts w:ascii="Calibri" w:hAnsi="Calibri"/>
                              <w:color w:val="000000"/>
                              <w:sz w:val="24"/>
                            </w:rPr>
                            <w:t>За редовно ползване от EБО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970DB1" w:rsidRDefault="00864ECA" w:rsidP="00864ECA">
                    <w:pPr>
                      <w:rPr>
                        <w:rFonts w:ascii="Calibri" w:eastAsia="Calibri" w:hAnsi="Calibri" w:cs="Calibri"/>
                        <w:noProof/>
                        <w:color w:val="000000"/>
                        <w:sz w:val="24"/>
                      </w:rPr>
                    </w:pPr>
                    <w:r w:rsidRPr="00970DB1">
                      <w:rPr>
                        <w:rFonts w:ascii="Calibri" w:hAnsi="Calibri"/>
                        <w:color w:val="000000"/>
                        <w:sz w:val="24"/>
                      </w:rPr>
                      <w:t>За редовно ползване от EБО</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970DB1" w:rsidRDefault="00864ECA">
    <w:pPr>
      <w:pStyle w:val="Header"/>
    </w:pPr>
    <w:r w:rsidRPr="00970DB1">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970DB1" w:rsidRDefault="00864ECA" w:rsidP="00864ECA">
                          <w:pPr>
                            <w:rPr>
                              <w:rFonts w:ascii="Calibri" w:eastAsia="Calibri" w:hAnsi="Calibri" w:cs="Calibri"/>
                              <w:noProof/>
                              <w:color w:val="000000"/>
                              <w:sz w:val="24"/>
                            </w:rPr>
                          </w:pPr>
                          <w:r w:rsidRPr="00970DB1">
                            <w:rPr>
                              <w:rFonts w:ascii="Calibri" w:hAnsi="Calibri"/>
                              <w:color w:val="000000"/>
                              <w:sz w:val="24"/>
                            </w:rPr>
                            <w:t>За редовно ползване от EБО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970DB1" w:rsidRDefault="00864ECA" w:rsidP="00864ECA">
                    <w:pPr>
                      <w:rPr>
                        <w:rFonts w:ascii="Calibri" w:eastAsia="Calibri" w:hAnsi="Calibri" w:cs="Calibri"/>
                        <w:noProof/>
                        <w:color w:val="000000"/>
                        <w:sz w:val="24"/>
                      </w:rPr>
                    </w:pPr>
                    <w:r w:rsidRPr="00970DB1">
                      <w:rPr>
                        <w:rFonts w:ascii="Calibri" w:hAnsi="Calibri"/>
                        <w:color w:val="000000"/>
                        <w:sz w:val="24"/>
                      </w:rPr>
                      <w:t>За редовно ползване от EБО</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970DB1" w:rsidRDefault="00864ECA">
    <w:pPr>
      <w:pStyle w:val="Header"/>
    </w:pPr>
    <w:r w:rsidRPr="00970DB1">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970DB1" w:rsidRDefault="00864ECA" w:rsidP="00864ECA">
                          <w:pPr>
                            <w:rPr>
                              <w:rFonts w:ascii="Calibri" w:eastAsia="Calibri" w:hAnsi="Calibri" w:cs="Calibri"/>
                              <w:noProof/>
                              <w:color w:val="000000"/>
                              <w:sz w:val="24"/>
                            </w:rPr>
                          </w:pPr>
                          <w:r w:rsidRPr="00970DB1">
                            <w:rPr>
                              <w:rFonts w:ascii="Calibri" w:hAnsi="Calibri"/>
                              <w:color w:val="000000"/>
                              <w:sz w:val="24"/>
                            </w:rPr>
                            <w:t>За редовно ползване от EБО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970DB1" w:rsidRDefault="00864ECA" w:rsidP="00864ECA">
                    <w:pPr>
                      <w:rPr>
                        <w:rFonts w:ascii="Calibri" w:eastAsia="Calibri" w:hAnsi="Calibri" w:cs="Calibri"/>
                        <w:noProof/>
                        <w:color w:val="000000"/>
                        <w:sz w:val="24"/>
                      </w:rPr>
                    </w:pPr>
                    <w:r w:rsidRPr="00970DB1">
                      <w:rPr>
                        <w:rFonts w:ascii="Calibri" w:hAnsi="Calibri"/>
                        <w:color w:val="000000"/>
                        <w:sz w:val="24"/>
                      </w:rPr>
                      <w:t>За редовно ползване от EБО</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0DB1"/>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B29"/>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bg-BG"/>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bg-BG"/>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bg-BG"/>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5199</Words>
  <Characters>28600</Characters>
  <Application>Microsoft Office Word</Application>
  <DocSecurity>0</DocSecurity>
  <Lines>238</Lines>
  <Paragraphs>67</Paragraphs>
  <ScaleCrop>false</ScaleCrop>
  <Manager/>
  <Company/>
  <LinksUpToDate>false</LinksUpToDate>
  <CharactersWithSpaces>33732</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