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B94438" w:rsidRDefault="001A585C" w:rsidP="001A585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D38D659-D59E-4918-993F-C243E9B42486" style="width:455.25pt;height:330.75pt">
            <v:imagedata r:id="rId7" o:title=""/>
          </v:shape>
        </w:pict>
      </w:r>
    </w:p>
    <w:p w:rsidR="00430BC2" w:rsidRPr="00B94438" w:rsidRDefault="00430BC2">
      <w:pPr>
        <w:rPr>
          <w:noProof/>
        </w:rPr>
        <w:sectPr w:rsidR="00430BC2" w:rsidRPr="00B94438" w:rsidSect="001A585C">
          <w:footerReference w:type="even" r:id="rId8"/>
          <w:footerReference w:type="default" r:id="rId9"/>
          <w:pgSz w:w="11907" w:h="16839"/>
          <w:pgMar w:top="1134" w:right="1417" w:bottom="1134" w:left="1417" w:header="709" w:footer="709" w:gutter="0"/>
          <w:pgNumType w:start="0"/>
          <w:cols w:space="720"/>
          <w:docGrid w:linePitch="360"/>
        </w:sectPr>
      </w:pPr>
    </w:p>
    <w:p w:rsidR="00430BC2" w:rsidRPr="00B94438" w:rsidRDefault="00F34696" w:rsidP="00F34696">
      <w:pPr>
        <w:pStyle w:val="Typedudocument"/>
        <w:rPr>
          <w:noProof/>
        </w:rPr>
      </w:pPr>
      <w:bookmarkStart w:id="0" w:name="_GoBack"/>
      <w:bookmarkEnd w:id="0"/>
      <w:r w:rsidRPr="00F34696">
        <w:rPr>
          <w:noProof/>
        </w:rPr>
        <w:lastRenderedPageBreak/>
        <w:t>IZVEDBENA UREDBA KOMISIJE (EU) …/…</w:t>
      </w:r>
    </w:p>
    <w:p w:rsidR="00430BC2" w:rsidRPr="00B94438" w:rsidRDefault="00B759FA" w:rsidP="00F34696">
      <w:pPr>
        <w:pStyle w:val="Datedadoption"/>
        <w:rPr>
          <w:noProof/>
        </w:rPr>
      </w:pPr>
      <w:r>
        <w:rPr>
          <w:noProof/>
        </w:rPr>
        <w:t>z dne 8.12.2025</w:t>
      </w:r>
    </w:p>
    <w:p w:rsidR="00430BC2" w:rsidRPr="00B94438" w:rsidRDefault="00F34696" w:rsidP="00F34696">
      <w:pPr>
        <w:pStyle w:val="Titreobjet"/>
        <w:rPr>
          <w:noProof/>
        </w:rPr>
      </w:pPr>
      <w:r w:rsidRPr="00F34696">
        <w:rPr>
          <w:noProof/>
        </w:rPr>
        <w:t>o spremembi izvedbenih tehničnih standardov, določenih v Izvedbeni uredbi (EU) 2024/3117, v zvezi z nadzorniškim poročanjem institucij o operativnem tveganju</w:t>
      </w:r>
    </w:p>
    <w:p w:rsidR="00430BC2" w:rsidRPr="00B94438" w:rsidRDefault="00F34696" w:rsidP="00F34696">
      <w:pPr>
        <w:pStyle w:val="IntrtEEE"/>
        <w:rPr>
          <w:noProof/>
        </w:rPr>
      </w:pPr>
      <w:r w:rsidRPr="00F34696">
        <w:rPr>
          <w:noProof/>
        </w:rPr>
        <w:t>(Besedilo velja za EGP)</w:t>
      </w:r>
    </w:p>
    <w:p w:rsidR="00430BC2" w:rsidRPr="00B94438" w:rsidRDefault="00430BC2" w:rsidP="004E1EF9">
      <w:pPr>
        <w:pStyle w:val="Institutionquiagit"/>
        <w:rPr>
          <w:noProof/>
        </w:rPr>
      </w:pPr>
      <w:r w:rsidRPr="00B94438">
        <w:rPr>
          <w:noProof/>
        </w:rPr>
        <w:t>EVROPSKA KOMISIJA JE –</w:t>
      </w:r>
    </w:p>
    <w:p w:rsidR="00430BC2" w:rsidRPr="00B94438" w:rsidRDefault="00430BC2" w:rsidP="004E1EF9">
      <w:pPr>
        <w:rPr>
          <w:noProof/>
        </w:rPr>
      </w:pPr>
      <w:r w:rsidRPr="00B94438">
        <w:rPr>
          <w:noProof/>
        </w:rPr>
        <w:t>ob upoštevanju Uredbe (EU) št. 575/2013 Evropskega parlamenta in Sveta z dne 26. junija 2013 o bonitetnih zahtevah za kreditne institucije in investicijska podjetja ter o spremembi Uredbe (EU) št. 648/2012</w:t>
      </w:r>
      <w:r w:rsidRPr="00B94438">
        <w:rPr>
          <w:rStyle w:val="FootnoteReference"/>
          <w:noProof/>
        </w:rPr>
        <w:footnoteReference w:id="1"/>
      </w:r>
      <w:r w:rsidRPr="00B94438">
        <w:rPr>
          <w:noProof/>
        </w:rPr>
        <w:t xml:space="preserve"> in zlasti člena 430(7), peti pododstavek, Uredbe,</w:t>
      </w:r>
    </w:p>
    <w:p w:rsidR="00430BC2" w:rsidRPr="00B94438" w:rsidRDefault="00430BC2" w:rsidP="004E1EF9">
      <w:pPr>
        <w:rPr>
          <w:noProof/>
        </w:rPr>
      </w:pPr>
      <w:r w:rsidRPr="00B94438">
        <w:rPr>
          <w:noProof/>
        </w:rPr>
        <w:t>ob upoštevanju naslednjega:</w:t>
      </w:r>
    </w:p>
    <w:p w:rsidR="00430BC2" w:rsidRPr="00B94438" w:rsidRDefault="003C227F" w:rsidP="003C227F">
      <w:pPr>
        <w:pStyle w:val="ManualConsidrant"/>
        <w:rPr>
          <w:noProof/>
        </w:rPr>
      </w:pPr>
      <w:r w:rsidRPr="003C227F">
        <w:rPr>
          <w:noProof/>
        </w:rPr>
        <w:t>(1)</w:t>
      </w:r>
      <w:r w:rsidRPr="003C227F">
        <w:rPr>
          <w:noProof/>
        </w:rPr>
        <w:tab/>
      </w:r>
      <w:r w:rsidR="00430BC2" w:rsidRPr="00B94438">
        <w:rPr>
          <w:noProof/>
        </w:rPr>
        <w:t>Uredba (EU) št. 575/2013 je bila spremenjena z Uredbo (EU) 2024/1623 Evropskega parlamenta in Sveta</w:t>
      </w:r>
      <w:r w:rsidR="00430BC2" w:rsidRPr="00B94438">
        <w:rPr>
          <w:rStyle w:val="FootnoteReference"/>
          <w:noProof/>
        </w:rPr>
        <w:footnoteReference w:id="2"/>
      </w:r>
      <w:r w:rsidR="00430BC2" w:rsidRPr="00B94438">
        <w:rPr>
          <w:noProof/>
        </w:rPr>
        <w:t>, da bi se prenesel zadnji sklop mednarodnih standardov Baselskega odbora za bančni nadzor (Basel III). Na podlagi teh standardov je bila sprejeta Izvedbena uredba Komisije (EU) 2024/3117</w:t>
      </w:r>
      <w:r w:rsidR="00430BC2" w:rsidRPr="00B94438">
        <w:rPr>
          <w:rStyle w:val="FootnoteReference"/>
          <w:noProof/>
        </w:rPr>
        <w:footnoteReference w:id="3"/>
      </w:r>
      <w:r w:rsidR="00430BC2" w:rsidRPr="00B94438">
        <w:rPr>
          <w:noProof/>
        </w:rPr>
        <w:t>, ki določa izvedbene tehnične standarde za uporabo Uredbe (EU) št. 575/2013 v zvezi z nadzorniškim poročanjem institucij.</w:t>
      </w:r>
    </w:p>
    <w:p w:rsidR="00430BC2" w:rsidRPr="00B94438" w:rsidRDefault="003C227F" w:rsidP="003C227F">
      <w:pPr>
        <w:pStyle w:val="ManualConsidrant"/>
        <w:rPr>
          <w:noProof/>
        </w:rPr>
      </w:pPr>
      <w:r w:rsidRPr="003C227F">
        <w:rPr>
          <w:noProof/>
        </w:rPr>
        <w:t>(2)</w:t>
      </w:r>
      <w:r w:rsidRPr="003C227F">
        <w:rPr>
          <w:noProof/>
        </w:rPr>
        <w:tab/>
      </w:r>
      <w:r w:rsidR="00430BC2" w:rsidRPr="00B94438">
        <w:rPr>
          <w:noProof/>
        </w:rPr>
        <w:t>Glede na spremembe bonitetnega okvira za kapitalske zahteve za operativno tveganje so bile potrebne nove predloge za poročanje, da bi zagotovili, da institucije poročajo v skladu z novim veljavnim okvirom. Čeprav so bile nekatere od teh sprememb predlog za poročanje že uvedene z Uredbo (EU) 2024/3117, je bila posodobitev več drugih predlog mogoča le po nadaljnjem strokovnem razvoju zahtev glede operativnega tveganja, zlasti kar zadeva specifikacijo komponente kazalnika poslovanja, postavk, ki jih je treba izključiti iz kazalnika poslovanja, in njihovo razporejanje v ustrezne celice poročanja.</w:t>
      </w:r>
    </w:p>
    <w:p w:rsidR="00430BC2" w:rsidRPr="00B94438" w:rsidRDefault="003C227F" w:rsidP="003C227F">
      <w:pPr>
        <w:pStyle w:val="ManualConsidrant"/>
        <w:rPr>
          <w:noProof/>
        </w:rPr>
      </w:pPr>
      <w:r w:rsidRPr="003C227F">
        <w:rPr>
          <w:noProof/>
        </w:rPr>
        <w:t>(3)</w:t>
      </w:r>
      <w:r w:rsidRPr="003C227F">
        <w:rPr>
          <w:noProof/>
        </w:rPr>
        <w:tab/>
      </w:r>
      <w:r w:rsidR="00430BC2" w:rsidRPr="00B94438">
        <w:rPr>
          <w:noProof/>
        </w:rPr>
        <w:t>Z Delegirano uredbo Komisije (EU) 2025/1496</w:t>
      </w:r>
      <w:r w:rsidR="00430BC2" w:rsidRPr="00B94438">
        <w:rPr>
          <w:rStyle w:val="FootnoteReference"/>
          <w:noProof/>
        </w:rPr>
        <w:footnoteReference w:id="4"/>
      </w:r>
      <w:r w:rsidR="00430BC2" w:rsidRPr="00B94438">
        <w:rPr>
          <w:noProof/>
        </w:rPr>
        <w:t xml:space="preserve"> je bil datum začetka uporabe kapitalskih zahtev za tržno tveganje odložen na 1. januar 2027. Posledično je treba brez sprememb ohraniti obstoječe zahteve glede poročanja o tržnem tveganju, ki se uporabljajo do 31. decembra 2026. Zato bi bilo treba prehodne določbe Uredbe (EU) 2024/3117 podaljšati, razveljavitev ustreznih določb Izvedbene uredbe Komisije (EU) 2021/451</w:t>
      </w:r>
      <w:r w:rsidR="00430BC2" w:rsidRPr="00B94438">
        <w:rPr>
          <w:rStyle w:val="FootnoteReference"/>
          <w:noProof/>
        </w:rPr>
        <w:footnoteReference w:id="5"/>
      </w:r>
      <w:r w:rsidR="00430BC2" w:rsidRPr="00B94438">
        <w:rPr>
          <w:noProof/>
        </w:rPr>
        <w:t xml:space="preserve"> pa odložiti za še eno leto. </w:t>
      </w:r>
    </w:p>
    <w:p w:rsidR="00430BC2" w:rsidRPr="00B94438" w:rsidRDefault="003C227F" w:rsidP="003C227F">
      <w:pPr>
        <w:pStyle w:val="ManualConsidrant"/>
        <w:rPr>
          <w:noProof/>
        </w:rPr>
      </w:pPr>
      <w:r w:rsidRPr="003C227F">
        <w:rPr>
          <w:noProof/>
        </w:rPr>
        <w:lastRenderedPageBreak/>
        <w:t>(4)</w:t>
      </w:r>
      <w:r w:rsidRPr="003C227F">
        <w:rPr>
          <w:noProof/>
        </w:rPr>
        <w:tab/>
      </w:r>
      <w:r w:rsidR="00430BC2" w:rsidRPr="00B94438">
        <w:rPr>
          <w:noProof/>
        </w:rPr>
        <w:t>Izvedbeno uredbo (EU) 2024/3117 bi bilo zato treba ustrezno spremeniti.</w:t>
      </w:r>
    </w:p>
    <w:p w:rsidR="00430BC2" w:rsidRPr="00B94438" w:rsidRDefault="003C227F" w:rsidP="003C227F">
      <w:pPr>
        <w:pStyle w:val="ManualConsidrant"/>
        <w:rPr>
          <w:noProof/>
        </w:rPr>
      </w:pPr>
      <w:r w:rsidRPr="003C227F">
        <w:rPr>
          <w:noProof/>
        </w:rPr>
        <w:t>(5)</w:t>
      </w:r>
      <w:r w:rsidRPr="003C227F">
        <w:rPr>
          <w:noProof/>
        </w:rPr>
        <w:tab/>
      </w:r>
      <w:r w:rsidR="00430BC2" w:rsidRPr="00B94438">
        <w:rPr>
          <w:noProof/>
        </w:rPr>
        <w:t>Ta uredba temelji na osnutku izvedbenih tehničnih standardov, ki ga je Komisiji predložil Evropski bančni organ (EBA).</w:t>
      </w:r>
    </w:p>
    <w:p w:rsidR="00430BC2" w:rsidRPr="00B94438" w:rsidRDefault="003C227F" w:rsidP="003C227F">
      <w:pPr>
        <w:pStyle w:val="ManualConsidrant"/>
        <w:rPr>
          <w:noProof/>
        </w:rPr>
      </w:pPr>
      <w:r w:rsidRPr="003C227F">
        <w:rPr>
          <w:noProof/>
        </w:rPr>
        <w:t>(6)</w:t>
      </w:r>
      <w:r w:rsidRPr="003C227F">
        <w:rPr>
          <w:noProof/>
        </w:rPr>
        <w:tab/>
      </w:r>
      <w:r w:rsidR="00430BC2" w:rsidRPr="00B94438">
        <w:rPr>
          <w:noProof/>
        </w:rPr>
        <w:t>EBA je o osnutku izvedbenih tehničnih standardov, na katerem temelji ta uredba, izvedel odprta javna posvetovanja, analiziral morebitne povezane stroške in koristi ter zaprosil za nasvet interesno skupino za bančništvo, ustanovljeno v skladu s členom 37 Uredbe (EU) št. 1093/2010 Evropskega parlamenta in Sveta</w:t>
      </w:r>
      <w:r w:rsidR="00430BC2" w:rsidRPr="00B94438">
        <w:rPr>
          <w:rStyle w:val="FootnoteReference"/>
          <w:noProof/>
        </w:rPr>
        <w:footnoteReference w:id="6"/>
      </w:r>
      <w:r w:rsidR="00430BC2" w:rsidRPr="00B94438">
        <w:rPr>
          <w:noProof/>
        </w:rPr>
        <w:t xml:space="preserve"> –</w:t>
      </w:r>
    </w:p>
    <w:p w:rsidR="00430BC2" w:rsidRPr="00B94438" w:rsidRDefault="00430BC2" w:rsidP="004E1EF9">
      <w:pPr>
        <w:pStyle w:val="Formuledadoption"/>
        <w:rPr>
          <w:noProof/>
        </w:rPr>
      </w:pPr>
      <w:r w:rsidRPr="00B94438">
        <w:rPr>
          <w:noProof/>
        </w:rPr>
        <w:t>SPREJELA NASLEDNJO UREDBO:</w:t>
      </w:r>
    </w:p>
    <w:p w:rsidR="00430BC2" w:rsidRPr="00B94438" w:rsidRDefault="00430BC2" w:rsidP="004E1EF9">
      <w:pPr>
        <w:pStyle w:val="Titrearticle"/>
        <w:rPr>
          <w:noProof/>
        </w:rPr>
      </w:pPr>
      <w:r w:rsidRPr="00B94438">
        <w:rPr>
          <w:noProof/>
        </w:rPr>
        <w:t>Člen 1</w:t>
      </w:r>
    </w:p>
    <w:p w:rsidR="00430BC2" w:rsidRPr="00B94438" w:rsidRDefault="00430BC2" w:rsidP="00430BC2">
      <w:pPr>
        <w:rPr>
          <w:noProof/>
        </w:rPr>
      </w:pPr>
      <w:bookmarkStart w:id="4" w:name="_Hlk198544571"/>
      <w:r w:rsidRPr="00B94438">
        <w:rPr>
          <w:noProof/>
        </w:rPr>
        <w:t>Izvedbena uredba (EU) 2024/3117</w:t>
      </w:r>
      <w:bookmarkEnd w:id="4"/>
      <w:r w:rsidRPr="00B94438">
        <w:rPr>
          <w:noProof/>
        </w:rPr>
        <w:t xml:space="preserve"> se spremeni: </w:t>
      </w:r>
    </w:p>
    <w:p w:rsidR="00430BC2" w:rsidRPr="00B94438" w:rsidRDefault="003C227F" w:rsidP="003C227F">
      <w:pPr>
        <w:pStyle w:val="Point0"/>
        <w:rPr>
          <w:noProof/>
        </w:rPr>
      </w:pPr>
      <w:r w:rsidRPr="003C227F">
        <w:rPr>
          <w:noProof/>
        </w:rPr>
        <w:t>(1)</w:t>
      </w:r>
      <w:r w:rsidRPr="003C227F">
        <w:rPr>
          <w:noProof/>
        </w:rPr>
        <w:tab/>
      </w:r>
      <w:r w:rsidR="00430BC2" w:rsidRPr="00B94438">
        <w:rPr>
          <w:noProof/>
        </w:rPr>
        <w:t>v členu 5 se odstavek 4 nadomesti z naslednjim:</w:t>
      </w:r>
    </w:p>
    <w:p w:rsidR="00430BC2" w:rsidRPr="00B94438" w:rsidRDefault="00430BC2" w:rsidP="00430BC2">
      <w:pPr>
        <w:pStyle w:val="QuotedNumPar"/>
        <w:rPr>
          <w:noProof/>
        </w:rPr>
      </w:pPr>
      <w:r w:rsidRPr="00B94438">
        <w:rPr>
          <w:noProof/>
        </w:rPr>
        <w:t>„4. Za izračun kapitalskih zahtev iz člena 92(4), točki (b)(i) in (c), ter člena 92(5), točki (b) in (c), Uredbe (EU) št. 575/2013 institucije do 31. decembra 2026 predložijo informacije o kapitalskih zahtevah v zvezi s tržnim tveganjem v skladu s členom 5(12) Izvedbene uredbe (EU) 2021/451.“;</w:t>
      </w:r>
    </w:p>
    <w:p w:rsidR="00430BC2" w:rsidRPr="00B94438" w:rsidRDefault="003C227F" w:rsidP="003C227F">
      <w:pPr>
        <w:pStyle w:val="Point0"/>
        <w:rPr>
          <w:noProof/>
        </w:rPr>
      </w:pPr>
      <w:r w:rsidRPr="003C227F">
        <w:rPr>
          <w:noProof/>
        </w:rPr>
        <w:t>(2)</w:t>
      </w:r>
      <w:r w:rsidRPr="003C227F">
        <w:rPr>
          <w:noProof/>
        </w:rPr>
        <w:tab/>
      </w:r>
      <w:r w:rsidR="00430BC2" w:rsidRPr="00B94438">
        <w:rPr>
          <w:noProof/>
        </w:rPr>
        <w:t>v členu 7 se doda naslednja točka (c):</w:t>
      </w:r>
    </w:p>
    <w:p w:rsidR="00430BC2" w:rsidRPr="00B94438" w:rsidRDefault="00430BC2" w:rsidP="00430BC2">
      <w:pPr>
        <w:pStyle w:val="QuotedNumPar"/>
        <w:rPr>
          <w:noProof/>
        </w:rPr>
      </w:pPr>
      <w:r w:rsidRPr="00B94438">
        <w:rPr>
          <w:noProof/>
        </w:rPr>
        <w:t>„(c)</w:t>
      </w:r>
      <w:r w:rsidRPr="00B94438">
        <w:rPr>
          <w:noProof/>
        </w:rPr>
        <w:tab/>
        <w:t>EU nadrejene institucije vsako četrtletje poročajo informacije, ki se zahtevajo v Prilogi I, predloga C 16.04, v zvezi z informacijami o podrejenih družbah, za katere velja odstopanje iz člena 314(3) Uredbe (EU) št. 575/2013.“;</w:t>
      </w:r>
    </w:p>
    <w:p w:rsidR="00430BC2" w:rsidRPr="00B94438" w:rsidRDefault="003C227F" w:rsidP="003C227F">
      <w:pPr>
        <w:pStyle w:val="Point0"/>
        <w:rPr>
          <w:noProof/>
        </w:rPr>
      </w:pPr>
      <w:r w:rsidRPr="003C227F">
        <w:rPr>
          <w:noProof/>
        </w:rPr>
        <w:t>(3)</w:t>
      </w:r>
      <w:r w:rsidRPr="003C227F">
        <w:rPr>
          <w:noProof/>
        </w:rPr>
        <w:tab/>
      </w:r>
      <w:r w:rsidR="00430BC2" w:rsidRPr="00B94438">
        <w:rPr>
          <w:noProof/>
        </w:rPr>
        <w:t>v členu 25 se odstavka 1 in 2 nadomestita z naslednjim:</w:t>
      </w:r>
    </w:p>
    <w:p w:rsidR="00430BC2" w:rsidRPr="00B94438" w:rsidRDefault="00430BC2" w:rsidP="00430BC2">
      <w:pPr>
        <w:pStyle w:val="QuotedNumPar"/>
        <w:rPr>
          <w:noProof/>
        </w:rPr>
      </w:pPr>
      <w:r w:rsidRPr="00B94438">
        <w:rPr>
          <w:noProof/>
        </w:rPr>
        <w:t>„1. Izvedbena uredba (EU) 2021/451 se preneha uporabljati 1. januarja 2025, razen člena 5(12) in Priloge I, predloge 18 do 24, ter Priloge II, del II, točke 5.1 do 5.7. Člen 15 Izvedbene uredbe (EU) 2021/451 se še naprej uporablja do 31. decembra 2026, in sicer samo za namene člena 5(4) te uredbe.</w:t>
      </w:r>
    </w:p>
    <w:p w:rsidR="00430BC2" w:rsidRPr="00B94438" w:rsidRDefault="00430BC2" w:rsidP="00430BC2">
      <w:pPr>
        <w:pStyle w:val="QuotedNumPar"/>
        <w:rPr>
          <w:noProof/>
        </w:rPr>
      </w:pPr>
      <w:r w:rsidRPr="00B94438">
        <w:rPr>
          <w:noProof/>
        </w:rPr>
        <w:t>2. Izvedbena uredba (EU) 2021/451 se razveljavi z učinkom od 31. decembra 2026.“;</w:t>
      </w:r>
    </w:p>
    <w:p w:rsidR="00430BC2" w:rsidRPr="00B94438" w:rsidRDefault="003C227F" w:rsidP="003C227F">
      <w:pPr>
        <w:pStyle w:val="Point0"/>
        <w:rPr>
          <w:noProof/>
        </w:rPr>
      </w:pPr>
      <w:r w:rsidRPr="003C227F">
        <w:rPr>
          <w:noProof/>
        </w:rPr>
        <w:t>(4)</w:t>
      </w:r>
      <w:r w:rsidRPr="003C227F">
        <w:rPr>
          <w:noProof/>
        </w:rPr>
        <w:tab/>
      </w:r>
      <w:r w:rsidR="00430BC2" w:rsidRPr="00B94438">
        <w:rPr>
          <w:noProof/>
        </w:rPr>
        <w:t xml:space="preserve">v Prilogi I se oddelek 1 – „Poročanje o kapitalu in kapitalskih zahtevah“ spremeni: </w:t>
      </w:r>
    </w:p>
    <w:p w:rsidR="00430BC2" w:rsidRPr="00B94438" w:rsidRDefault="003C227F" w:rsidP="003C227F">
      <w:pPr>
        <w:pStyle w:val="Point1"/>
        <w:rPr>
          <w:noProof/>
        </w:rPr>
      </w:pPr>
      <w:r w:rsidRPr="003C227F">
        <w:rPr>
          <w:noProof/>
        </w:rPr>
        <w:t>(a)</w:t>
      </w:r>
      <w:r w:rsidRPr="003C227F">
        <w:rPr>
          <w:noProof/>
        </w:rPr>
        <w:tab/>
      </w:r>
      <w:r w:rsidR="00430BC2" w:rsidRPr="00B94438">
        <w:rPr>
          <w:noProof/>
        </w:rPr>
        <w:t>predloga „C 16.01 – OPERATIVNO TVEGANJE – KAPITALSKE ZAHTEVE (OPR OF)“ se nadomesti s predlogo „C 16.01 – OPERATIVNO TVEGANJE – KAPITALSKE ZAHTEVE (OPR OF)“ iz Priloge k tej uredbi;</w:t>
      </w:r>
    </w:p>
    <w:p w:rsidR="00430BC2" w:rsidRPr="00B94438" w:rsidRDefault="003C227F" w:rsidP="003C227F">
      <w:pPr>
        <w:pStyle w:val="Point1"/>
        <w:rPr>
          <w:noProof/>
        </w:rPr>
      </w:pPr>
      <w:r w:rsidRPr="003C227F">
        <w:rPr>
          <w:noProof/>
        </w:rPr>
        <w:t>(b)</w:t>
      </w:r>
      <w:r w:rsidRPr="003C227F">
        <w:rPr>
          <w:noProof/>
        </w:rPr>
        <w:tab/>
      </w:r>
      <w:r w:rsidR="00430BC2" w:rsidRPr="00B94438">
        <w:rPr>
          <w:noProof/>
        </w:rPr>
        <w:t>predloga „C 16.02 – OPERATIVNO TVEGANJE – KOMPONENTA KAZALNIKA POSLOVANJA (OPR BIC)“, predloga „C 16.03 – RAZČLENITEV OPERATIVNEGA TVEGANJA (OPR BD) – IZGUBE, ODHODKI, REZERVACIJE IN DRUGI FINANČNI VPLIVI, KI IZHAJAJO IZ DOGODKOV OPERATIVNEGA TVEGANJA“ in predloga „C 16.04 – OPERATIVNO TVEGANJE – INFORMACIJE O PODREJENIH DRUŽBAH, ZA KATERE VELJA ČLEN 314(3) UREDBE O KAPITALSKIH ZAHTEVAH“ iz Priloge k tej uredbi se dodajo za predlogo „C 16.01 – OPERATIVNO TVEGANJE – KAPITALSKE ZAHTEVE (OPR OF)“.</w:t>
      </w:r>
    </w:p>
    <w:p w:rsidR="00430BC2" w:rsidRPr="00B94438" w:rsidRDefault="00430BC2" w:rsidP="004E1EF9">
      <w:pPr>
        <w:pStyle w:val="Titrearticle"/>
        <w:rPr>
          <w:noProof/>
        </w:rPr>
      </w:pPr>
      <w:r w:rsidRPr="00B94438">
        <w:rPr>
          <w:noProof/>
        </w:rPr>
        <w:t>Člen 2</w:t>
      </w:r>
    </w:p>
    <w:p w:rsidR="00430BC2" w:rsidRPr="00B94438" w:rsidRDefault="00430BC2" w:rsidP="004E1EF9">
      <w:pPr>
        <w:rPr>
          <w:noProof/>
        </w:rPr>
      </w:pPr>
      <w:r w:rsidRPr="00B94438">
        <w:rPr>
          <w:noProof/>
        </w:rPr>
        <w:t xml:space="preserve">Ta uredba začne veljati dvajseti dan po objavi v </w:t>
      </w:r>
      <w:r w:rsidRPr="00B94438">
        <w:rPr>
          <w:i/>
          <w:noProof/>
        </w:rPr>
        <w:t>Uradnem listu Evropske unije</w:t>
      </w:r>
      <w:r w:rsidRPr="00B94438">
        <w:rPr>
          <w:noProof/>
        </w:rPr>
        <w:t>.</w:t>
      </w:r>
    </w:p>
    <w:p w:rsidR="00430BC2" w:rsidRPr="00B94438" w:rsidRDefault="00430BC2" w:rsidP="004E1EF9">
      <w:pPr>
        <w:pStyle w:val="Applicationdirecte"/>
        <w:rPr>
          <w:noProof/>
        </w:rPr>
      </w:pPr>
      <w:r w:rsidRPr="00B94438">
        <w:rPr>
          <w:noProof/>
        </w:rPr>
        <w:t>Ta uredba je v celoti zavezujoča in se neposredno uporablja v vseh državah članicah.</w:t>
      </w:r>
    </w:p>
    <w:p w:rsidR="00430BC2" w:rsidRPr="00B94438" w:rsidRDefault="00B759FA" w:rsidP="00C8791C">
      <w:pPr>
        <w:pStyle w:val="Fait"/>
        <w:rPr>
          <w:noProof/>
        </w:rPr>
      </w:pPr>
      <w:r>
        <w:rPr>
          <w:noProof/>
        </w:rPr>
        <w:t>V Bruslju, 8.12.2025</w:t>
      </w:r>
    </w:p>
    <w:p w:rsidR="00430BC2" w:rsidRPr="00B94438" w:rsidRDefault="00430BC2" w:rsidP="00C8791C">
      <w:pPr>
        <w:pStyle w:val="Institutionquisigne"/>
        <w:rPr>
          <w:noProof/>
        </w:rPr>
      </w:pPr>
      <w:r w:rsidRPr="00B94438">
        <w:rPr>
          <w:noProof/>
        </w:rPr>
        <w:tab/>
        <w:t>Za Komisijo</w:t>
      </w:r>
    </w:p>
    <w:p w:rsidR="00CE1BA2" w:rsidRPr="00B94438" w:rsidRDefault="008C05FC" w:rsidP="00C8791C">
      <w:pPr>
        <w:pStyle w:val="Personnequisigne"/>
        <w:keepNext/>
        <w:rPr>
          <w:noProof/>
        </w:rPr>
      </w:pPr>
      <w:r>
        <w:rPr>
          <w:noProof/>
        </w:rPr>
        <w:tab/>
        <w:t>Predsednica</w:t>
      </w:r>
      <w:r>
        <w:rPr>
          <w:noProof/>
        </w:rPr>
        <w:br/>
      </w:r>
      <w:r>
        <w:rPr>
          <w:noProof/>
        </w:rPr>
        <w:tab/>
        <w:t>Ursula VON DER LEYEN</w:t>
      </w:r>
    </w:p>
    <w:p w:rsidR="00430BC2" w:rsidRPr="00B94438" w:rsidRDefault="00430BC2" w:rsidP="00430BC2">
      <w:pPr>
        <w:pStyle w:val="Personnequisigne"/>
        <w:rPr>
          <w:noProof/>
        </w:rPr>
      </w:pPr>
    </w:p>
    <w:sectPr w:rsidR="00430BC2" w:rsidRPr="00B94438" w:rsidSect="001A585C">
      <w:headerReference w:type="even" r:id="rId10"/>
      <w:footerReference w:type="even" r:id="rId11"/>
      <w:footerReference w:type="default" r:id="rId12"/>
      <w:headerReference w:type="firs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5C" w:rsidRPr="001A585C" w:rsidRDefault="001A585C" w:rsidP="001A585C">
    <w:pPr>
      <w:pStyle w:val="Footer"/>
      <w:rPr>
        <w:rFonts w:ascii="Arial" w:hAnsi="Arial" w:cs="Arial"/>
        <w:b/>
        <w:sz w:val="48"/>
      </w:rPr>
    </w:pPr>
    <w:r w:rsidRPr="001A585C">
      <w:rPr>
        <w:rFonts w:ascii="Arial" w:hAnsi="Arial" w:cs="Arial"/>
        <w:b/>
        <w:sz w:val="48"/>
      </w:rPr>
      <w:t>SL</w:t>
    </w:r>
    <w:r w:rsidRPr="001A585C">
      <w:rPr>
        <w:rFonts w:ascii="Arial" w:hAnsi="Arial" w:cs="Arial"/>
        <w:b/>
        <w:sz w:val="48"/>
      </w:rPr>
      <w:tab/>
    </w:r>
    <w:r w:rsidRPr="001A585C">
      <w:rPr>
        <w:rFonts w:ascii="Arial" w:hAnsi="Arial" w:cs="Arial"/>
        <w:b/>
        <w:sz w:val="48"/>
      </w:rPr>
      <w:tab/>
    </w:r>
    <w:r w:rsidRPr="001A585C">
      <w:tab/>
    </w:r>
    <w:r w:rsidRPr="001A585C">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5C" w:rsidRPr="001A585C" w:rsidRDefault="001A585C" w:rsidP="001A585C">
    <w:pPr>
      <w:pStyle w:val="Footer"/>
      <w:rPr>
        <w:rFonts w:ascii="Arial" w:hAnsi="Arial" w:cs="Arial"/>
        <w:b/>
        <w:sz w:val="48"/>
      </w:rPr>
    </w:pPr>
    <w:r w:rsidRPr="001A585C">
      <w:rPr>
        <w:rFonts w:ascii="Arial" w:hAnsi="Arial" w:cs="Arial"/>
        <w:b/>
        <w:sz w:val="48"/>
      </w:rPr>
      <w:t>SL</w:t>
    </w:r>
    <w:r w:rsidRPr="001A585C">
      <w:rPr>
        <w:rFonts w:ascii="Arial" w:hAnsi="Arial" w:cs="Arial"/>
        <w:b/>
        <w:sz w:val="48"/>
      </w:rPr>
      <w:tab/>
    </w:r>
    <w:r w:rsidRPr="001A585C">
      <w:rPr>
        <w:rFonts w:ascii="Arial" w:hAnsi="Arial" w:cs="Arial"/>
        <w:b/>
        <w:sz w:val="48"/>
      </w:rPr>
      <w:tab/>
    </w:r>
    <w:r w:rsidRPr="001A585C">
      <w:tab/>
    </w:r>
    <w:r w:rsidRPr="001A585C">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5C" w:rsidRDefault="001A58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5C" w:rsidRPr="001A585C" w:rsidRDefault="001A585C" w:rsidP="001A585C">
    <w:pPr>
      <w:pStyle w:val="Footer"/>
      <w:rPr>
        <w:rFonts w:ascii="Arial" w:hAnsi="Arial" w:cs="Arial"/>
        <w:b/>
        <w:sz w:val="48"/>
      </w:rPr>
    </w:pPr>
    <w:r w:rsidRPr="001A585C">
      <w:rPr>
        <w:rFonts w:ascii="Arial" w:hAnsi="Arial" w:cs="Arial"/>
        <w:b/>
        <w:sz w:val="48"/>
      </w:rPr>
      <w:t>SL</w:t>
    </w:r>
    <w:r w:rsidRPr="001A585C">
      <w:rPr>
        <w:rFonts w:ascii="Arial" w:hAnsi="Arial" w:cs="Arial"/>
        <w:b/>
        <w:sz w:val="48"/>
      </w:rPr>
      <w:tab/>
    </w:r>
    <w:r>
      <w:fldChar w:fldCharType="begin"/>
    </w:r>
    <w:r>
      <w:instrText xml:space="preserve"> PAGE  \* MERGEFORMAT </w:instrText>
    </w:r>
    <w:r>
      <w:fldChar w:fldCharType="separate"/>
    </w:r>
    <w:r w:rsidR="00C8791C">
      <w:rPr>
        <w:noProof/>
      </w:rPr>
      <w:t>3</w:t>
    </w:r>
    <w:r>
      <w:fldChar w:fldCharType="end"/>
    </w:r>
    <w:r>
      <w:tab/>
    </w:r>
    <w:r w:rsidRPr="001A585C">
      <w:tab/>
    </w:r>
    <w:r w:rsidRPr="001A585C">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5C" w:rsidRDefault="001A585C" w:rsidP="001A5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980B82" w:rsidRDefault="00430BC2" w:rsidP="00430BC2">
      <w:pPr>
        <w:pStyle w:val="FootnoteText"/>
      </w:pPr>
      <w:r>
        <w:rPr>
          <w:rStyle w:val="FootnoteReference"/>
        </w:rPr>
        <w:footnoteRef/>
      </w:r>
      <w:r>
        <w:tab/>
        <w:t>UL L 176, 27.6.2013, str. 1, ELI: http://data.europa.eu/eli/reg/2013/575/oj.</w:t>
      </w:r>
    </w:p>
  </w:footnote>
  <w:footnote w:id="2">
    <w:p w:rsidR="00430BC2" w:rsidRPr="006510B1" w:rsidRDefault="00430BC2" w:rsidP="00430BC2">
      <w:pPr>
        <w:pStyle w:val="FootnoteText"/>
        <w:rPr>
          <w:rFonts w:eastAsiaTheme="minorEastAsia"/>
        </w:rPr>
      </w:pPr>
      <w:r>
        <w:rPr>
          <w:rStyle w:val="FootnoteReference"/>
        </w:rPr>
        <w:footnoteRef/>
      </w:r>
      <w:r>
        <w:tab/>
        <w:t xml:space="preserve">Uredba (EU) 2024/1623 Evropskega parlamenta in Sveta z dne 31. maja 2024 o spremembi Uredbe (EU) št. 575/2013 glede zahtev za kreditno tveganje, tveganje prilagoditve kreditnega vrednotenja, operativno tveganje, tržno tveganje in izstopni prag (UL L, 19.6.2024, str. 1, ELI: </w:t>
      </w:r>
      <w:bookmarkStart w:id="1" w:name="_Hlk198544494"/>
      <w:r>
        <w:t>http://data.europa.eu/eli/reg/2024/1623/oj</w:t>
      </w:r>
      <w:bookmarkEnd w:id="1"/>
      <w:r>
        <w:t>).</w:t>
      </w:r>
    </w:p>
  </w:footnote>
  <w:footnote w:id="3">
    <w:p w:rsidR="00430BC2" w:rsidRPr="006510B1" w:rsidRDefault="00430BC2" w:rsidP="00430BC2">
      <w:pPr>
        <w:pStyle w:val="FootnoteText"/>
      </w:pPr>
      <w:r>
        <w:rPr>
          <w:rStyle w:val="FootnoteReference"/>
        </w:rPr>
        <w:footnoteRef/>
      </w:r>
      <w:r>
        <w:tab/>
        <w:t>Izvedbena uredba Komisije (EU) 2024/3117 z dne 29. novembra 2024 o določitvi izvedbenih tehničnih standardov za uporabo Uredbe (EU) št. 575/2013 Evropskega parlamenta in Sveta v zvezi z nadzorniškim poročanjem institucij in razveljavitvi Izvedbene uredbe (EU) št. 2021/451 (UL L 2024/3117, 27.12.2024, str. 1, ELI: </w:t>
      </w:r>
      <w:bookmarkStart w:id="2" w:name="_Hlk198544532"/>
      <w:r>
        <w:fldChar w:fldCharType="begin"/>
      </w:r>
      <w:r>
        <w:instrText>HYPERLINK "http://data.europa.eu/eli/reg_impl/2024/3117/oj" \t "_blank" \o "Povezava ELI na ta dokument"</w:instrText>
      </w:r>
      <w:r>
        <w:fldChar w:fldCharType="separate"/>
      </w:r>
      <w:r>
        <w:t>http://data.europa.eu/eli/reg_impl/2024/3117/oj</w:t>
      </w:r>
      <w:r>
        <w:fldChar w:fldCharType="end"/>
      </w:r>
      <w:bookmarkEnd w:id="2"/>
      <w:r>
        <w:t>).</w:t>
      </w:r>
    </w:p>
  </w:footnote>
  <w:footnote w:id="4">
    <w:p w:rsidR="00430BC2" w:rsidRPr="0029202E" w:rsidRDefault="00430BC2" w:rsidP="00430BC2">
      <w:pPr>
        <w:pStyle w:val="FootnoteText"/>
      </w:pPr>
      <w:r>
        <w:rPr>
          <w:rStyle w:val="FootnoteReference"/>
        </w:rPr>
        <w:footnoteRef/>
      </w:r>
      <w:r>
        <w:tab/>
        <w:t>Delegirana uredba Komisije (EU) 2025/1496 z dne 12. junija 2025 o spremembi Uredbe (EU) št. 575/2013 Evropskega parlamenta in Sveta v zvezi z datumom začetka uporabe kapitalskih zahtev za tržno tveganje (UL L, 2025/1496, 19.9.2025, ELI: http://data.europa.eu/eli/reg_del/2025/1496/oj).</w:t>
      </w:r>
    </w:p>
  </w:footnote>
  <w:footnote w:id="5">
    <w:p w:rsidR="00430BC2" w:rsidRDefault="00430BC2" w:rsidP="00430BC2">
      <w:pPr>
        <w:pStyle w:val="FootnoteText"/>
      </w:pPr>
      <w:r>
        <w:rPr>
          <w:rStyle w:val="FootnoteReference"/>
        </w:rPr>
        <w:footnoteRef/>
      </w:r>
      <w:r>
        <w:tab/>
        <w:t xml:space="preserve">Izvedbena uredba Komisije (EU) 2021/451 z dne 17. decembra 2020 o določitvi izvedbenih tehničnih standardov za uporabo Uredbe (EU) št. 575/2013 Evropskega parlamenta in Sveta v zvezi z nadzorniškim poročanjem institucij in razveljavitvi Izvedbene uredbe (EU) št. 680/2014 (UL L 97, 19.3.2021, str. 1, ELI: </w:t>
      </w:r>
      <w:hyperlink r:id="rId1" w:history="1">
        <w:r>
          <w:rPr>
            <w:rStyle w:val="Hyperlink"/>
          </w:rPr>
          <w:t>http://data.europa.eu/eli/reg_impl/2021/451/oj</w:t>
        </w:r>
      </w:hyperlink>
      <w:r>
        <w:t>).</w:t>
      </w:r>
    </w:p>
  </w:footnote>
  <w:footnote w:id="6">
    <w:p w:rsidR="00430BC2" w:rsidRPr="006510B1" w:rsidRDefault="00430BC2" w:rsidP="00430BC2">
      <w:pPr>
        <w:pStyle w:val="FootnoteText"/>
      </w:pPr>
      <w:r>
        <w:rPr>
          <w:rStyle w:val="FootnoteReference"/>
        </w:rPr>
        <w:footnoteRef/>
      </w:r>
      <w:r>
        <w:tab/>
      </w:r>
      <w:bookmarkStart w:id="3" w:name="_Hlk198544390"/>
      <w:r>
        <w:t>Uredba (EU) št. 1093/2010 Evropskega parlamenta in Sveta z dne 24. novembra 2010 o ustanovitvi Evropskega nadzornega organa</w:t>
      </w:r>
      <w:bookmarkEnd w:id="3"/>
      <w:r>
        <w:t xml:space="preserve"> (Evropski bančni organ) in o spremembi Sklepa št. 716/2009/ES ter razveljavitvi Sklepa Komisije 2009/78/ES (UL L 331, 15.12.2010, str.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5C" w:rsidRDefault="001A5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5C" w:rsidRDefault="001A5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9E68A4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D48CF1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87E2B4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76427B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22"/>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11: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D38D659-D59E-4918-993F-C243E9B42486"/>
    <w:docVar w:name="LW_COVERPAGE_TYPE" w:val="1"/>
    <w:docVar w:name="LW_CreatedUtc" w:val="2025-10-08T14:24:25.1973363Z"/>
    <w:docVar w:name="LW_CROSSREFERENCE" w:val="&lt;UNUSED&gt;"/>
    <w:docVar w:name="LW_DATE.ADOPT.CP" w:val="z dne 8.12.2025"/>
    <w:docVar w:name="LW_DATE.ADOPT.CP_DATEFORMAT" w:val="z dne %DATE%"/>
    <w:docVar w:name="LW_DATE.ADOPT.CP_ISODATE" w:val="2025-12-08"/>
    <w:docVar w:name="LW_DocType" w:val="COM"/>
    <w:docVar w:name="LW_EMISSION" w:val="8.12.2025"/>
    <w:docVar w:name="LW_EMISSION_ISODATE" w:val="2025-12-08"/>
    <w:docVar w:name="LW_EMISSION_LOCATION" w:val="BRX"/>
    <w:docVar w:name="LW_EMISSION_PREFIX" w:val="Bruselj, "/>
    <w:docVar w:name="LW_EMISSION_SUFFIX" w:val=" "/>
    <w:docVar w:name="LW_ID_DOCMODEL" w:val="SJ-004"/>
    <w:docVar w:name="LW_ID_DOCSIGNATURE" w:val="SJ-004"/>
    <w:docVar w:name="LW_ID_DOCSTRUCTURE" w:val="COM/AA"/>
    <w:docVar w:name="LW_ID_DOCTYPE" w:val="SJ-004"/>
    <w:docVar w:name="LW_INTERETEEE.CP" w:val="(Besedilo velja za EGP)"/>
    <w:docVar w:name="LW_LANGUE" w:val="SL"/>
    <w:docVar w:name="LW_LANGUESFAISANTFOI.CP" w:val="&lt;UNUSED&gt;"/>
    <w:docVar w:name="LW_LEVEL_OF_SENSITIVITY" w:val="Standard treatment"/>
    <w:docVar w:name="LW_NOM.INST" w:val="EVROPSKA KOMISIJA"/>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spremembi izvedbenih tehni\u269?nih standardov, dolo\u269?enih v Izvedbeni uredbi (EU) 2024/3117, v zvezi z nadzorni\u353?kim poro\u269?anjem institucij o operativnem tveganju"/>
    <w:docVar w:name="LW_TYPE.DOC.CP" w:val="IZVEDBENA UREDBA KOMISIJE (EU) \u8230?/\u8230?"/>
    <w:docVar w:name="LwApiVersions" w:val="LW4CoDe 1.24.5.0; LW 9.2, Build 20251112"/>
  </w:docVars>
  <w:rsids>
    <w:rsidRoot w:val="00430BC2"/>
    <w:rsid w:val="00017C96"/>
    <w:rsid w:val="0004435A"/>
    <w:rsid w:val="00050CA3"/>
    <w:rsid w:val="000925BF"/>
    <w:rsid w:val="001065F5"/>
    <w:rsid w:val="001238EF"/>
    <w:rsid w:val="00133705"/>
    <w:rsid w:val="00151C13"/>
    <w:rsid w:val="0018487E"/>
    <w:rsid w:val="00197613"/>
    <w:rsid w:val="001A585C"/>
    <w:rsid w:val="001F257F"/>
    <w:rsid w:val="001F6291"/>
    <w:rsid w:val="00233DC7"/>
    <w:rsid w:val="00247779"/>
    <w:rsid w:val="00285BEE"/>
    <w:rsid w:val="0029533F"/>
    <w:rsid w:val="002B30AF"/>
    <w:rsid w:val="002E5318"/>
    <w:rsid w:val="0033344A"/>
    <w:rsid w:val="00341E8C"/>
    <w:rsid w:val="0038150A"/>
    <w:rsid w:val="003B1F32"/>
    <w:rsid w:val="003B7703"/>
    <w:rsid w:val="003C227F"/>
    <w:rsid w:val="0042648E"/>
    <w:rsid w:val="00430BC2"/>
    <w:rsid w:val="004404AB"/>
    <w:rsid w:val="00445072"/>
    <w:rsid w:val="00487D9D"/>
    <w:rsid w:val="004936D2"/>
    <w:rsid w:val="005049DF"/>
    <w:rsid w:val="005152A4"/>
    <w:rsid w:val="0055312E"/>
    <w:rsid w:val="00561998"/>
    <w:rsid w:val="00562257"/>
    <w:rsid w:val="005B1EB6"/>
    <w:rsid w:val="005C3803"/>
    <w:rsid w:val="0064748D"/>
    <w:rsid w:val="006A3A74"/>
    <w:rsid w:val="006F3E02"/>
    <w:rsid w:val="007173CF"/>
    <w:rsid w:val="0076425B"/>
    <w:rsid w:val="00773331"/>
    <w:rsid w:val="007932EF"/>
    <w:rsid w:val="007E05B0"/>
    <w:rsid w:val="007F4A46"/>
    <w:rsid w:val="00847BAB"/>
    <w:rsid w:val="00874D22"/>
    <w:rsid w:val="00883B63"/>
    <w:rsid w:val="0089317B"/>
    <w:rsid w:val="008A2914"/>
    <w:rsid w:val="008C05FC"/>
    <w:rsid w:val="008E4D8E"/>
    <w:rsid w:val="009109C8"/>
    <w:rsid w:val="00911C8B"/>
    <w:rsid w:val="00957BDE"/>
    <w:rsid w:val="009F2131"/>
    <w:rsid w:val="00A362F7"/>
    <w:rsid w:val="00A50C30"/>
    <w:rsid w:val="00A9563C"/>
    <w:rsid w:val="00AB21F1"/>
    <w:rsid w:val="00AC2E30"/>
    <w:rsid w:val="00AD7C0F"/>
    <w:rsid w:val="00AE0A54"/>
    <w:rsid w:val="00AE3DBA"/>
    <w:rsid w:val="00B00238"/>
    <w:rsid w:val="00B40F1A"/>
    <w:rsid w:val="00B443FE"/>
    <w:rsid w:val="00B6677A"/>
    <w:rsid w:val="00B759FA"/>
    <w:rsid w:val="00B94438"/>
    <w:rsid w:val="00C02DE4"/>
    <w:rsid w:val="00C12301"/>
    <w:rsid w:val="00C7618A"/>
    <w:rsid w:val="00C84FA7"/>
    <w:rsid w:val="00C862B2"/>
    <w:rsid w:val="00C8791C"/>
    <w:rsid w:val="00CE1BA2"/>
    <w:rsid w:val="00D03513"/>
    <w:rsid w:val="00D20381"/>
    <w:rsid w:val="00D35402"/>
    <w:rsid w:val="00F34696"/>
    <w:rsid w:val="00F47C85"/>
    <w:rsid w:val="00FA5D80"/>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paragraph" w:styleId="Caption">
    <w:name w:val="caption"/>
    <w:basedOn w:val="Normal"/>
    <w:next w:val="Normal"/>
    <w:uiPriority w:val="35"/>
    <w:semiHidden/>
    <w:unhideWhenUsed/>
    <w:qFormat/>
    <w:rsid w:val="00D3540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35402"/>
    <w:pPr>
      <w:spacing w:after="0"/>
    </w:pPr>
  </w:style>
  <w:style w:type="paragraph" w:styleId="ListNumber">
    <w:name w:val="List Number"/>
    <w:basedOn w:val="Normal"/>
    <w:uiPriority w:val="99"/>
    <w:semiHidden/>
    <w:unhideWhenUsed/>
    <w:rsid w:val="00D35402"/>
    <w:pPr>
      <w:numPr>
        <w:numId w:val="7"/>
      </w:numPr>
      <w:contextualSpacing/>
    </w:pPr>
  </w:style>
  <w:style w:type="paragraph" w:styleId="ListNumber2">
    <w:name w:val="List Number 2"/>
    <w:basedOn w:val="Normal"/>
    <w:uiPriority w:val="99"/>
    <w:semiHidden/>
    <w:unhideWhenUsed/>
    <w:rsid w:val="00D35402"/>
    <w:pPr>
      <w:numPr>
        <w:numId w:val="8"/>
      </w:numPr>
      <w:contextualSpacing/>
    </w:pPr>
  </w:style>
  <w:style w:type="paragraph" w:styleId="ListNumber3">
    <w:name w:val="List Number 3"/>
    <w:basedOn w:val="Normal"/>
    <w:uiPriority w:val="99"/>
    <w:semiHidden/>
    <w:unhideWhenUsed/>
    <w:rsid w:val="00D35402"/>
    <w:pPr>
      <w:numPr>
        <w:numId w:val="9"/>
      </w:numPr>
      <w:contextualSpacing/>
    </w:pPr>
  </w:style>
  <w:style w:type="paragraph" w:styleId="ListNumber4">
    <w:name w:val="List Number 4"/>
    <w:basedOn w:val="Normal"/>
    <w:uiPriority w:val="99"/>
    <w:semiHidden/>
    <w:unhideWhenUsed/>
    <w:rsid w:val="00D35402"/>
    <w:pPr>
      <w:numPr>
        <w:numId w:val="10"/>
      </w:numPr>
      <w:contextualSpacing/>
    </w:pPr>
  </w:style>
  <w:style w:type="paragraph" w:styleId="CommentSubject">
    <w:name w:val="annotation subject"/>
    <w:basedOn w:val="CommentText"/>
    <w:next w:val="CommentText"/>
    <w:link w:val="CommentSubjectChar"/>
    <w:uiPriority w:val="99"/>
    <w:semiHidden/>
    <w:unhideWhenUsed/>
    <w:rsid w:val="00F34696"/>
    <w:rPr>
      <w:b/>
      <w:bCs/>
    </w:rPr>
  </w:style>
  <w:style w:type="character" w:customStyle="1" w:styleId="CommentSubjectChar">
    <w:name w:val="Comment Subject Char"/>
    <w:basedOn w:val="CommentTextChar"/>
    <w:link w:val="CommentSubject"/>
    <w:uiPriority w:val="99"/>
    <w:semiHidden/>
    <w:rsid w:val="00F34696"/>
    <w:rPr>
      <w:rFonts w:ascii="Times New Roman" w:hAnsi="Times New Roman" w:cs="Times New Roman"/>
      <w:b/>
      <w:bCs/>
      <w:sz w:val="20"/>
      <w:szCs w:val="20"/>
      <w:lang w:val="sl-SI"/>
    </w:rPr>
  </w:style>
  <w:style w:type="character" w:customStyle="1" w:styleId="UnresolvedMention">
    <w:name w:val="Unresolved Mention"/>
    <w:basedOn w:val="DefaultParagraphFont"/>
    <w:uiPriority w:val="99"/>
    <w:semiHidden/>
    <w:unhideWhenUsed/>
    <w:rsid w:val="00F34696"/>
    <w:rPr>
      <w:color w:val="605E5C"/>
      <w:shd w:val="clear" w:color="auto" w:fill="E1DFDD"/>
    </w:rPr>
  </w:style>
  <w:style w:type="character" w:customStyle="1" w:styleId="HeaderChar">
    <w:name w:val="Header Char"/>
    <w:basedOn w:val="DefaultParagraphFont"/>
    <w:link w:val="Header"/>
    <w:uiPriority w:val="99"/>
    <w:rsid w:val="001A585C"/>
    <w:rPr>
      <w:rFonts w:ascii="Times New Roman" w:hAnsi="Times New Roman" w:cs="Times New Roman"/>
      <w:sz w:val="24"/>
      <w:lang w:val="sl-SI"/>
    </w:rPr>
  </w:style>
  <w:style w:type="character" w:customStyle="1" w:styleId="FooterChar">
    <w:name w:val="Footer Char"/>
    <w:basedOn w:val="DefaultParagraphFont"/>
    <w:link w:val="Footer"/>
    <w:uiPriority w:val="99"/>
    <w:rsid w:val="001A585C"/>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l-S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l-S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A585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A585C"/>
    <w:pPr>
      <w:spacing w:before="0"/>
      <w:jc w:val="right"/>
    </w:pPr>
    <w:rPr>
      <w:sz w:val="28"/>
    </w:rPr>
  </w:style>
  <w:style w:type="paragraph" w:customStyle="1" w:styleId="FooterSensitivity">
    <w:name w:val="Footer Sensitivity"/>
    <w:basedOn w:val="Normal"/>
    <w:rsid w:val="001A585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1A585C"/>
    <w:pPr>
      <w:tabs>
        <w:tab w:val="center" w:pos="4535"/>
        <w:tab w:val="right" w:pos="9071"/>
      </w:tabs>
      <w:spacing w:before="0"/>
    </w:pPr>
  </w:style>
  <w:style w:type="paragraph" w:customStyle="1" w:styleId="HeaderLandscape">
    <w:name w:val="HeaderLandscape"/>
    <w:basedOn w:val="Normal"/>
    <w:rsid w:val="001A585C"/>
    <w:pPr>
      <w:tabs>
        <w:tab w:val="center" w:pos="7285"/>
        <w:tab w:val="right" w:pos="14003"/>
      </w:tabs>
      <w:spacing w:before="0"/>
    </w:pPr>
  </w:style>
  <w:style w:type="paragraph" w:styleId="Footer">
    <w:name w:val="footer"/>
    <w:basedOn w:val="Normal"/>
    <w:link w:val="FooterChar"/>
    <w:uiPriority w:val="99"/>
    <w:unhideWhenUsed/>
    <w:rsid w:val="001A585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A585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20282-F744-4E83-96BB-588B1529C94C}"/>
</file>

<file path=customXml/itemProps2.xml><?xml version="1.0" encoding="utf-8"?>
<ds:datastoreItem xmlns:ds="http://schemas.openxmlformats.org/officeDocument/2006/customXml" ds:itemID="{A717F9F8-FE0F-4A91-9FA7-86B334BE1247}"/>
</file>

<file path=customXml/itemProps3.xml><?xml version="1.0" encoding="utf-8"?>
<ds:datastoreItem xmlns:ds="http://schemas.openxmlformats.org/officeDocument/2006/customXml" ds:itemID="{CF7675A5-5233-4671-A83F-260F12695790}"/>
</file>

<file path=docProps/app.xml><?xml version="1.0" encoding="utf-8"?>
<Properties xmlns="http://schemas.openxmlformats.org/officeDocument/2006/extended-properties" xmlns:vt="http://schemas.openxmlformats.org/officeDocument/2006/docPropsVTypes">
  <Template>COM.dotm</Template>
  <TotalTime>7</TotalTime>
  <Pages>4</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dcterms:created xsi:type="dcterms:W3CDTF">2025-11-19T12:59:00Z</dcterms:created>
  <dcterms:modified xsi:type="dcterms:W3CDTF">2025-12-02T09:11:00Z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