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33F" w:rsidRPr="008906D5" w:rsidRDefault="001F7706" w:rsidP="001F7706"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441152D7-1D22-44CE-B87C-3C106F84E839" style="width:455.25pt;height:345.75pt">
            <v:imagedata r:id="rId7" o:title=""/>
          </v:shape>
        </w:pict>
      </w:r>
    </w:p>
    <w:p w:rsidR="00430BC2" w:rsidRPr="008906D5" w:rsidRDefault="00430BC2">
      <w:pPr>
        <w:rPr>
          <w:noProof/>
        </w:rPr>
        <w:sectPr w:rsidR="00430BC2" w:rsidRPr="008906D5" w:rsidSect="001F7706">
          <w:footerReference w:type="even" r:id="rId8"/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:rsidR="00430BC2" w:rsidRPr="008906D5" w:rsidRDefault="00B5655C" w:rsidP="00B5655C">
      <w:pPr>
        <w:pStyle w:val="Typedudocument"/>
        <w:rPr>
          <w:noProof/>
        </w:rPr>
      </w:pPr>
      <w:bookmarkStart w:id="0" w:name="_GoBack"/>
      <w:bookmarkEnd w:id="0"/>
      <w:r w:rsidRPr="00B5655C">
        <w:rPr>
          <w:noProof/>
        </w:rPr>
        <w:lastRenderedPageBreak/>
        <w:t>VYKONÁVACIE NARIADENIE KOMISIE (EÚ) …/...</w:t>
      </w:r>
    </w:p>
    <w:p w:rsidR="00430BC2" w:rsidRPr="008906D5" w:rsidRDefault="004A0F9C" w:rsidP="00B5655C">
      <w:pPr>
        <w:pStyle w:val="Datedadoption"/>
        <w:rPr>
          <w:noProof/>
        </w:rPr>
      </w:pPr>
      <w:r>
        <w:rPr>
          <w:noProof/>
        </w:rPr>
        <w:t>z 8. 12. 2025,</w:t>
      </w:r>
    </w:p>
    <w:p w:rsidR="00430BC2" w:rsidRPr="008906D5" w:rsidRDefault="00B5655C" w:rsidP="00B5655C">
      <w:pPr>
        <w:pStyle w:val="Titreobjet"/>
        <w:rPr>
          <w:noProof/>
        </w:rPr>
      </w:pPr>
      <w:r w:rsidRPr="00B5655C">
        <w:rPr>
          <w:noProof/>
        </w:rPr>
        <w:t>ktorým sa menia vykonávacie technické predpisy stanovené vo vykonávacom nariadení (EÚ) 2024/3117, pokiaľ ide o vykazovanie inštitúciami na účely dohľadu v súvislosti s operačným rizikom</w:t>
      </w:r>
    </w:p>
    <w:p w:rsidR="00430BC2" w:rsidRPr="008906D5" w:rsidRDefault="00B5655C" w:rsidP="00B5655C">
      <w:pPr>
        <w:pStyle w:val="IntrtEEE"/>
        <w:rPr>
          <w:noProof/>
        </w:rPr>
      </w:pPr>
      <w:r w:rsidRPr="00B5655C">
        <w:rPr>
          <w:noProof/>
        </w:rPr>
        <w:t>(Text s významom pre EHP)</w:t>
      </w:r>
    </w:p>
    <w:p w:rsidR="00430BC2" w:rsidRPr="008906D5" w:rsidRDefault="00430BC2" w:rsidP="004E1EF9">
      <w:pPr>
        <w:pStyle w:val="Institutionquiagit"/>
        <w:rPr>
          <w:noProof/>
        </w:rPr>
      </w:pPr>
      <w:r w:rsidRPr="008906D5">
        <w:rPr>
          <w:noProof/>
        </w:rPr>
        <w:t>EURÓPSKA KOMISIA,</w:t>
      </w:r>
    </w:p>
    <w:p w:rsidR="00430BC2" w:rsidRPr="008906D5" w:rsidRDefault="00430BC2" w:rsidP="004E1EF9">
      <w:pPr>
        <w:rPr>
          <w:noProof/>
        </w:rPr>
      </w:pPr>
      <w:r w:rsidRPr="008906D5">
        <w:rPr>
          <w:noProof/>
        </w:rPr>
        <w:t>so zreteľom na nariadenie Európskeho parlamentu</w:t>
      </w:r>
      <w:r w:rsidR="008906D5">
        <w:rPr>
          <w:noProof/>
        </w:rPr>
        <w:t xml:space="preserve"> a </w:t>
      </w:r>
      <w:r w:rsidRPr="008906D5">
        <w:rPr>
          <w:noProof/>
        </w:rPr>
        <w:t xml:space="preserve">Rady (EÚ) </w:t>
      </w:r>
      <w:r w:rsidR="008906D5">
        <w:rPr>
          <w:noProof/>
        </w:rPr>
        <w:t>č. </w:t>
      </w:r>
      <w:r w:rsidRPr="008906D5">
        <w:rPr>
          <w:noProof/>
        </w:rPr>
        <w:t>575/2013</w:t>
      </w:r>
      <w:r w:rsidR="008906D5">
        <w:rPr>
          <w:noProof/>
        </w:rPr>
        <w:t xml:space="preserve"> z </w:t>
      </w:r>
      <w:r w:rsidRPr="008906D5">
        <w:rPr>
          <w:noProof/>
        </w:rPr>
        <w:t>26</w:t>
      </w:r>
      <w:r w:rsidR="008906D5">
        <w:rPr>
          <w:noProof/>
        </w:rPr>
        <w:t>. júna</w:t>
      </w:r>
      <w:r w:rsidRPr="008906D5">
        <w:rPr>
          <w:noProof/>
        </w:rPr>
        <w:t xml:space="preserve"> 2013</w:t>
      </w:r>
      <w:r w:rsidR="008906D5">
        <w:rPr>
          <w:noProof/>
        </w:rPr>
        <w:t xml:space="preserve"> o </w:t>
      </w:r>
      <w:r w:rsidRPr="008906D5">
        <w:rPr>
          <w:noProof/>
        </w:rPr>
        <w:t>prudenciálnych požiadavkách na úverové inštitúcie</w:t>
      </w:r>
      <w:r w:rsidR="008906D5">
        <w:rPr>
          <w:noProof/>
        </w:rPr>
        <w:t xml:space="preserve"> a o </w:t>
      </w:r>
      <w:r w:rsidRPr="008906D5">
        <w:rPr>
          <w:noProof/>
        </w:rPr>
        <w:t xml:space="preserve">zmene nariadenia (EÚ) </w:t>
      </w:r>
      <w:r w:rsidR="008906D5">
        <w:rPr>
          <w:noProof/>
        </w:rPr>
        <w:t>č. </w:t>
      </w:r>
      <w:r w:rsidRPr="008906D5">
        <w:rPr>
          <w:noProof/>
        </w:rPr>
        <w:t>648/2012</w:t>
      </w:r>
      <w:r w:rsidRPr="008906D5">
        <w:rPr>
          <w:rStyle w:val="FootnoteReference"/>
          <w:noProof/>
        </w:rPr>
        <w:footnoteReference w:id="1"/>
      </w:r>
      <w:r w:rsidRPr="008906D5">
        <w:rPr>
          <w:noProof/>
        </w:rPr>
        <w:t>,</w:t>
      </w:r>
      <w:r w:rsidR="008906D5">
        <w:rPr>
          <w:noProof/>
        </w:rPr>
        <w:t xml:space="preserve"> a </w:t>
      </w:r>
      <w:r w:rsidRPr="008906D5">
        <w:rPr>
          <w:noProof/>
        </w:rPr>
        <w:t>najmä na jeho článok 430 ods. 7 piaty pododsek,</w:t>
      </w:r>
    </w:p>
    <w:p w:rsidR="00430BC2" w:rsidRPr="008906D5" w:rsidRDefault="00430BC2" w:rsidP="004E1EF9">
      <w:pPr>
        <w:rPr>
          <w:noProof/>
        </w:rPr>
      </w:pPr>
      <w:r w:rsidRPr="008906D5">
        <w:rPr>
          <w:noProof/>
        </w:rPr>
        <w:t>keďže:</w:t>
      </w:r>
    </w:p>
    <w:p w:rsidR="00430BC2" w:rsidRPr="008906D5" w:rsidRDefault="005833D0" w:rsidP="005833D0">
      <w:pPr>
        <w:pStyle w:val="ManualConsidrant"/>
        <w:rPr>
          <w:noProof/>
        </w:rPr>
      </w:pPr>
      <w:r w:rsidRPr="005833D0">
        <w:rPr>
          <w:noProof/>
        </w:rPr>
        <w:t>(1)</w:t>
      </w:r>
      <w:r w:rsidRPr="005833D0">
        <w:rPr>
          <w:noProof/>
        </w:rPr>
        <w:tab/>
      </w:r>
      <w:r w:rsidR="00430BC2" w:rsidRPr="008906D5">
        <w:rPr>
          <w:noProof/>
        </w:rPr>
        <w:t xml:space="preserve">Nariadenie (EÚ) </w:t>
      </w:r>
      <w:r w:rsidR="008906D5">
        <w:rPr>
          <w:noProof/>
        </w:rPr>
        <w:t>č. </w:t>
      </w:r>
      <w:r w:rsidR="00430BC2" w:rsidRPr="008906D5">
        <w:rPr>
          <w:noProof/>
        </w:rPr>
        <w:t>575/2013 bolo zmenené nariadením Európskeho parlamentu</w:t>
      </w:r>
      <w:r w:rsidR="008906D5">
        <w:rPr>
          <w:noProof/>
        </w:rPr>
        <w:t xml:space="preserve"> a </w:t>
      </w:r>
      <w:r w:rsidR="00430BC2" w:rsidRPr="008906D5">
        <w:rPr>
          <w:noProof/>
        </w:rPr>
        <w:t>Rady (EÚ) 2024/1623</w:t>
      </w:r>
      <w:r w:rsidR="00430BC2" w:rsidRPr="008906D5">
        <w:rPr>
          <w:rStyle w:val="FootnoteReference"/>
          <w:noProof/>
        </w:rPr>
        <w:footnoteReference w:id="2"/>
      </w:r>
      <w:r w:rsidR="008906D5">
        <w:rPr>
          <w:noProof/>
        </w:rPr>
        <w:t xml:space="preserve"> s </w:t>
      </w:r>
      <w:r w:rsidR="00430BC2" w:rsidRPr="008906D5">
        <w:rPr>
          <w:noProof/>
        </w:rPr>
        <w:t>cieľom implementovať najnovší súbor medzinárodných noriem Bazilejského výboru pre bankový dohľad (Bazilej III). Uvedené normy viedli</w:t>
      </w:r>
      <w:r w:rsidR="008906D5">
        <w:rPr>
          <w:noProof/>
        </w:rPr>
        <w:t xml:space="preserve"> k </w:t>
      </w:r>
      <w:r w:rsidR="00430BC2" w:rsidRPr="008906D5">
        <w:rPr>
          <w:noProof/>
        </w:rPr>
        <w:t>prijatiu vykonávacieho nariadenia Komisie (EÚ) 2024/3117</w:t>
      </w:r>
      <w:r w:rsidR="00430BC2" w:rsidRPr="008906D5">
        <w:rPr>
          <w:rStyle w:val="FootnoteReference"/>
          <w:noProof/>
        </w:rPr>
        <w:footnoteReference w:id="3"/>
      </w:r>
      <w:r w:rsidR="00430BC2" w:rsidRPr="008906D5">
        <w:rPr>
          <w:noProof/>
        </w:rPr>
        <w:t xml:space="preserve">, ktorým sa stanovujú vykonávacie technické predpisy na uplatňovanie nariadenia (EÚ) </w:t>
      </w:r>
      <w:r w:rsidR="008906D5">
        <w:rPr>
          <w:noProof/>
        </w:rPr>
        <w:t>č. </w:t>
      </w:r>
      <w:r w:rsidR="00430BC2" w:rsidRPr="008906D5">
        <w:rPr>
          <w:noProof/>
        </w:rPr>
        <w:t>575/2013, pokiaľ ide</w:t>
      </w:r>
      <w:r w:rsidR="008906D5">
        <w:rPr>
          <w:noProof/>
        </w:rPr>
        <w:t xml:space="preserve"> o </w:t>
      </w:r>
      <w:r w:rsidR="00430BC2" w:rsidRPr="008906D5">
        <w:rPr>
          <w:noProof/>
        </w:rPr>
        <w:t>vykazovanie inštitúciami na účely dohľadu.</w:t>
      </w:r>
    </w:p>
    <w:p w:rsidR="00430BC2" w:rsidRPr="008906D5" w:rsidRDefault="005833D0" w:rsidP="005833D0">
      <w:pPr>
        <w:pStyle w:val="ManualConsidrant"/>
        <w:rPr>
          <w:noProof/>
        </w:rPr>
      </w:pPr>
      <w:r w:rsidRPr="005833D0">
        <w:rPr>
          <w:noProof/>
        </w:rPr>
        <w:t>(2)</w:t>
      </w:r>
      <w:r w:rsidRPr="005833D0">
        <w:rPr>
          <w:noProof/>
        </w:rPr>
        <w:tab/>
      </w:r>
      <w:r w:rsidR="00430BC2" w:rsidRPr="008906D5">
        <w:rPr>
          <w:noProof/>
        </w:rPr>
        <w:t>Vzhľadom na zmeny prudenciálneho rámca pre požiadavky na vlastné zdroje pre operačné riziko boli potrebné nové vzory na vykazovanie</w:t>
      </w:r>
      <w:r w:rsidR="008906D5">
        <w:rPr>
          <w:noProof/>
        </w:rPr>
        <w:t xml:space="preserve"> s </w:t>
      </w:r>
      <w:r w:rsidR="00430BC2" w:rsidRPr="008906D5">
        <w:rPr>
          <w:noProof/>
        </w:rPr>
        <w:t>cieľom zabezpečiť, aby inštitúcie vykazovali</w:t>
      </w:r>
      <w:r w:rsidR="008906D5">
        <w:rPr>
          <w:noProof/>
        </w:rPr>
        <w:t xml:space="preserve"> v </w:t>
      </w:r>
      <w:r w:rsidR="00430BC2" w:rsidRPr="008906D5">
        <w:rPr>
          <w:noProof/>
        </w:rPr>
        <w:t>súlade</w:t>
      </w:r>
      <w:r w:rsidR="008906D5">
        <w:rPr>
          <w:noProof/>
        </w:rPr>
        <w:t xml:space="preserve"> s </w:t>
      </w:r>
      <w:r w:rsidR="00430BC2" w:rsidRPr="008906D5">
        <w:rPr>
          <w:noProof/>
        </w:rPr>
        <w:t>novým zavedeným rámcom. Hoci niektoré</w:t>
      </w:r>
      <w:r w:rsidR="008906D5">
        <w:rPr>
          <w:noProof/>
        </w:rPr>
        <w:t xml:space="preserve"> z </w:t>
      </w:r>
      <w:r w:rsidR="00430BC2" w:rsidRPr="008906D5">
        <w:rPr>
          <w:noProof/>
        </w:rPr>
        <w:t>týchto zmien vo vzoroch na vykazovanie už boli zavedené nariadením (EÚ) 2024/3117, aktualizácia niekoľkých ďalších vzorov bola možná až po ďalšom technickom vývoji požiadaviek na operačné riziko, najmä pokiaľ ide</w:t>
      </w:r>
      <w:r w:rsidR="008906D5">
        <w:rPr>
          <w:noProof/>
        </w:rPr>
        <w:t xml:space="preserve"> o </w:t>
      </w:r>
      <w:r w:rsidR="00430BC2" w:rsidRPr="008906D5">
        <w:rPr>
          <w:noProof/>
        </w:rPr>
        <w:t>špecifikáciu zložiek ukazovateľa obchodovania, položiek, ktoré sa majú vylúčiť</w:t>
      </w:r>
      <w:r w:rsidR="008906D5">
        <w:rPr>
          <w:noProof/>
        </w:rPr>
        <w:t xml:space="preserve"> z </w:t>
      </w:r>
      <w:r w:rsidR="00430BC2" w:rsidRPr="008906D5">
        <w:rPr>
          <w:noProof/>
        </w:rPr>
        <w:t>ukazovateľa obchodovania,</w:t>
      </w:r>
      <w:r w:rsidR="008906D5">
        <w:rPr>
          <w:noProof/>
        </w:rPr>
        <w:t xml:space="preserve"> a </w:t>
      </w:r>
      <w:r w:rsidR="00430BC2" w:rsidRPr="008906D5">
        <w:rPr>
          <w:noProof/>
        </w:rPr>
        <w:t>ich priradenie</w:t>
      </w:r>
      <w:r w:rsidR="008906D5">
        <w:rPr>
          <w:noProof/>
        </w:rPr>
        <w:t xml:space="preserve"> k </w:t>
      </w:r>
      <w:r w:rsidR="00430BC2" w:rsidRPr="008906D5">
        <w:rPr>
          <w:noProof/>
        </w:rPr>
        <w:t>príslušným bunkám na vykazovanie.</w:t>
      </w:r>
    </w:p>
    <w:p w:rsidR="008906D5" w:rsidRDefault="005833D0" w:rsidP="005833D0">
      <w:pPr>
        <w:pStyle w:val="ManualConsidrant"/>
        <w:rPr>
          <w:noProof/>
        </w:rPr>
      </w:pPr>
      <w:r w:rsidRPr="005833D0">
        <w:rPr>
          <w:noProof/>
        </w:rPr>
        <w:t>(3)</w:t>
      </w:r>
      <w:r w:rsidRPr="005833D0">
        <w:rPr>
          <w:noProof/>
        </w:rPr>
        <w:tab/>
      </w:r>
      <w:r w:rsidR="00430BC2" w:rsidRPr="008906D5">
        <w:rPr>
          <w:noProof/>
        </w:rPr>
        <w:t>Delegovaným nariadením Komisie (EÚ) 2025/1496</w:t>
      </w:r>
      <w:r w:rsidR="00430BC2" w:rsidRPr="008906D5">
        <w:rPr>
          <w:rStyle w:val="FootnoteReference"/>
          <w:noProof/>
        </w:rPr>
        <w:footnoteReference w:id="4"/>
      </w:r>
      <w:r w:rsidR="00430BC2" w:rsidRPr="008906D5">
        <w:rPr>
          <w:noProof/>
        </w:rPr>
        <w:t xml:space="preserve"> sa odložil dátum začatia uplatňovania požiadaviek na vlastné zdroje pre trhové riziko na 1. január 2027.</w:t>
      </w:r>
      <w:r w:rsidR="008906D5">
        <w:rPr>
          <w:noProof/>
        </w:rPr>
        <w:t xml:space="preserve"> V </w:t>
      </w:r>
      <w:r w:rsidR="00430BC2" w:rsidRPr="008906D5">
        <w:rPr>
          <w:noProof/>
        </w:rPr>
        <w:t>dôsledku toho je potrebné zachovať existujúce vykazovanie</w:t>
      </w:r>
      <w:r w:rsidR="008906D5">
        <w:rPr>
          <w:noProof/>
        </w:rPr>
        <w:t xml:space="preserve"> v </w:t>
      </w:r>
      <w:r w:rsidR="00430BC2" w:rsidRPr="008906D5">
        <w:rPr>
          <w:noProof/>
        </w:rPr>
        <w:t>súvislosti</w:t>
      </w:r>
      <w:r w:rsidR="008906D5">
        <w:rPr>
          <w:noProof/>
        </w:rPr>
        <w:t xml:space="preserve"> s </w:t>
      </w:r>
      <w:r w:rsidR="00430BC2" w:rsidRPr="008906D5">
        <w:rPr>
          <w:noProof/>
        </w:rPr>
        <w:t>požiadavkami na trhové riziko, ktoré sa uplatňujú do 31</w:t>
      </w:r>
      <w:r w:rsidR="008906D5">
        <w:rPr>
          <w:noProof/>
        </w:rPr>
        <w:t>. decembra</w:t>
      </w:r>
      <w:r w:rsidR="00430BC2" w:rsidRPr="008906D5">
        <w:rPr>
          <w:noProof/>
        </w:rPr>
        <w:t xml:space="preserve"> 2026, bez zmien. Prechodné ustanovenia nariadenia (EÚ) 2024/3117 by sa preto mali predĺžiť</w:t>
      </w:r>
      <w:r w:rsidR="008906D5">
        <w:rPr>
          <w:noProof/>
        </w:rPr>
        <w:t xml:space="preserve"> a </w:t>
      </w:r>
      <w:r w:rsidR="00430BC2" w:rsidRPr="008906D5">
        <w:rPr>
          <w:noProof/>
        </w:rPr>
        <w:t>zrušenie príslušných ustanovení vykonávacieho nariadenia Komisie (EÚ) 2021/451</w:t>
      </w:r>
      <w:r w:rsidR="00430BC2" w:rsidRPr="008906D5">
        <w:rPr>
          <w:rStyle w:val="FootnoteReference"/>
          <w:noProof/>
        </w:rPr>
        <w:footnoteReference w:id="5"/>
      </w:r>
      <w:r w:rsidR="00430BC2" w:rsidRPr="008906D5">
        <w:rPr>
          <w:noProof/>
        </w:rPr>
        <w:t xml:space="preserve"> by sa malo odložiť</w:t>
      </w:r>
      <w:r w:rsidR="008906D5">
        <w:rPr>
          <w:noProof/>
        </w:rPr>
        <w:t xml:space="preserve"> o </w:t>
      </w:r>
      <w:r w:rsidR="00430BC2" w:rsidRPr="008906D5">
        <w:rPr>
          <w:noProof/>
        </w:rPr>
        <w:t>ďalší rok</w:t>
      </w:r>
      <w:r w:rsidR="008906D5">
        <w:rPr>
          <w:noProof/>
        </w:rPr>
        <w:t>.</w:t>
      </w:r>
    </w:p>
    <w:p w:rsidR="00430BC2" w:rsidRPr="008906D5" w:rsidRDefault="005833D0" w:rsidP="005833D0">
      <w:pPr>
        <w:pStyle w:val="ManualConsidrant"/>
        <w:rPr>
          <w:noProof/>
        </w:rPr>
      </w:pPr>
      <w:r w:rsidRPr="005833D0">
        <w:rPr>
          <w:noProof/>
        </w:rPr>
        <w:t>(4)</w:t>
      </w:r>
      <w:r w:rsidRPr="005833D0">
        <w:rPr>
          <w:noProof/>
        </w:rPr>
        <w:tab/>
      </w:r>
      <w:r w:rsidR="00430BC2" w:rsidRPr="008906D5">
        <w:rPr>
          <w:noProof/>
        </w:rPr>
        <w:t>Vykonávacie nariadenie (EÚ) 2024/3117 by sa preto malo zodpovedajúcim spôsobom zmeniť.</w:t>
      </w:r>
    </w:p>
    <w:p w:rsidR="00430BC2" w:rsidRPr="008906D5" w:rsidRDefault="005833D0" w:rsidP="005833D0">
      <w:pPr>
        <w:pStyle w:val="ManualConsidrant"/>
        <w:rPr>
          <w:noProof/>
        </w:rPr>
      </w:pPr>
      <w:r w:rsidRPr="005833D0">
        <w:rPr>
          <w:noProof/>
        </w:rPr>
        <w:t>(5)</w:t>
      </w:r>
      <w:r w:rsidRPr="005833D0">
        <w:rPr>
          <w:noProof/>
        </w:rPr>
        <w:tab/>
      </w:r>
      <w:r w:rsidR="00430BC2" w:rsidRPr="008906D5">
        <w:rPr>
          <w:noProof/>
        </w:rPr>
        <w:t>Toto nariadenie vychádza</w:t>
      </w:r>
      <w:r w:rsidR="008906D5">
        <w:rPr>
          <w:noProof/>
        </w:rPr>
        <w:t xml:space="preserve"> z </w:t>
      </w:r>
      <w:r w:rsidR="00430BC2" w:rsidRPr="008906D5">
        <w:rPr>
          <w:noProof/>
        </w:rPr>
        <w:t>návrhu vykonávacích technických predpisov, ktorý Komisii predložil Európsky orgán pre bankovníctvo (EBA).</w:t>
      </w:r>
    </w:p>
    <w:p w:rsidR="00430BC2" w:rsidRPr="008906D5" w:rsidRDefault="005833D0" w:rsidP="005833D0">
      <w:pPr>
        <w:pStyle w:val="ManualConsidrant"/>
        <w:rPr>
          <w:noProof/>
        </w:rPr>
      </w:pPr>
      <w:r w:rsidRPr="005833D0">
        <w:rPr>
          <w:noProof/>
        </w:rPr>
        <w:t>(6)</w:t>
      </w:r>
      <w:r w:rsidRPr="005833D0">
        <w:rPr>
          <w:noProof/>
        </w:rPr>
        <w:tab/>
      </w:r>
      <w:r w:rsidR="00430BC2" w:rsidRPr="008906D5">
        <w:rPr>
          <w:noProof/>
        </w:rPr>
        <w:t>Orgán EBA uskutočnil otvorené verejné konzultácie</w:t>
      </w:r>
      <w:r w:rsidR="008906D5">
        <w:rPr>
          <w:noProof/>
        </w:rPr>
        <w:t xml:space="preserve"> o </w:t>
      </w:r>
      <w:r w:rsidR="00430BC2" w:rsidRPr="008906D5">
        <w:rPr>
          <w:noProof/>
        </w:rPr>
        <w:t>návrhu vykonávacích technických predpisov,</w:t>
      </w:r>
      <w:r w:rsidR="008906D5">
        <w:rPr>
          <w:noProof/>
        </w:rPr>
        <w:t xml:space="preserve"> z </w:t>
      </w:r>
      <w:r w:rsidR="00430BC2" w:rsidRPr="008906D5">
        <w:rPr>
          <w:noProof/>
        </w:rPr>
        <w:t>ktorého vychádza toto nariadenie, analyzoval možné súvisiace náklady</w:t>
      </w:r>
      <w:r w:rsidR="008906D5">
        <w:rPr>
          <w:noProof/>
        </w:rPr>
        <w:t xml:space="preserve"> a </w:t>
      </w:r>
      <w:r w:rsidR="00430BC2" w:rsidRPr="008906D5">
        <w:rPr>
          <w:noProof/>
        </w:rPr>
        <w:t>prínosy</w:t>
      </w:r>
      <w:r w:rsidR="008906D5">
        <w:rPr>
          <w:noProof/>
        </w:rPr>
        <w:t xml:space="preserve"> a </w:t>
      </w:r>
      <w:r w:rsidR="00430BC2" w:rsidRPr="008906D5">
        <w:rPr>
          <w:noProof/>
        </w:rPr>
        <w:t>požiadal</w:t>
      </w:r>
      <w:r w:rsidR="008906D5">
        <w:rPr>
          <w:noProof/>
        </w:rPr>
        <w:t xml:space="preserve"> o </w:t>
      </w:r>
      <w:r w:rsidR="00430BC2" w:rsidRPr="008906D5">
        <w:rPr>
          <w:noProof/>
        </w:rPr>
        <w:t>poradenstvo Skupinu zainteresovaných strán</w:t>
      </w:r>
      <w:r w:rsidR="008906D5">
        <w:rPr>
          <w:noProof/>
        </w:rPr>
        <w:t xml:space="preserve"> v </w:t>
      </w:r>
      <w:r w:rsidR="00430BC2" w:rsidRPr="008906D5">
        <w:rPr>
          <w:noProof/>
        </w:rPr>
        <w:t>bankovníctve vytvorenú</w:t>
      </w:r>
      <w:r w:rsidR="008906D5">
        <w:rPr>
          <w:noProof/>
        </w:rPr>
        <w:t xml:space="preserve"> v </w:t>
      </w:r>
      <w:r w:rsidR="00430BC2" w:rsidRPr="008906D5">
        <w:rPr>
          <w:noProof/>
        </w:rPr>
        <w:t>súlade</w:t>
      </w:r>
      <w:r w:rsidR="008906D5">
        <w:rPr>
          <w:noProof/>
        </w:rPr>
        <w:t xml:space="preserve"> s </w:t>
      </w:r>
      <w:r w:rsidR="00430BC2" w:rsidRPr="008906D5">
        <w:rPr>
          <w:noProof/>
        </w:rPr>
        <w:t>článkom 37 nariadenia Európskeho parlamentu</w:t>
      </w:r>
      <w:r w:rsidR="008906D5">
        <w:rPr>
          <w:noProof/>
        </w:rPr>
        <w:t xml:space="preserve"> a </w:t>
      </w:r>
      <w:r w:rsidR="00430BC2" w:rsidRPr="008906D5">
        <w:rPr>
          <w:noProof/>
        </w:rPr>
        <w:t xml:space="preserve">Rady (EÚ) </w:t>
      </w:r>
      <w:r w:rsidR="008906D5">
        <w:rPr>
          <w:noProof/>
        </w:rPr>
        <w:t>č. </w:t>
      </w:r>
      <w:r w:rsidR="00430BC2" w:rsidRPr="008906D5">
        <w:rPr>
          <w:noProof/>
        </w:rPr>
        <w:t>1093/2010</w:t>
      </w:r>
      <w:r w:rsidR="00430BC2" w:rsidRPr="008906D5">
        <w:rPr>
          <w:rStyle w:val="FootnoteReference"/>
          <w:noProof/>
        </w:rPr>
        <w:footnoteReference w:id="6"/>
      </w:r>
      <w:r w:rsidR="00430BC2" w:rsidRPr="008906D5">
        <w:rPr>
          <w:noProof/>
        </w:rPr>
        <w:t>,</w:t>
      </w:r>
    </w:p>
    <w:p w:rsidR="00430BC2" w:rsidRPr="008906D5" w:rsidRDefault="00430BC2" w:rsidP="004E1EF9">
      <w:pPr>
        <w:pStyle w:val="Formuledadoption"/>
        <w:rPr>
          <w:noProof/>
        </w:rPr>
      </w:pPr>
      <w:r w:rsidRPr="008906D5">
        <w:rPr>
          <w:noProof/>
        </w:rPr>
        <w:t>PRIJALA TOTO NARIADENIE:</w:t>
      </w:r>
    </w:p>
    <w:p w:rsidR="00430BC2" w:rsidRPr="008906D5" w:rsidRDefault="00430BC2" w:rsidP="004E1EF9">
      <w:pPr>
        <w:pStyle w:val="Titrearticle"/>
        <w:rPr>
          <w:noProof/>
        </w:rPr>
      </w:pPr>
      <w:r w:rsidRPr="008906D5">
        <w:rPr>
          <w:noProof/>
        </w:rPr>
        <w:t>Článok 1</w:t>
      </w:r>
    </w:p>
    <w:p w:rsidR="008906D5" w:rsidRDefault="00430BC2" w:rsidP="00430BC2">
      <w:pPr>
        <w:rPr>
          <w:noProof/>
        </w:rPr>
      </w:pPr>
      <w:bookmarkStart w:id="4" w:name="_Hlk198544571"/>
      <w:r w:rsidRPr="008906D5">
        <w:rPr>
          <w:noProof/>
        </w:rPr>
        <w:t>Vykonávacie nariadenie (EÚ) 2024/3117</w:t>
      </w:r>
      <w:bookmarkEnd w:id="4"/>
      <w:r w:rsidRPr="008906D5">
        <w:rPr>
          <w:noProof/>
        </w:rPr>
        <w:t xml:space="preserve"> sa mení takto</w:t>
      </w:r>
      <w:r w:rsidR="008906D5">
        <w:rPr>
          <w:noProof/>
        </w:rPr>
        <w:t>:</w:t>
      </w:r>
    </w:p>
    <w:p w:rsidR="00430BC2" w:rsidRPr="008906D5" w:rsidRDefault="008906D5" w:rsidP="008906D5">
      <w:pPr>
        <w:pStyle w:val="Point0"/>
        <w:rPr>
          <w:noProof/>
        </w:rPr>
      </w:pPr>
      <w:r>
        <w:rPr>
          <w:noProof/>
        </w:rPr>
        <w:t>1.</w:t>
      </w:r>
      <w:r>
        <w:rPr>
          <w:noProof/>
        </w:rPr>
        <w:tab/>
      </w:r>
      <w:r w:rsidR="00430BC2" w:rsidRPr="008906D5">
        <w:rPr>
          <w:noProof/>
        </w:rPr>
        <w:t>V článku 5 sa odsek 4 nahrádza takto:</w:t>
      </w:r>
    </w:p>
    <w:p w:rsidR="00430BC2" w:rsidRPr="008906D5" w:rsidRDefault="00430BC2" w:rsidP="00430BC2">
      <w:pPr>
        <w:pStyle w:val="QuotedNumPar"/>
        <w:rPr>
          <w:noProof/>
        </w:rPr>
      </w:pPr>
      <w:r w:rsidRPr="008906D5">
        <w:rPr>
          <w:noProof/>
        </w:rPr>
        <w:t>„4. Na výpočet požiadaviek na vlastné zdroje uvedených</w:t>
      </w:r>
      <w:r w:rsidR="008906D5">
        <w:rPr>
          <w:noProof/>
        </w:rPr>
        <w:t xml:space="preserve"> v </w:t>
      </w:r>
      <w:r w:rsidRPr="008906D5">
        <w:rPr>
          <w:noProof/>
        </w:rPr>
        <w:t>článku 92 ods. 4 písm. b) bode i)</w:t>
      </w:r>
      <w:r w:rsidR="008906D5">
        <w:rPr>
          <w:noProof/>
        </w:rPr>
        <w:t xml:space="preserve"> a </w:t>
      </w:r>
      <w:r w:rsidRPr="008906D5">
        <w:rPr>
          <w:noProof/>
        </w:rPr>
        <w:t>písm. c)</w:t>
      </w:r>
      <w:r w:rsidR="008906D5">
        <w:rPr>
          <w:noProof/>
        </w:rPr>
        <w:t xml:space="preserve"> a </w:t>
      </w:r>
      <w:r w:rsidRPr="008906D5">
        <w:rPr>
          <w:noProof/>
        </w:rPr>
        <w:t>článku 92 ods. 5 písm. b)</w:t>
      </w:r>
      <w:r w:rsidR="008906D5">
        <w:rPr>
          <w:noProof/>
        </w:rPr>
        <w:t xml:space="preserve"> a </w:t>
      </w:r>
      <w:r w:rsidRPr="008906D5">
        <w:rPr>
          <w:noProof/>
        </w:rPr>
        <w:t xml:space="preserve">c) nariadenia (EÚ) </w:t>
      </w:r>
      <w:r w:rsidR="008906D5">
        <w:rPr>
          <w:noProof/>
        </w:rPr>
        <w:t>č. </w:t>
      </w:r>
      <w:r w:rsidRPr="008906D5">
        <w:rPr>
          <w:noProof/>
        </w:rPr>
        <w:t>575/2013 inštitúcie do 31</w:t>
      </w:r>
      <w:r w:rsidR="008906D5">
        <w:rPr>
          <w:noProof/>
        </w:rPr>
        <w:t>. decembra</w:t>
      </w:r>
      <w:r w:rsidRPr="008906D5">
        <w:rPr>
          <w:noProof/>
        </w:rPr>
        <w:t xml:space="preserve"> 2026 predkladajú informácie</w:t>
      </w:r>
      <w:r w:rsidR="008906D5">
        <w:rPr>
          <w:noProof/>
        </w:rPr>
        <w:t xml:space="preserve"> o </w:t>
      </w:r>
      <w:r w:rsidRPr="008906D5">
        <w:rPr>
          <w:noProof/>
        </w:rPr>
        <w:t>požiadavkách na vlastné zdroje týkajúce sa trhového rizika</w:t>
      </w:r>
      <w:r w:rsidR="008906D5">
        <w:rPr>
          <w:noProof/>
        </w:rPr>
        <w:t xml:space="preserve"> v </w:t>
      </w:r>
      <w:r w:rsidRPr="008906D5">
        <w:rPr>
          <w:noProof/>
        </w:rPr>
        <w:t>súlade</w:t>
      </w:r>
      <w:r w:rsidR="008906D5">
        <w:rPr>
          <w:noProof/>
        </w:rPr>
        <w:t xml:space="preserve"> s </w:t>
      </w:r>
      <w:r w:rsidRPr="008906D5">
        <w:rPr>
          <w:noProof/>
        </w:rPr>
        <w:t>článkom 5 ods. 12 vykonávacieho nariadenia (EÚ) 2021/451.“</w:t>
      </w:r>
    </w:p>
    <w:p w:rsidR="00430BC2" w:rsidRPr="008906D5" w:rsidRDefault="008906D5" w:rsidP="008906D5">
      <w:pPr>
        <w:pStyle w:val="Point0"/>
        <w:rPr>
          <w:noProof/>
        </w:rPr>
      </w:pPr>
      <w:r>
        <w:rPr>
          <w:noProof/>
        </w:rPr>
        <w:t>2.</w:t>
      </w:r>
      <w:r>
        <w:rPr>
          <w:noProof/>
        </w:rPr>
        <w:tab/>
      </w:r>
      <w:r w:rsidR="00430BC2" w:rsidRPr="008906D5">
        <w:rPr>
          <w:noProof/>
        </w:rPr>
        <w:t>V článku 7 sa dopĺňa toto písmeno c):</w:t>
      </w:r>
    </w:p>
    <w:p w:rsidR="00430BC2" w:rsidRPr="008906D5" w:rsidRDefault="00430BC2" w:rsidP="00430BC2">
      <w:pPr>
        <w:pStyle w:val="QuotedNumPar"/>
        <w:rPr>
          <w:noProof/>
        </w:rPr>
      </w:pPr>
      <w:r w:rsidRPr="008906D5">
        <w:rPr>
          <w:noProof/>
        </w:rPr>
        <w:t>„c)</w:t>
      </w:r>
      <w:r w:rsidRPr="008906D5">
        <w:rPr>
          <w:noProof/>
        </w:rPr>
        <w:tab/>
        <w:t>materské inštitúcie</w:t>
      </w:r>
      <w:r w:rsidR="008906D5">
        <w:rPr>
          <w:noProof/>
        </w:rPr>
        <w:t xml:space="preserve"> v </w:t>
      </w:r>
      <w:r w:rsidRPr="008906D5">
        <w:rPr>
          <w:noProof/>
        </w:rPr>
        <w:t>EÚ vykazujú informácie požadované</w:t>
      </w:r>
      <w:r w:rsidR="008906D5">
        <w:rPr>
          <w:noProof/>
        </w:rPr>
        <w:t xml:space="preserve"> v </w:t>
      </w:r>
      <w:r w:rsidRPr="008906D5">
        <w:rPr>
          <w:noProof/>
        </w:rPr>
        <w:t>prílohe I vzore C 16.04 týkajúce sa informácií</w:t>
      </w:r>
      <w:r w:rsidR="008906D5">
        <w:rPr>
          <w:noProof/>
        </w:rPr>
        <w:t xml:space="preserve"> o </w:t>
      </w:r>
      <w:r w:rsidRPr="008906D5">
        <w:rPr>
          <w:noProof/>
        </w:rPr>
        <w:t>dcérskych spoločnostiach, na ktoré sa vzťahuje výnimka stanovená</w:t>
      </w:r>
      <w:r w:rsidR="008906D5">
        <w:rPr>
          <w:noProof/>
        </w:rPr>
        <w:t xml:space="preserve"> v </w:t>
      </w:r>
      <w:r w:rsidRPr="008906D5">
        <w:rPr>
          <w:noProof/>
        </w:rPr>
        <w:t xml:space="preserve">článku 314 ods. 3 nariadenia (EÚ) </w:t>
      </w:r>
      <w:r w:rsidR="008906D5">
        <w:rPr>
          <w:noProof/>
        </w:rPr>
        <w:t>č. </w:t>
      </w:r>
      <w:r w:rsidRPr="008906D5">
        <w:rPr>
          <w:noProof/>
        </w:rPr>
        <w:t>575/2013, štvrťročne.“</w:t>
      </w:r>
    </w:p>
    <w:p w:rsidR="00430BC2" w:rsidRPr="008906D5" w:rsidRDefault="008906D5" w:rsidP="008906D5">
      <w:pPr>
        <w:pStyle w:val="Point0"/>
        <w:rPr>
          <w:noProof/>
        </w:rPr>
      </w:pPr>
      <w:r>
        <w:rPr>
          <w:noProof/>
        </w:rPr>
        <w:t>3.</w:t>
      </w:r>
      <w:r>
        <w:rPr>
          <w:noProof/>
        </w:rPr>
        <w:tab/>
      </w:r>
      <w:r w:rsidR="00430BC2" w:rsidRPr="008906D5">
        <w:rPr>
          <w:noProof/>
        </w:rPr>
        <w:t>V článku 25 sa odseky 1</w:t>
      </w:r>
      <w:r>
        <w:rPr>
          <w:noProof/>
        </w:rPr>
        <w:t xml:space="preserve"> a </w:t>
      </w:r>
      <w:r w:rsidR="00430BC2" w:rsidRPr="008906D5">
        <w:rPr>
          <w:noProof/>
        </w:rPr>
        <w:t>2 nahrádzajú takto:</w:t>
      </w:r>
    </w:p>
    <w:p w:rsidR="00430BC2" w:rsidRPr="008906D5" w:rsidRDefault="00430BC2" w:rsidP="00430BC2">
      <w:pPr>
        <w:pStyle w:val="QuotedNumPar"/>
        <w:rPr>
          <w:noProof/>
        </w:rPr>
      </w:pPr>
      <w:r w:rsidRPr="008906D5">
        <w:rPr>
          <w:noProof/>
        </w:rPr>
        <w:t>„1. Vykonávacie nariadenie (EÚ) 2021/451 sa prestáva uplatňovať od 1</w:t>
      </w:r>
      <w:r w:rsidR="008906D5">
        <w:rPr>
          <w:noProof/>
        </w:rPr>
        <w:t>. januára</w:t>
      </w:r>
      <w:r w:rsidRPr="008906D5">
        <w:rPr>
          <w:noProof/>
        </w:rPr>
        <w:t xml:space="preserve"> 2025</w:t>
      </w:r>
      <w:r w:rsidR="008906D5">
        <w:rPr>
          <w:noProof/>
        </w:rPr>
        <w:t xml:space="preserve"> s </w:t>
      </w:r>
      <w:r w:rsidRPr="008906D5">
        <w:rPr>
          <w:noProof/>
        </w:rPr>
        <w:t>výnimkou článku 5 ods. 12</w:t>
      </w:r>
      <w:r w:rsidR="008906D5">
        <w:rPr>
          <w:noProof/>
        </w:rPr>
        <w:t xml:space="preserve"> a </w:t>
      </w:r>
      <w:r w:rsidRPr="008906D5">
        <w:rPr>
          <w:noProof/>
        </w:rPr>
        <w:t>prílohy I vzorov 18 až 24, ako aj prílohy II časti II bodov 5.1 až 5.7. Článok 15 vykonávacieho nariadenia (EÚ) 2021/451 sa naďalej uplatňuje do 31</w:t>
      </w:r>
      <w:r w:rsidR="008906D5">
        <w:rPr>
          <w:noProof/>
        </w:rPr>
        <w:t>. decembra</w:t>
      </w:r>
      <w:r w:rsidRPr="008906D5">
        <w:rPr>
          <w:noProof/>
        </w:rPr>
        <w:t xml:space="preserve"> 2026 len na účely článku 5 ods. 4 tohto nariadenia.</w:t>
      </w:r>
    </w:p>
    <w:p w:rsidR="00430BC2" w:rsidRPr="008906D5" w:rsidRDefault="00430BC2" w:rsidP="00430BC2">
      <w:pPr>
        <w:pStyle w:val="QuotedNumPar"/>
        <w:rPr>
          <w:noProof/>
        </w:rPr>
      </w:pPr>
      <w:r w:rsidRPr="008906D5">
        <w:rPr>
          <w:noProof/>
        </w:rPr>
        <w:t>2. Vykonávacie nariadenie (EÚ) 2021/451 sa zrušuje</w:t>
      </w:r>
      <w:r w:rsidR="008906D5">
        <w:rPr>
          <w:noProof/>
        </w:rPr>
        <w:t xml:space="preserve"> s </w:t>
      </w:r>
      <w:r w:rsidRPr="008906D5">
        <w:rPr>
          <w:noProof/>
        </w:rPr>
        <w:t>účinnosťou od 31</w:t>
      </w:r>
      <w:r w:rsidR="008906D5">
        <w:rPr>
          <w:noProof/>
        </w:rPr>
        <w:t>. decembra</w:t>
      </w:r>
      <w:r w:rsidRPr="008906D5">
        <w:rPr>
          <w:noProof/>
        </w:rPr>
        <w:t xml:space="preserve"> 2026.“</w:t>
      </w:r>
    </w:p>
    <w:p w:rsidR="008906D5" w:rsidRDefault="008906D5" w:rsidP="008906D5">
      <w:pPr>
        <w:pStyle w:val="Point0"/>
        <w:rPr>
          <w:noProof/>
        </w:rPr>
      </w:pPr>
      <w:r>
        <w:rPr>
          <w:noProof/>
        </w:rPr>
        <w:t>4.</w:t>
      </w:r>
      <w:r>
        <w:rPr>
          <w:noProof/>
        </w:rPr>
        <w:tab/>
      </w:r>
      <w:r w:rsidR="00430BC2" w:rsidRPr="008906D5">
        <w:rPr>
          <w:noProof/>
        </w:rPr>
        <w:t>V prílohe I sa oddiel 1 – „Vykazovanie vlastných zdrojov</w:t>
      </w:r>
      <w:r>
        <w:rPr>
          <w:noProof/>
        </w:rPr>
        <w:t xml:space="preserve"> a </w:t>
      </w:r>
      <w:r w:rsidR="00430BC2" w:rsidRPr="008906D5">
        <w:rPr>
          <w:noProof/>
        </w:rPr>
        <w:t>požiadaviek na vlastné zdroje“ mení takto</w:t>
      </w:r>
      <w:r>
        <w:rPr>
          <w:noProof/>
        </w:rPr>
        <w:t>:</w:t>
      </w:r>
    </w:p>
    <w:p w:rsidR="00430BC2" w:rsidRPr="008906D5" w:rsidRDefault="008906D5" w:rsidP="008906D5">
      <w:pPr>
        <w:pStyle w:val="Point1"/>
        <w:rPr>
          <w:noProof/>
        </w:rPr>
      </w:pPr>
      <w:r>
        <w:rPr>
          <w:noProof/>
        </w:rPr>
        <w:t>a)</w:t>
      </w:r>
      <w:r>
        <w:rPr>
          <w:noProof/>
        </w:rPr>
        <w:tab/>
      </w:r>
      <w:r w:rsidR="00430BC2" w:rsidRPr="008906D5">
        <w:rPr>
          <w:noProof/>
        </w:rPr>
        <w:t>vzor „C 16.01 – OPERAČNÉ RIZIKO – POŽIADAVKY NA VLASTNÉ ZDROJE (OPR OF)“ sa nahrádza vzorom „C 16.01 – OPERAČNÉ RIZIKO – POŽIADAVKY NA VLASTNÉ ZDROJE (OPR OF)“ stanoveným</w:t>
      </w:r>
      <w:r>
        <w:rPr>
          <w:noProof/>
        </w:rPr>
        <w:t xml:space="preserve"> v </w:t>
      </w:r>
      <w:r w:rsidR="00430BC2" w:rsidRPr="008906D5">
        <w:rPr>
          <w:noProof/>
        </w:rPr>
        <w:t>prílohe</w:t>
      </w:r>
      <w:r>
        <w:rPr>
          <w:noProof/>
        </w:rPr>
        <w:t xml:space="preserve"> k </w:t>
      </w:r>
      <w:r w:rsidR="00430BC2" w:rsidRPr="008906D5">
        <w:rPr>
          <w:noProof/>
        </w:rPr>
        <w:t>tomuto nariadeniu;</w:t>
      </w:r>
    </w:p>
    <w:p w:rsidR="00430BC2" w:rsidRPr="008906D5" w:rsidRDefault="008906D5" w:rsidP="008906D5">
      <w:pPr>
        <w:pStyle w:val="Point1"/>
        <w:rPr>
          <w:noProof/>
        </w:rPr>
      </w:pPr>
      <w:r>
        <w:rPr>
          <w:noProof/>
        </w:rPr>
        <w:t>b)</w:t>
      </w:r>
      <w:r>
        <w:rPr>
          <w:noProof/>
        </w:rPr>
        <w:tab/>
      </w:r>
      <w:r w:rsidR="00430BC2" w:rsidRPr="008906D5">
        <w:rPr>
          <w:noProof/>
        </w:rPr>
        <w:t>vzor „C 16.02 – OPERAČNÉ RIZIKO – Zložka ukazovateľa obchodovania (OPR BIC)“, vzor „C 16.03 – ROZČLENENIE OPERAČNÉHO RIZIKA (OPR BD) – Straty, náklady, rezervy</w:t>
      </w:r>
      <w:r>
        <w:rPr>
          <w:noProof/>
        </w:rPr>
        <w:t xml:space="preserve"> a </w:t>
      </w:r>
      <w:r w:rsidR="00430BC2" w:rsidRPr="008906D5">
        <w:rPr>
          <w:noProof/>
        </w:rPr>
        <w:t>iné finančné vplyvy vyplývajúce</w:t>
      </w:r>
      <w:r>
        <w:rPr>
          <w:noProof/>
        </w:rPr>
        <w:t xml:space="preserve"> z </w:t>
      </w:r>
      <w:r w:rsidR="00430BC2" w:rsidRPr="008906D5">
        <w:rPr>
          <w:noProof/>
        </w:rPr>
        <w:t>udalostí operačného rizika“</w:t>
      </w:r>
      <w:r>
        <w:rPr>
          <w:noProof/>
        </w:rPr>
        <w:t xml:space="preserve"> a </w:t>
      </w:r>
      <w:r w:rsidR="00430BC2" w:rsidRPr="008906D5">
        <w:rPr>
          <w:noProof/>
        </w:rPr>
        <w:t>vzor „C 16.04 – OPERAČNÉ RIZIKO – Informácie</w:t>
      </w:r>
      <w:r>
        <w:rPr>
          <w:noProof/>
        </w:rPr>
        <w:t xml:space="preserve"> o </w:t>
      </w:r>
      <w:r w:rsidR="00430BC2" w:rsidRPr="008906D5">
        <w:rPr>
          <w:noProof/>
        </w:rPr>
        <w:t>dcérskych spoločnostiach, na ktoré sa vzťahuje článok 314 ods. 3 nariadenia CRR“ stanovené</w:t>
      </w:r>
      <w:r>
        <w:rPr>
          <w:noProof/>
        </w:rPr>
        <w:t xml:space="preserve"> v </w:t>
      </w:r>
      <w:r w:rsidR="00430BC2" w:rsidRPr="008906D5">
        <w:rPr>
          <w:noProof/>
        </w:rPr>
        <w:t>prílohe</w:t>
      </w:r>
      <w:r>
        <w:rPr>
          <w:noProof/>
        </w:rPr>
        <w:t xml:space="preserve"> k </w:t>
      </w:r>
      <w:r w:rsidR="00430BC2" w:rsidRPr="008906D5">
        <w:rPr>
          <w:noProof/>
        </w:rPr>
        <w:t>tomuto nariadeniu sa dopĺňajú za vzor „C 16.01 – OPERAČNÉ RIZIKO – POŽIADAVKY NA VLASTNÉ ZDROJE (OPR OF)“.</w:t>
      </w:r>
    </w:p>
    <w:p w:rsidR="00430BC2" w:rsidRPr="008906D5" w:rsidRDefault="00430BC2" w:rsidP="004E1EF9">
      <w:pPr>
        <w:pStyle w:val="Titrearticle"/>
        <w:rPr>
          <w:noProof/>
        </w:rPr>
      </w:pPr>
      <w:r w:rsidRPr="008906D5">
        <w:rPr>
          <w:noProof/>
        </w:rPr>
        <w:t>Článok 2</w:t>
      </w:r>
    </w:p>
    <w:p w:rsidR="00430BC2" w:rsidRPr="008906D5" w:rsidRDefault="00430BC2" w:rsidP="004E1EF9">
      <w:pPr>
        <w:rPr>
          <w:noProof/>
        </w:rPr>
      </w:pPr>
      <w:r w:rsidRPr="008906D5">
        <w:rPr>
          <w:noProof/>
        </w:rPr>
        <w:t>Toto nariadenie nadobúda účinnosť dvadsiatym dňom nasledujúcim po jeho uverejnení</w:t>
      </w:r>
      <w:r w:rsidR="008906D5">
        <w:rPr>
          <w:noProof/>
        </w:rPr>
        <w:t xml:space="preserve"> v </w:t>
      </w:r>
      <w:r w:rsidRPr="008906D5">
        <w:rPr>
          <w:i/>
          <w:noProof/>
        </w:rPr>
        <w:t>Úradnom vestníku Európskej únie</w:t>
      </w:r>
      <w:r w:rsidRPr="008906D5">
        <w:rPr>
          <w:noProof/>
        </w:rPr>
        <w:t>.</w:t>
      </w:r>
    </w:p>
    <w:p w:rsidR="00430BC2" w:rsidRPr="008906D5" w:rsidRDefault="00430BC2" w:rsidP="004E1EF9">
      <w:pPr>
        <w:pStyle w:val="Applicationdirecte"/>
        <w:rPr>
          <w:noProof/>
        </w:rPr>
      </w:pPr>
      <w:r w:rsidRPr="008906D5">
        <w:rPr>
          <w:noProof/>
        </w:rPr>
        <w:t>Toto nariadenie je záväzné</w:t>
      </w:r>
      <w:r w:rsidR="008906D5">
        <w:rPr>
          <w:noProof/>
        </w:rPr>
        <w:t xml:space="preserve"> v </w:t>
      </w:r>
      <w:r w:rsidRPr="008906D5">
        <w:rPr>
          <w:noProof/>
        </w:rPr>
        <w:t>celom rozsahu</w:t>
      </w:r>
      <w:r w:rsidR="008906D5">
        <w:rPr>
          <w:noProof/>
        </w:rPr>
        <w:t xml:space="preserve"> a </w:t>
      </w:r>
      <w:r w:rsidRPr="008906D5">
        <w:rPr>
          <w:noProof/>
        </w:rPr>
        <w:t>priamo uplatniteľné vo všetkých členských štátoch.</w:t>
      </w:r>
    </w:p>
    <w:p w:rsidR="00430BC2" w:rsidRPr="008906D5" w:rsidRDefault="004A0F9C" w:rsidP="005A2A56">
      <w:pPr>
        <w:pStyle w:val="Fait"/>
        <w:rPr>
          <w:noProof/>
        </w:rPr>
      </w:pPr>
      <w:r>
        <w:rPr>
          <w:noProof/>
        </w:rPr>
        <w:t>V Bruseli 8. 12. 2025</w:t>
      </w:r>
    </w:p>
    <w:p w:rsidR="00430BC2" w:rsidRPr="008906D5" w:rsidRDefault="00430BC2" w:rsidP="005A2A56">
      <w:pPr>
        <w:pStyle w:val="Institutionquisigne"/>
        <w:rPr>
          <w:noProof/>
        </w:rPr>
      </w:pPr>
      <w:r w:rsidRPr="008906D5">
        <w:rPr>
          <w:noProof/>
        </w:rPr>
        <w:tab/>
        <w:t>Za Komisiu</w:t>
      </w:r>
    </w:p>
    <w:p w:rsidR="00CE1BA2" w:rsidRPr="008906D5" w:rsidRDefault="003A32F4" w:rsidP="005A2A56">
      <w:pPr>
        <w:pStyle w:val="Personnequisigne"/>
        <w:keepNext/>
        <w:rPr>
          <w:noProof/>
        </w:rPr>
      </w:pPr>
      <w:r>
        <w:rPr>
          <w:noProof/>
        </w:rPr>
        <w:tab/>
        <w:t>predsedníčka</w:t>
      </w:r>
      <w:r>
        <w:rPr>
          <w:noProof/>
        </w:rPr>
        <w:br/>
      </w:r>
      <w:r>
        <w:rPr>
          <w:noProof/>
        </w:rPr>
        <w:tab/>
        <w:t>Ursula VON DER LEYEN</w:t>
      </w:r>
    </w:p>
    <w:p w:rsidR="00430BC2" w:rsidRPr="008906D5" w:rsidRDefault="00430BC2" w:rsidP="00430BC2">
      <w:pPr>
        <w:pStyle w:val="Personnequisigne"/>
        <w:rPr>
          <w:noProof/>
        </w:rPr>
      </w:pPr>
    </w:p>
    <w:sectPr w:rsidR="00430BC2" w:rsidRPr="008906D5" w:rsidSect="001F7706">
      <w:headerReference w:type="even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BC2" w:rsidRDefault="00430BC2" w:rsidP="00430BC2">
      <w:pPr>
        <w:spacing w:before="0" w:after="0"/>
      </w:pPr>
      <w:r>
        <w:separator/>
      </w:r>
    </w:p>
  </w:endnote>
  <w:endnote w:type="continuationSeparator" w:id="0">
    <w:p w:rsidR="00430BC2" w:rsidRDefault="00430BC2" w:rsidP="00430BC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706" w:rsidRPr="001F7706" w:rsidRDefault="001F7706" w:rsidP="001F7706">
    <w:pPr>
      <w:pStyle w:val="Footer"/>
      <w:rPr>
        <w:rFonts w:ascii="Arial" w:hAnsi="Arial" w:cs="Arial"/>
        <w:b/>
        <w:sz w:val="48"/>
      </w:rPr>
    </w:pPr>
    <w:r w:rsidRPr="001F7706">
      <w:rPr>
        <w:rFonts w:ascii="Arial" w:hAnsi="Arial" w:cs="Arial"/>
        <w:b/>
        <w:sz w:val="48"/>
      </w:rPr>
      <w:t>SK</w:t>
    </w:r>
    <w:r w:rsidRPr="001F7706">
      <w:rPr>
        <w:rFonts w:ascii="Arial" w:hAnsi="Arial" w:cs="Arial"/>
        <w:b/>
        <w:sz w:val="48"/>
      </w:rPr>
      <w:tab/>
    </w:r>
    <w:r w:rsidRPr="001F7706">
      <w:rPr>
        <w:rFonts w:ascii="Arial" w:hAnsi="Arial" w:cs="Arial"/>
        <w:b/>
        <w:sz w:val="48"/>
      </w:rPr>
      <w:tab/>
    </w:r>
    <w:r w:rsidRPr="001F7706">
      <w:tab/>
    </w:r>
    <w:r w:rsidRPr="001F7706">
      <w:rPr>
        <w:rFonts w:ascii="Arial" w:hAnsi="Arial" w:cs="Arial"/>
        <w:b/>
        <w:sz w:val="48"/>
      </w:rPr>
      <w:t>SK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706" w:rsidRPr="001F7706" w:rsidRDefault="001F7706" w:rsidP="001F7706">
    <w:pPr>
      <w:pStyle w:val="Footer"/>
      <w:rPr>
        <w:rFonts w:ascii="Arial" w:hAnsi="Arial" w:cs="Arial"/>
        <w:b/>
        <w:sz w:val="48"/>
      </w:rPr>
    </w:pPr>
    <w:r w:rsidRPr="001F7706">
      <w:rPr>
        <w:rFonts w:ascii="Arial" w:hAnsi="Arial" w:cs="Arial"/>
        <w:b/>
        <w:sz w:val="48"/>
      </w:rPr>
      <w:t>SK</w:t>
    </w:r>
    <w:r w:rsidRPr="001F7706">
      <w:rPr>
        <w:rFonts w:ascii="Arial" w:hAnsi="Arial" w:cs="Arial"/>
        <w:b/>
        <w:sz w:val="48"/>
      </w:rPr>
      <w:tab/>
    </w:r>
    <w:r w:rsidRPr="001F7706">
      <w:rPr>
        <w:rFonts w:ascii="Arial" w:hAnsi="Arial" w:cs="Arial"/>
        <w:b/>
        <w:sz w:val="48"/>
      </w:rPr>
      <w:tab/>
    </w:r>
    <w:r w:rsidRPr="001F7706">
      <w:tab/>
    </w:r>
    <w:r w:rsidRPr="001F7706">
      <w:rPr>
        <w:rFonts w:ascii="Arial" w:hAnsi="Arial" w:cs="Arial"/>
        <w:b/>
        <w:sz w:val="48"/>
      </w:rPr>
      <w:t>SK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706" w:rsidRDefault="001F770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706" w:rsidRPr="001F7706" w:rsidRDefault="001F7706" w:rsidP="001F7706">
    <w:pPr>
      <w:pStyle w:val="Footer"/>
      <w:rPr>
        <w:rFonts w:ascii="Arial" w:hAnsi="Arial" w:cs="Arial"/>
        <w:b/>
        <w:sz w:val="48"/>
      </w:rPr>
    </w:pPr>
    <w:r w:rsidRPr="001F7706">
      <w:rPr>
        <w:rFonts w:ascii="Arial" w:hAnsi="Arial" w:cs="Arial"/>
        <w:b/>
        <w:sz w:val="48"/>
      </w:rPr>
      <w:t>SK</w:t>
    </w:r>
    <w:r w:rsidRPr="001F7706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5A2A56">
      <w:rPr>
        <w:noProof/>
      </w:rPr>
      <w:t>3</w:t>
    </w:r>
    <w:r>
      <w:fldChar w:fldCharType="end"/>
    </w:r>
    <w:r>
      <w:tab/>
    </w:r>
    <w:r w:rsidRPr="001F7706">
      <w:tab/>
    </w:r>
    <w:r w:rsidRPr="001F7706">
      <w:rPr>
        <w:rFonts w:ascii="Arial" w:hAnsi="Arial" w:cs="Arial"/>
        <w:b/>
        <w:sz w:val="48"/>
      </w:rPr>
      <w:t>SK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706" w:rsidRDefault="001F7706" w:rsidP="001F7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BC2" w:rsidRDefault="00430BC2" w:rsidP="00430BC2">
      <w:pPr>
        <w:spacing w:before="0" w:after="0"/>
      </w:pPr>
      <w:r>
        <w:separator/>
      </w:r>
    </w:p>
  </w:footnote>
  <w:footnote w:type="continuationSeparator" w:id="0">
    <w:p w:rsidR="00430BC2" w:rsidRDefault="00430BC2" w:rsidP="00430BC2">
      <w:pPr>
        <w:spacing w:before="0" w:after="0"/>
      </w:pPr>
      <w:r>
        <w:continuationSeparator/>
      </w:r>
    </w:p>
  </w:footnote>
  <w:footnote w:id="1">
    <w:p w:rsidR="00430BC2" w:rsidRPr="008906D5" w:rsidRDefault="00430BC2" w:rsidP="00430BC2">
      <w:pPr>
        <w:pStyle w:val="FootnoteText"/>
      </w:pPr>
      <w:r w:rsidRPr="008906D5">
        <w:rPr>
          <w:rStyle w:val="FootnoteReference"/>
        </w:rPr>
        <w:footnoteRef/>
      </w:r>
      <w:r w:rsidRPr="008906D5">
        <w:tab/>
        <w:t>Ú. v. EÚ L 176, 27.6.2013, s. 1, ELI: http://data.europa.eu/eli/reg/2013/575/oj.</w:t>
      </w:r>
    </w:p>
  </w:footnote>
  <w:footnote w:id="2">
    <w:p w:rsidR="00430BC2" w:rsidRPr="008906D5" w:rsidRDefault="00430BC2" w:rsidP="00430BC2">
      <w:pPr>
        <w:pStyle w:val="FootnoteText"/>
        <w:rPr>
          <w:rFonts w:eastAsiaTheme="minorEastAsia"/>
        </w:rPr>
      </w:pPr>
      <w:r w:rsidRPr="008906D5">
        <w:rPr>
          <w:rStyle w:val="FootnoteReference"/>
        </w:rPr>
        <w:footnoteRef/>
      </w:r>
      <w:r w:rsidRPr="008906D5">
        <w:tab/>
        <w:t>Nariadenie Európskeho parlamentu</w:t>
      </w:r>
      <w:r w:rsidR="008906D5">
        <w:t xml:space="preserve"> a </w:t>
      </w:r>
      <w:r w:rsidRPr="008906D5">
        <w:t>Rady (EÚ) 2024/1623</w:t>
      </w:r>
      <w:r w:rsidR="008906D5">
        <w:t xml:space="preserve"> z </w:t>
      </w:r>
      <w:r w:rsidRPr="008906D5">
        <w:t>31</w:t>
      </w:r>
      <w:r w:rsidR="008906D5">
        <w:t>. mája</w:t>
      </w:r>
      <w:r w:rsidRPr="008906D5">
        <w:t xml:space="preserve"> 2024, ktorým sa mení nariadenie (EÚ) </w:t>
      </w:r>
      <w:r w:rsidR="008906D5">
        <w:t>č. </w:t>
      </w:r>
      <w:r w:rsidRPr="008906D5">
        <w:t>575/2013, pokiaľ ide</w:t>
      </w:r>
      <w:r w:rsidR="008906D5">
        <w:t xml:space="preserve"> o </w:t>
      </w:r>
      <w:r w:rsidRPr="008906D5">
        <w:t>požiadavky na kreditné riziko, riziko úpravy ocenenia pohľadávky, operačné riziko, trhové riziko</w:t>
      </w:r>
      <w:r w:rsidR="008906D5">
        <w:t xml:space="preserve"> a </w:t>
      </w:r>
      <w:r w:rsidRPr="008906D5">
        <w:t xml:space="preserve">spodnú hranicu pre výstupné hodnoty (Ú. v. EÚ L, 19.6.2024, s. 1, ELI: </w:t>
      </w:r>
      <w:bookmarkStart w:id="1" w:name="_Hlk198544494"/>
      <w:r w:rsidRPr="008906D5">
        <w:t>http://data.europa.eu/eli/reg/2024/1623/oj</w:t>
      </w:r>
      <w:bookmarkEnd w:id="1"/>
      <w:r w:rsidRPr="008906D5">
        <w:t>).</w:t>
      </w:r>
    </w:p>
  </w:footnote>
  <w:footnote w:id="3">
    <w:p w:rsidR="00430BC2" w:rsidRPr="008906D5" w:rsidRDefault="00430BC2" w:rsidP="00430BC2">
      <w:pPr>
        <w:pStyle w:val="FootnoteText"/>
      </w:pPr>
      <w:r w:rsidRPr="008906D5">
        <w:rPr>
          <w:rStyle w:val="FootnoteReference"/>
        </w:rPr>
        <w:footnoteRef/>
      </w:r>
      <w:r w:rsidRPr="008906D5">
        <w:tab/>
        <w:t>Vykonávacie nariadenie Komisie (EÚ) 2024/3117</w:t>
      </w:r>
      <w:r w:rsidR="008906D5">
        <w:t xml:space="preserve"> z </w:t>
      </w:r>
      <w:r w:rsidRPr="008906D5">
        <w:t>29</w:t>
      </w:r>
      <w:r w:rsidR="008906D5">
        <w:t>. novembra</w:t>
      </w:r>
      <w:r w:rsidRPr="008906D5">
        <w:t xml:space="preserve"> 2024, ktorým sa stanovujú vykonávacie technické predpisy na uplatňovanie nariadenia Európskeho parlamentu</w:t>
      </w:r>
      <w:r w:rsidR="008906D5">
        <w:t xml:space="preserve"> a </w:t>
      </w:r>
      <w:r w:rsidRPr="008906D5">
        <w:t xml:space="preserve">Rady (EÚ) </w:t>
      </w:r>
      <w:r w:rsidR="008906D5">
        <w:t>č. </w:t>
      </w:r>
      <w:r w:rsidRPr="008906D5">
        <w:t>575/2013, pokiaľ ide</w:t>
      </w:r>
      <w:r w:rsidR="008906D5">
        <w:t xml:space="preserve"> o </w:t>
      </w:r>
      <w:r w:rsidRPr="008906D5">
        <w:t>vykazovanie inštitúciami na účely dohľadu,</w:t>
      </w:r>
      <w:r w:rsidR="008906D5">
        <w:t xml:space="preserve"> a </w:t>
      </w:r>
      <w:r w:rsidRPr="008906D5">
        <w:t>ktorým sa zrušuje vykonávacie nariadenie Komisie (EÚ) 2021/451 (Ú. v. EÚ L, 2024/3117, 27.12.2024, s. 1, ELI: </w:t>
      </w:r>
      <w:bookmarkStart w:id="2" w:name="_Hlk198544532"/>
      <w:r w:rsidRPr="008906D5">
        <w:fldChar w:fldCharType="begin"/>
      </w:r>
      <w:r w:rsidRPr="008906D5">
        <w:instrText>HYPERLINK "http://data.europa.eu/eli/reg_impl/2024/3117/oj" \t "_blank" \o "Umožňuje prístup k tomuto dokumentu prostredníctvom identifikátora URI používaného v rámci ELI."</w:instrText>
      </w:r>
      <w:r w:rsidRPr="008906D5">
        <w:fldChar w:fldCharType="separate"/>
      </w:r>
      <w:r w:rsidRPr="008906D5">
        <w:t>http://data.europa.eu/eli/reg_impl/2024/3117/oj</w:t>
      </w:r>
      <w:r w:rsidRPr="008906D5">
        <w:fldChar w:fldCharType="end"/>
      </w:r>
      <w:bookmarkEnd w:id="2"/>
      <w:r w:rsidRPr="008906D5">
        <w:t>).</w:t>
      </w:r>
    </w:p>
  </w:footnote>
  <w:footnote w:id="4">
    <w:p w:rsidR="00430BC2" w:rsidRPr="008906D5" w:rsidRDefault="00430BC2" w:rsidP="00430BC2">
      <w:pPr>
        <w:pStyle w:val="FootnoteText"/>
      </w:pPr>
      <w:r w:rsidRPr="008906D5">
        <w:rPr>
          <w:rStyle w:val="FootnoteReference"/>
        </w:rPr>
        <w:footnoteRef/>
      </w:r>
      <w:r w:rsidRPr="008906D5">
        <w:tab/>
        <w:t>Delegované nariadenie Komisie (EÚ) 2025/1496</w:t>
      </w:r>
      <w:r w:rsidR="008906D5">
        <w:t xml:space="preserve"> z </w:t>
      </w:r>
      <w:r w:rsidRPr="008906D5">
        <w:t>12</w:t>
      </w:r>
      <w:r w:rsidR="008906D5">
        <w:t>. júna</w:t>
      </w:r>
      <w:r w:rsidRPr="008906D5">
        <w:t> 2025, ktorým sa mení nariadenie Európskeho parlamentu</w:t>
      </w:r>
      <w:r w:rsidR="008906D5">
        <w:t xml:space="preserve"> a </w:t>
      </w:r>
      <w:r w:rsidRPr="008906D5">
        <w:t xml:space="preserve">Rady (EÚ) </w:t>
      </w:r>
      <w:r w:rsidR="008906D5">
        <w:t>č. </w:t>
      </w:r>
      <w:r w:rsidRPr="008906D5">
        <w:t>575/2013, pokiaľ ide</w:t>
      </w:r>
      <w:r w:rsidR="008906D5">
        <w:t xml:space="preserve"> o </w:t>
      </w:r>
      <w:r w:rsidRPr="008906D5">
        <w:t>dátum začatia uplatňovania požiadaviek na vlastné zdroje pre trhové riziko (Ú. v. EÚ L, 2025/1496, 19.9.2025, ELI: http://data.europa.eu/eli/reg_del/2025/1496/oj).</w:t>
      </w:r>
    </w:p>
  </w:footnote>
  <w:footnote w:id="5">
    <w:p w:rsidR="00430BC2" w:rsidRPr="008906D5" w:rsidRDefault="00430BC2" w:rsidP="00430BC2">
      <w:pPr>
        <w:pStyle w:val="FootnoteText"/>
      </w:pPr>
      <w:r w:rsidRPr="008906D5">
        <w:rPr>
          <w:rStyle w:val="FootnoteReference"/>
        </w:rPr>
        <w:footnoteRef/>
      </w:r>
      <w:r w:rsidRPr="008906D5">
        <w:tab/>
        <w:t>Vykonávacie nariadenie Komisie (EÚ) 2021/451 zo 17</w:t>
      </w:r>
      <w:r w:rsidR="008906D5">
        <w:t>. decembra</w:t>
      </w:r>
      <w:r w:rsidRPr="008906D5">
        <w:t xml:space="preserve"> 2020, ktorým sa stanovujú vykonávacie technické predpisy na uplatňovanie nariadenia Európskeho parlamentu</w:t>
      </w:r>
      <w:r w:rsidR="008906D5">
        <w:t xml:space="preserve"> a </w:t>
      </w:r>
      <w:r w:rsidRPr="008906D5">
        <w:t xml:space="preserve">Rady (EÚ) </w:t>
      </w:r>
      <w:r w:rsidR="008906D5">
        <w:t>č. </w:t>
      </w:r>
      <w:r w:rsidRPr="008906D5">
        <w:t>575/2013, pokiaľ ide</w:t>
      </w:r>
      <w:r w:rsidR="008906D5">
        <w:t xml:space="preserve"> o </w:t>
      </w:r>
      <w:r w:rsidRPr="008906D5">
        <w:t>vykazovanie inštitúciami na účely dohľadu,</w:t>
      </w:r>
      <w:r w:rsidR="008906D5">
        <w:t xml:space="preserve"> a </w:t>
      </w:r>
      <w:r w:rsidRPr="008906D5">
        <w:t xml:space="preserve">ktorým sa zrušuje vykonávacie nariadenie (EÚ) </w:t>
      </w:r>
      <w:r w:rsidR="008906D5">
        <w:t>č. </w:t>
      </w:r>
      <w:r w:rsidRPr="008906D5">
        <w:t xml:space="preserve">680/2014 (Ú. v. EÚ L 97, 19.3.2021, s. 1, ELI: </w:t>
      </w:r>
      <w:hyperlink r:id="rId1" w:history="1">
        <w:r w:rsidRPr="008906D5">
          <w:rPr>
            <w:rStyle w:val="Hyperlink"/>
          </w:rPr>
          <w:t>http://data.europa.eu/eli/reg_impl/2021/451/oj</w:t>
        </w:r>
      </w:hyperlink>
      <w:r w:rsidRPr="008906D5">
        <w:t>).</w:t>
      </w:r>
    </w:p>
  </w:footnote>
  <w:footnote w:id="6">
    <w:p w:rsidR="00430BC2" w:rsidRPr="008906D5" w:rsidRDefault="00430BC2" w:rsidP="00430BC2">
      <w:pPr>
        <w:pStyle w:val="FootnoteText"/>
      </w:pPr>
      <w:r w:rsidRPr="008906D5">
        <w:rPr>
          <w:rStyle w:val="FootnoteReference"/>
        </w:rPr>
        <w:footnoteRef/>
      </w:r>
      <w:r w:rsidRPr="008906D5">
        <w:tab/>
      </w:r>
      <w:bookmarkStart w:id="3" w:name="_Hlk198544390"/>
      <w:r w:rsidRPr="008906D5">
        <w:t>Nariadenie Európskeho parlamentu</w:t>
      </w:r>
      <w:r w:rsidR="008906D5">
        <w:t xml:space="preserve"> a </w:t>
      </w:r>
      <w:r w:rsidRPr="008906D5">
        <w:t xml:space="preserve">Rady (EÚ) </w:t>
      </w:r>
      <w:r w:rsidR="008906D5">
        <w:t>č. </w:t>
      </w:r>
      <w:r w:rsidRPr="008906D5">
        <w:t>1093/2010</w:t>
      </w:r>
      <w:r w:rsidR="008906D5">
        <w:t xml:space="preserve"> z </w:t>
      </w:r>
      <w:r w:rsidRPr="008906D5">
        <w:t>24</w:t>
      </w:r>
      <w:r w:rsidR="008906D5">
        <w:t>. novembra</w:t>
      </w:r>
      <w:r w:rsidRPr="008906D5">
        <w:t xml:space="preserve"> 2010, ktorým sa zriaďuje Európsky orgán dohľadu</w:t>
      </w:r>
      <w:bookmarkEnd w:id="3"/>
      <w:r w:rsidRPr="008906D5">
        <w:t xml:space="preserve"> (Európsky orgán pre bankovníctvo)</w:t>
      </w:r>
      <w:r w:rsidR="008906D5">
        <w:t xml:space="preserve"> a </w:t>
      </w:r>
      <w:r w:rsidRPr="008906D5">
        <w:t>ktorým sa mení</w:t>
      </w:r>
      <w:r w:rsidR="008906D5">
        <w:t xml:space="preserve"> a </w:t>
      </w:r>
      <w:r w:rsidRPr="008906D5">
        <w:t xml:space="preserve">dopĺňa rozhodnutie </w:t>
      </w:r>
      <w:r w:rsidR="008906D5">
        <w:t>č. </w:t>
      </w:r>
      <w:r w:rsidRPr="008906D5">
        <w:t>716/2009/ES</w:t>
      </w:r>
      <w:r w:rsidR="008906D5">
        <w:t xml:space="preserve"> a </w:t>
      </w:r>
      <w:r w:rsidRPr="008906D5">
        <w:t>zrušuje rozhodnutie Komisie 2009/78/ES (Ú. v. EÚ L 331, 15.12.2010, s. 12, ELI: http://data.europa.eu/eli/reg/2010/1093/oj).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706" w:rsidRDefault="001F77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706" w:rsidRDefault="001F77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21704E6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9B8831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1AEC401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54F0E18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0F4E849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F825B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C565D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7B7A92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22"/>
    <w:lvlOverride w:ilvl="0">
      <w:startOverride w:val="1"/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9"/>
  </w:num>
  <w:num w:numId="11">
    <w:abstractNumId w:val="12"/>
  </w:num>
  <w:num w:numId="12">
    <w:abstractNumId w:val="21"/>
  </w:num>
  <w:num w:numId="13">
    <w:abstractNumId w:val="11"/>
  </w:num>
  <w:num w:numId="14">
    <w:abstractNumId w:val="13"/>
  </w:num>
  <w:num w:numId="15">
    <w:abstractNumId w:val="14"/>
  </w:num>
  <w:num w:numId="16">
    <w:abstractNumId w:val="9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8"/>
  </w:num>
  <w:num w:numId="22">
    <w:abstractNumId w:val="10"/>
  </w:num>
  <w:num w:numId="23">
    <w:abstractNumId w:val="16"/>
  </w:num>
  <w:num w:numId="2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5-12-02 10:07:47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CORRIGENDUM" w:val="&lt;UNUSED&gt;"/>
    <w:docVar w:name="LW_COVERPAGE_EXISTS" w:val="True"/>
    <w:docVar w:name="LW_COVERPAGE_GUID" w:val="441152D7-1D22-44CE-B87C-3C106F84E839"/>
    <w:docVar w:name="LW_COVERPAGE_TYPE" w:val="1"/>
    <w:docVar w:name="LW_CreatedUtc" w:val="2025-10-08T14:24:25.1973363Z"/>
    <w:docVar w:name="LW_CROSSREFERENCE" w:val="&lt;UNUSED&gt;"/>
    <w:docVar w:name="LW_DATE.ADOPT.CP" w:val="z 8. 12. 2025,"/>
    <w:docVar w:name="LW_DATE.ADOPT.CP_DATEFORMAT" w:val="z %DATE%,"/>
    <w:docVar w:name="LW_DATE.ADOPT.CP_ISODATE" w:val="2025-12-08"/>
    <w:docVar w:name="LW_DocType" w:val="COM"/>
    <w:docVar w:name="LW_EMISSION" w:val="8. 12. 2025"/>
    <w:docVar w:name="LW_EMISSION_ISODATE" w:val="2025-12-08"/>
    <w:docVar w:name="LW_EMISSION_LOCATION" w:val="BRX"/>
    <w:docVar w:name="LW_EMISSION_PREFIX" w:val="V Bruseli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xt s významom pre EHP)"/>
    <w:docVar w:name="LW_LANGUE" w:val="SK"/>
    <w:docVar w:name="LW_LANGUESFAISANTFOI.CP" w:val="&lt;UNUSED&gt;"/>
    <w:docVar w:name="LW_LEVEL_OF_SENSITIVITY" w:val="Standard treatment"/>
    <w:docVar w:name="LW_NOM.INST" w:val="EURÓPSKA KOMISIA"/>
    <w:docVar w:name="LW_NOM.INST_JOINTDOC" w:val="&lt;EMPTY&gt;"/>
    <w:docVar w:name="LW_PART_NBR" w:val="1"/>
    <w:docVar w:name="LW_PART_NBR_TOTAL" w:val="1"/>
    <w:docVar w:name="LW_REF.INST.NEW" w:val="C"/>
    <w:docVar w:name="LW_REF.INST.NEW_ADOPTED" w:val="final"/>
    <w:docVar w:name="LW_REF.INST.NEW_TEXT" w:val="(2025) 8378"/>
    <w:docVar w:name="LW_REF.INTERNE" w:val="&lt;UNUSED&gt;"/>
    <w:docVar w:name="LW_SENSITIVITY" w:val="&lt;?xml version=&quot;1.0&quot; encoding=&quot;utf-8&quot;?&gt;_x000d__x000a_&lt;SensitivityLevel xmlns:xsd=&quot;http://www.w3.org/2001/XMLSchema&quot; xmlns:xsi=&quot;http://www.w3.org/2001/XMLSchema-instance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ktorým sa menia vykonávacie technické predpisy stanovené vo vykonávacom nariadení (EÚ) 2024/3117, pokia\u318? ide o vykazovanie in\u353?titúciami na ú\u269?ely doh\u318?adu v súvislosti s opera\u269?ným rizikom"/>
    <w:docVar w:name="LW_TYPE.DOC.CP" w:val="VYKONÁVACIE NARIADENIE KOMISIE (EÚ) \u8230?/..."/>
    <w:docVar w:name="LwApiVersions" w:val="LW4CoDe 1.24.5.0; LW 9.2, Build 20251112"/>
  </w:docVars>
  <w:rsids>
    <w:rsidRoot w:val="00430BC2"/>
    <w:rsid w:val="00017C96"/>
    <w:rsid w:val="000267F3"/>
    <w:rsid w:val="0004435A"/>
    <w:rsid w:val="00050CA3"/>
    <w:rsid w:val="001065F5"/>
    <w:rsid w:val="001238EF"/>
    <w:rsid w:val="00133705"/>
    <w:rsid w:val="00151C13"/>
    <w:rsid w:val="00151F6A"/>
    <w:rsid w:val="00152C5C"/>
    <w:rsid w:val="00197613"/>
    <w:rsid w:val="001F7706"/>
    <w:rsid w:val="00233DC7"/>
    <w:rsid w:val="00247779"/>
    <w:rsid w:val="00285BEE"/>
    <w:rsid w:val="0029533F"/>
    <w:rsid w:val="002B30AF"/>
    <w:rsid w:val="002E5318"/>
    <w:rsid w:val="003079BC"/>
    <w:rsid w:val="0033344A"/>
    <w:rsid w:val="0038150A"/>
    <w:rsid w:val="003903C2"/>
    <w:rsid w:val="003A32F4"/>
    <w:rsid w:val="0042648E"/>
    <w:rsid w:val="00430BC2"/>
    <w:rsid w:val="004404AB"/>
    <w:rsid w:val="004556A7"/>
    <w:rsid w:val="004936D2"/>
    <w:rsid w:val="004A0F9C"/>
    <w:rsid w:val="004D6360"/>
    <w:rsid w:val="0055312E"/>
    <w:rsid w:val="00561998"/>
    <w:rsid w:val="00562257"/>
    <w:rsid w:val="005653E4"/>
    <w:rsid w:val="005702FB"/>
    <w:rsid w:val="005833D0"/>
    <w:rsid w:val="005A2A56"/>
    <w:rsid w:val="005A725B"/>
    <w:rsid w:val="005B1EB6"/>
    <w:rsid w:val="0066432F"/>
    <w:rsid w:val="00693F28"/>
    <w:rsid w:val="0069534E"/>
    <w:rsid w:val="006A3A74"/>
    <w:rsid w:val="006F3E02"/>
    <w:rsid w:val="0076425B"/>
    <w:rsid w:val="00773331"/>
    <w:rsid w:val="00777C7F"/>
    <w:rsid w:val="007932EF"/>
    <w:rsid w:val="007B2BF2"/>
    <w:rsid w:val="007E05B0"/>
    <w:rsid w:val="00874D22"/>
    <w:rsid w:val="008906D5"/>
    <w:rsid w:val="0089317B"/>
    <w:rsid w:val="008A2914"/>
    <w:rsid w:val="008D6EE0"/>
    <w:rsid w:val="008E4D8E"/>
    <w:rsid w:val="00957703"/>
    <w:rsid w:val="00957BDE"/>
    <w:rsid w:val="009C711B"/>
    <w:rsid w:val="009F2131"/>
    <w:rsid w:val="00A0373A"/>
    <w:rsid w:val="00A362F7"/>
    <w:rsid w:val="00A50799"/>
    <w:rsid w:val="00A55CEA"/>
    <w:rsid w:val="00A9563C"/>
    <w:rsid w:val="00AC5BDC"/>
    <w:rsid w:val="00AC7E99"/>
    <w:rsid w:val="00AD7C0F"/>
    <w:rsid w:val="00AE3DBA"/>
    <w:rsid w:val="00B40F1A"/>
    <w:rsid w:val="00B443FE"/>
    <w:rsid w:val="00B5655C"/>
    <w:rsid w:val="00B74441"/>
    <w:rsid w:val="00C12301"/>
    <w:rsid w:val="00C862B2"/>
    <w:rsid w:val="00CA4C4C"/>
    <w:rsid w:val="00CE1BA2"/>
    <w:rsid w:val="00CE5317"/>
    <w:rsid w:val="00D03513"/>
    <w:rsid w:val="00D20381"/>
    <w:rsid w:val="00D81A3A"/>
    <w:rsid w:val="00DB538A"/>
    <w:rsid w:val="00E67DBC"/>
    <w:rsid w:val="00F336F9"/>
    <w:rsid w:val="00F4186C"/>
    <w:rsid w:val="00F47C85"/>
    <w:rsid w:val="00FC2CEE"/>
    <w:rsid w:val="00FC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9BDB1EF0-7C92-4C1A-8025-16837D323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sk-SK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7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7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7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7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17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17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17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430BC2"/>
    <w:pPr>
      <w:numPr>
        <w:numId w:val="1"/>
      </w:numPr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430BC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sk-SK"/>
    </w:rPr>
  </w:style>
  <w:style w:type="paragraph" w:styleId="ListBullet2">
    <w:name w:val="List Bullet 2"/>
    <w:basedOn w:val="Normal"/>
    <w:uiPriority w:val="99"/>
    <w:semiHidden/>
    <w:unhideWhenUsed/>
    <w:rsid w:val="0004435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4435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4435A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D6360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4D6360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4D636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D636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D636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D6360"/>
    <w:pPr>
      <w:numPr>
        <w:numId w:val="9"/>
      </w:numPr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6D5"/>
    <w:rPr>
      <w:rFonts w:ascii="Times New Roman" w:hAnsi="Times New Roman" w:cs="Times New Roman"/>
      <w:b/>
      <w:bCs/>
      <w:sz w:val="20"/>
      <w:szCs w:val="20"/>
      <w:lang w:val="sk-SK"/>
    </w:rPr>
  </w:style>
  <w:style w:type="character" w:customStyle="1" w:styleId="HeaderChar">
    <w:name w:val="Header Char"/>
    <w:basedOn w:val="DefaultParagraphFont"/>
    <w:link w:val="Header"/>
    <w:uiPriority w:val="99"/>
    <w:rsid w:val="001F7706"/>
    <w:rPr>
      <w:rFonts w:ascii="Times New Roman" w:hAnsi="Times New Roman" w:cs="Times New Roman"/>
      <w:sz w:val="24"/>
      <w:lang w:val="sk-SK"/>
    </w:rPr>
  </w:style>
  <w:style w:type="character" w:customStyle="1" w:styleId="FooterChar">
    <w:name w:val="Footer Char"/>
    <w:basedOn w:val="DefaultParagraphFont"/>
    <w:link w:val="Footer"/>
    <w:uiPriority w:val="99"/>
    <w:rsid w:val="001F7706"/>
    <w:rPr>
      <w:rFonts w:ascii="Times New Roman" w:hAnsi="Times New Roman" w:cs="Times New Roman"/>
      <w:sz w:val="24"/>
      <w:lang w:val="sk-SK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sk-SK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sk-SK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sk-SK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sk-SK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lang w:val="sk-SK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lang w:val="sk-SK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lang w:val="sk-SK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1F77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1F7706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1F77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Tiret5">
    <w:name w:val="Tiret 5"/>
    <w:basedOn w:val="Point5"/>
    <w:pPr>
      <w:numPr>
        <w:numId w:val="15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6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6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6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6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16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16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16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8"/>
      </w:numPr>
    </w:pPr>
  </w:style>
  <w:style w:type="paragraph" w:customStyle="1" w:styleId="Point1number">
    <w:name w:val="Point 1 (number)"/>
    <w:basedOn w:val="Normal"/>
    <w:pPr>
      <w:numPr>
        <w:ilvl w:val="2"/>
        <w:numId w:val="18"/>
      </w:numPr>
    </w:pPr>
  </w:style>
  <w:style w:type="paragraph" w:customStyle="1" w:styleId="Point2number">
    <w:name w:val="Point 2 (number)"/>
    <w:basedOn w:val="Normal"/>
    <w:pPr>
      <w:numPr>
        <w:ilvl w:val="4"/>
        <w:numId w:val="18"/>
      </w:numPr>
    </w:pPr>
  </w:style>
  <w:style w:type="paragraph" w:customStyle="1" w:styleId="Point3number">
    <w:name w:val="Point 3 (number)"/>
    <w:basedOn w:val="Normal"/>
    <w:pPr>
      <w:numPr>
        <w:ilvl w:val="6"/>
        <w:numId w:val="18"/>
      </w:numPr>
    </w:pPr>
  </w:style>
  <w:style w:type="paragraph" w:customStyle="1" w:styleId="Point0letter">
    <w:name w:val="Point 0 (letter)"/>
    <w:basedOn w:val="Normal"/>
    <w:pPr>
      <w:numPr>
        <w:ilvl w:val="1"/>
        <w:numId w:val="18"/>
      </w:numPr>
    </w:pPr>
  </w:style>
  <w:style w:type="paragraph" w:customStyle="1" w:styleId="Point1letter">
    <w:name w:val="Point 1 (letter)"/>
    <w:basedOn w:val="Normal"/>
    <w:pPr>
      <w:numPr>
        <w:ilvl w:val="3"/>
        <w:numId w:val="18"/>
      </w:numPr>
    </w:pPr>
  </w:style>
  <w:style w:type="paragraph" w:customStyle="1" w:styleId="Point2letter">
    <w:name w:val="Point 2 (letter)"/>
    <w:basedOn w:val="Normal"/>
    <w:pPr>
      <w:numPr>
        <w:ilvl w:val="5"/>
        <w:numId w:val="18"/>
      </w:numPr>
    </w:pPr>
  </w:style>
  <w:style w:type="paragraph" w:customStyle="1" w:styleId="Point3letter">
    <w:name w:val="Point 3 (letter)"/>
    <w:basedOn w:val="Normal"/>
    <w:pPr>
      <w:numPr>
        <w:ilvl w:val="7"/>
        <w:numId w:val="18"/>
      </w:numPr>
    </w:pPr>
  </w:style>
  <w:style w:type="paragraph" w:customStyle="1" w:styleId="Point4letter">
    <w:name w:val="Point 4 (letter)"/>
    <w:basedOn w:val="Normal"/>
    <w:pPr>
      <w:numPr>
        <w:ilvl w:val="8"/>
        <w:numId w:val="18"/>
      </w:numPr>
    </w:pPr>
  </w:style>
  <w:style w:type="paragraph" w:customStyle="1" w:styleId="Bullet0">
    <w:name w:val="Bullet 0"/>
    <w:basedOn w:val="Normal"/>
    <w:pPr>
      <w:numPr>
        <w:numId w:val="19"/>
      </w:numPr>
    </w:pPr>
  </w:style>
  <w:style w:type="paragraph" w:customStyle="1" w:styleId="Bullet1">
    <w:name w:val="Bullet 1"/>
    <w:basedOn w:val="Normal"/>
    <w:pPr>
      <w:numPr>
        <w:numId w:val="20"/>
      </w:numPr>
    </w:pPr>
  </w:style>
  <w:style w:type="paragraph" w:customStyle="1" w:styleId="Bullet2">
    <w:name w:val="Bullet 2"/>
    <w:basedOn w:val="Normal"/>
    <w:pPr>
      <w:numPr>
        <w:numId w:val="21"/>
      </w:numPr>
    </w:pPr>
  </w:style>
  <w:style w:type="paragraph" w:customStyle="1" w:styleId="Bullet3">
    <w:name w:val="Bullet 3"/>
    <w:basedOn w:val="Normal"/>
    <w:pPr>
      <w:numPr>
        <w:numId w:val="22"/>
      </w:numPr>
    </w:pPr>
  </w:style>
  <w:style w:type="paragraph" w:customStyle="1" w:styleId="Bullet4">
    <w:name w:val="Bullet 4"/>
    <w:basedOn w:val="Normal"/>
    <w:pPr>
      <w:numPr>
        <w:numId w:val="23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4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E664ED"/>
    <w:pPr>
      <w:spacing w:before="360" w:after="24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E664ED"/>
    <w:pPr>
      <w:spacing w:after="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Normal"/>
    <w:rsid w:val="00E664ED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Rfrencecroise"/>
    <w:rsid w:val="00E664ED"/>
    <w:pPr>
      <w:spacing w:before="360" w:after="240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F7706"/>
    <w:pPr>
      <w:tabs>
        <w:tab w:val="center" w:pos="4535"/>
        <w:tab w:val="right" w:pos="9071"/>
      </w:tabs>
      <w:spacing w:before="0"/>
    </w:pPr>
  </w:style>
  <w:style w:type="paragraph" w:customStyle="1" w:styleId="HeaderLandscape">
    <w:name w:val="HeaderLandscape"/>
    <w:basedOn w:val="Normal"/>
    <w:rsid w:val="001F7706"/>
    <w:pPr>
      <w:tabs>
        <w:tab w:val="center" w:pos="7285"/>
        <w:tab w:val="right" w:pos="14003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1F7706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customStyle="1" w:styleId="FooterLandscape">
    <w:name w:val="FooterLandscape"/>
    <w:basedOn w:val="Normal"/>
    <w:rsid w:val="001F7706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4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data.europa.eu/eli/reg_impl/2021/451/oj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40DC13EB184F4EBE5AA21BE9F247DB" ma:contentTypeVersion="4" ma:contentTypeDescription="Create a new document." ma:contentTypeScope="" ma:versionID="10be360f5c62a8d3a4e267eb14d21e0e">
  <xsd:schema xmlns:xsd="http://www.w3.org/2001/XMLSchema" xmlns:xs="http://www.w3.org/2001/XMLSchema" xmlns:p="http://schemas.microsoft.com/office/2006/metadata/properties" xmlns:ns2="00b59672-fe45-4cd1-beac-f346117953eb" targetNamespace="http://schemas.microsoft.com/office/2006/metadata/properties" ma:root="true" ma:fieldsID="172bd27ebbff65573fbd17f85c504c71" ns2:_="">
    <xsd:import namespace="00b59672-fe45-4cd1-beac-f346117953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59672-fe45-4cd1-beac-f346117953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DFB15B-E662-4192-B943-61670842E075}"/>
</file>

<file path=customXml/itemProps2.xml><?xml version="1.0" encoding="utf-8"?>
<ds:datastoreItem xmlns:ds="http://schemas.openxmlformats.org/officeDocument/2006/customXml" ds:itemID="{ED012B8B-1D40-42E7-9D1F-77E9800D5CC7}"/>
</file>

<file path=customXml/itemProps3.xml><?xml version="1.0" encoding="utf-8"?>
<ds:datastoreItem xmlns:ds="http://schemas.openxmlformats.org/officeDocument/2006/customXml" ds:itemID="{83CA65BD-11E5-41A3-A4F5-E672D26C045D}"/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8</TotalTime>
  <Pages>4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40</cp:revision>
  <dcterms:created xsi:type="dcterms:W3CDTF">2025-10-21T09:59:00Z</dcterms:created>
  <dcterms:modified xsi:type="dcterms:W3CDTF">2025-12-02T09:07:00Z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8.0.25.0</vt:lpwstr>
  </property>
  <property fmtid="{D5CDD505-2E9C-101B-9397-08002B2CF9AE}" pid="4" name="Last edited using">
    <vt:lpwstr>LW 9.2, Build 20250828</vt:lpwstr>
  </property>
  <property fmtid="{D5CDD505-2E9C-101B-9397-08002B2CF9AE}" pid="5" name="Created using">
    <vt:lpwstr>LW 9.1, Build 20240808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2025-10-08T14:35:46Z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9612d0f4-a765-4411-b663-a2b3981f03de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MSIP_Label_6bd9ddd1-4d20-43f6-abfa-fc3c07406f94_Tag">
    <vt:lpwstr>10, 3, 0, 1</vt:lpwstr>
  </property>
  <property fmtid="{D5CDD505-2E9C-101B-9397-08002B2CF9AE}" pid="18" name="DQCStatus">
    <vt:lpwstr>Green (DQC version 03)</vt:lpwstr>
  </property>
  <property fmtid="{D5CDD505-2E9C-101B-9397-08002B2CF9AE}" pid="19" name="ContentTypeId">
    <vt:lpwstr>0x010100A640DC13EB184F4EBE5AA21BE9F247DB</vt:lpwstr>
  </property>
</Properties>
</file>