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6.xml" ContentType="application/vnd.openxmlformats-officedocument.wordprocessingml.footer+xml"/>
  <Override PartName="/word/header1.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FA04FF" w:rsidRDefault="002C08A2" w:rsidP="002C08A2">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B833AE12-EA03-4021-A6D8-EDF2B0262822" style="width:455.25pt;height:345.75pt">
            <v:imagedata r:id="rId7" o:title=""/>
          </v:shape>
        </w:pict>
      </w:r>
    </w:p>
    <w:p w:rsidR="00430BC2" w:rsidRPr="00FA04FF" w:rsidRDefault="00430BC2">
      <w:pPr>
        <w:rPr>
          <w:noProof/>
        </w:rPr>
        <w:sectPr w:rsidR="00430BC2" w:rsidRPr="00FA04FF" w:rsidSect="002C08A2">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rsidR="00430BC2" w:rsidRPr="00FA04FF" w:rsidRDefault="00FA04FF" w:rsidP="00FA04FF">
      <w:pPr>
        <w:pStyle w:val="Typedudocument"/>
        <w:rPr>
          <w:noProof/>
        </w:rPr>
      </w:pPr>
      <w:bookmarkStart w:id="0" w:name="_GoBack"/>
      <w:bookmarkEnd w:id="0"/>
      <w:r w:rsidRPr="00FA04FF">
        <w:rPr>
          <w:noProof/>
        </w:rPr>
        <w:lastRenderedPageBreak/>
        <w:t>REGULAMENTUL DE PUNERE ÎN APLICARE (UE) …/… AL COMISIEI</w:t>
      </w:r>
    </w:p>
    <w:p w:rsidR="00430BC2" w:rsidRPr="00FA04FF" w:rsidRDefault="009B1E2D" w:rsidP="00FA04FF">
      <w:pPr>
        <w:pStyle w:val="Datedadoption"/>
        <w:rPr>
          <w:noProof/>
        </w:rPr>
      </w:pPr>
      <w:r>
        <w:rPr>
          <w:noProof/>
        </w:rPr>
        <w:t>din 8.12.2025</w:t>
      </w:r>
    </w:p>
    <w:p w:rsidR="00430BC2" w:rsidRPr="00FA04FF" w:rsidRDefault="00FA04FF" w:rsidP="00FA04FF">
      <w:pPr>
        <w:pStyle w:val="Titreobjet"/>
        <w:rPr>
          <w:noProof/>
        </w:rPr>
      </w:pPr>
      <w:r w:rsidRPr="00FA04FF">
        <w:rPr>
          <w:noProof/>
        </w:rPr>
        <w:t>de modificare a standardelor tehnice de punere în aplicare prevăzute în Regulamentul de punere în aplicare (UE) 2024/3117 în ceea ce privește raportarea în scopuri de supraveghere a instituțiilor în materie de risc operațional</w:t>
      </w:r>
    </w:p>
    <w:p w:rsidR="00430BC2" w:rsidRPr="00FA04FF" w:rsidRDefault="00FA04FF" w:rsidP="00FA04FF">
      <w:pPr>
        <w:pStyle w:val="IntrtEEE"/>
        <w:rPr>
          <w:noProof/>
        </w:rPr>
      </w:pPr>
      <w:r w:rsidRPr="00FA04FF">
        <w:rPr>
          <w:noProof/>
        </w:rPr>
        <w:t>(Text cu relevanță pentru SEE)</w:t>
      </w:r>
    </w:p>
    <w:p w:rsidR="00430BC2" w:rsidRPr="00FA04FF" w:rsidRDefault="00430BC2" w:rsidP="004E1EF9">
      <w:pPr>
        <w:pStyle w:val="Institutionquiagit"/>
        <w:rPr>
          <w:noProof/>
        </w:rPr>
      </w:pPr>
      <w:r w:rsidRPr="00FA04FF">
        <w:rPr>
          <w:noProof/>
        </w:rPr>
        <w:t>COMISIA EUROPEANĂ,</w:t>
      </w:r>
    </w:p>
    <w:p w:rsidR="00430BC2" w:rsidRPr="00FA04FF" w:rsidRDefault="00430BC2" w:rsidP="004E1EF9">
      <w:pPr>
        <w:rPr>
          <w:noProof/>
        </w:rPr>
      </w:pPr>
      <w:r w:rsidRPr="00FA04FF">
        <w:rPr>
          <w:noProof/>
        </w:rPr>
        <w:t>având în vedere Regulamentul (UE) nr. 575/2013 al Parlamentului European și al Consiliului din 26 iunie 2013 privind cerințele prudențiale pentru instituțiile de credit și de modificare a Regulamentului (UE) nr. 648/2012</w:t>
      </w:r>
      <w:r w:rsidRPr="00FA04FF">
        <w:rPr>
          <w:rStyle w:val="FootnoteReference"/>
          <w:noProof/>
        </w:rPr>
        <w:footnoteReference w:id="1"/>
      </w:r>
      <w:r w:rsidRPr="00FA04FF">
        <w:rPr>
          <w:noProof/>
        </w:rPr>
        <w:t>, în special articolul 430 alineatul (7) al cincilea paragraf,</w:t>
      </w:r>
    </w:p>
    <w:p w:rsidR="00430BC2" w:rsidRPr="00FA04FF" w:rsidRDefault="00430BC2" w:rsidP="004E1EF9">
      <w:pPr>
        <w:rPr>
          <w:noProof/>
        </w:rPr>
      </w:pPr>
      <w:r w:rsidRPr="00FA04FF">
        <w:rPr>
          <w:noProof/>
        </w:rPr>
        <w:t>întrucât:</w:t>
      </w:r>
    </w:p>
    <w:p w:rsidR="00430BC2" w:rsidRPr="00FA04FF" w:rsidRDefault="00973BA2" w:rsidP="00973BA2">
      <w:pPr>
        <w:pStyle w:val="ManualConsidrant"/>
        <w:rPr>
          <w:noProof/>
        </w:rPr>
      </w:pPr>
      <w:r w:rsidRPr="00973BA2">
        <w:rPr>
          <w:noProof/>
        </w:rPr>
        <w:t>(1)</w:t>
      </w:r>
      <w:r w:rsidRPr="00973BA2">
        <w:rPr>
          <w:noProof/>
        </w:rPr>
        <w:tab/>
      </w:r>
      <w:r w:rsidR="00430BC2" w:rsidRPr="00FA04FF">
        <w:rPr>
          <w:noProof/>
        </w:rPr>
        <w:t>Regulamentul (UE) nr. 575/2013 a fost modificat prin Regulamentul (UE) 2024/1623 al Parlamentului European și al Consiliului</w:t>
      </w:r>
      <w:r w:rsidR="00430BC2" w:rsidRPr="00FA04FF">
        <w:rPr>
          <w:rStyle w:val="FootnoteReference"/>
          <w:noProof/>
        </w:rPr>
        <w:footnoteReference w:id="2"/>
      </w:r>
      <w:r w:rsidR="00430BC2" w:rsidRPr="00FA04FF">
        <w:rPr>
          <w:noProof/>
        </w:rPr>
        <w:t xml:space="preserve"> pentru a pune în aplicare cel mai recent set de standarde internaționale ale Comitetului de la Basel pentru supraveghere bancară (Basel III). Standardele respective au condus la adoptarea regulamentului de punere în aplicare (UE) 2024/3117 al Comisiei</w:t>
      </w:r>
      <w:r w:rsidR="00430BC2" w:rsidRPr="00FA04FF">
        <w:rPr>
          <w:rStyle w:val="FootnoteReference"/>
          <w:noProof/>
        </w:rPr>
        <w:footnoteReference w:id="3"/>
      </w:r>
      <w:r w:rsidR="00430BC2" w:rsidRPr="00FA04FF">
        <w:rPr>
          <w:noProof/>
        </w:rPr>
        <w:t>, care stabilește standarde tehnice de punere în aplicare pentru aplicarea Regulamentului (UE) nr. 575/2013 în ceea ce privește raportarea în scopuri de supraveghere a instituțiilor.</w:t>
      </w:r>
    </w:p>
    <w:p w:rsidR="00430BC2" w:rsidRPr="00FA04FF" w:rsidRDefault="00973BA2" w:rsidP="00973BA2">
      <w:pPr>
        <w:pStyle w:val="ManualConsidrant"/>
        <w:rPr>
          <w:noProof/>
        </w:rPr>
      </w:pPr>
      <w:r w:rsidRPr="00973BA2">
        <w:rPr>
          <w:noProof/>
        </w:rPr>
        <w:t>(2)</w:t>
      </w:r>
      <w:r w:rsidRPr="00973BA2">
        <w:rPr>
          <w:noProof/>
        </w:rPr>
        <w:tab/>
      </w:r>
      <w:r w:rsidR="00430BC2" w:rsidRPr="00FA04FF">
        <w:rPr>
          <w:noProof/>
        </w:rPr>
        <w:t>Având în vedere modificările aduse cadrului prudențial privind cerințele de fonduri proprii pentru riscul operațional, au fost necesare noi formulare de raportare pentru a se asigura că instituțiile raportează în conformitate cu noul cadru în vigoare. Deși unele dintre aceste modificări ale formularelor de raportare au fost deja introduse prin Regulamentul (UE) 2024/3117, actualizarea altor câteva formulare a fost posibilă numai în urma dezvoltării tehnice suplimentare a cerințelor privind riscul operațional, în special în ceea ce privește specificarea componentelor indicatorului de activitate, elementele care trebuie excluse din indicatorul de activitate și punerea lor în corespondență cu celulele de raportare corespunzătoare.</w:t>
      </w:r>
    </w:p>
    <w:p w:rsidR="00430BC2" w:rsidRPr="00FA04FF" w:rsidRDefault="00973BA2" w:rsidP="00973BA2">
      <w:pPr>
        <w:pStyle w:val="ManualConsidrant"/>
        <w:rPr>
          <w:noProof/>
        </w:rPr>
      </w:pPr>
      <w:r w:rsidRPr="00973BA2">
        <w:rPr>
          <w:noProof/>
        </w:rPr>
        <w:t>(3)</w:t>
      </w:r>
      <w:r w:rsidRPr="00973BA2">
        <w:rPr>
          <w:noProof/>
        </w:rPr>
        <w:tab/>
      </w:r>
      <w:r w:rsidR="00430BC2" w:rsidRPr="00FA04FF">
        <w:rPr>
          <w:noProof/>
        </w:rPr>
        <w:t>Regulamentul delegat (UE) 2025/1496 al Comisiei</w:t>
      </w:r>
      <w:r w:rsidR="00430BC2" w:rsidRPr="00FA04FF">
        <w:rPr>
          <w:rStyle w:val="FootnoteReference"/>
          <w:noProof/>
        </w:rPr>
        <w:footnoteReference w:id="4"/>
      </w:r>
      <w:r w:rsidR="00430BC2" w:rsidRPr="00FA04FF">
        <w:rPr>
          <w:noProof/>
        </w:rPr>
        <w:t xml:space="preserve"> a amânat data aplicării noilor cerințe de fonduri proprii pentru riscul de piață pentru 1 ianuarie 2027. Prin urmare, este necesar să se mențină fără modificări raportarea existentă cu privire la cerințele privind riscul de piață care se aplică până la 31 decembrie 2026. În consecință, dispozițiile tranzitorii din Regulamentul (UE) 2024/3117 ar trebui prelungite, iar abrogarea dispozițiilor relevante din Regulamentul de punere în aplicare (UE)</w:t>
      </w:r>
      <w:r w:rsidR="00432987">
        <w:rPr>
          <w:noProof/>
        </w:rPr>
        <w:t> </w:t>
      </w:r>
      <w:r w:rsidR="00430BC2" w:rsidRPr="00FA04FF">
        <w:rPr>
          <w:noProof/>
        </w:rPr>
        <w:t>2021/451 al Comisiei</w:t>
      </w:r>
      <w:r w:rsidR="00430BC2" w:rsidRPr="00FA04FF">
        <w:rPr>
          <w:rStyle w:val="FootnoteReference"/>
          <w:noProof/>
        </w:rPr>
        <w:footnoteReference w:id="5"/>
      </w:r>
      <w:r w:rsidR="00430BC2" w:rsidRPr="00FA04FF">
        <w:rPr>
          <w:noProof/>
        </w:rPr>
        <w:t xml:space="preserve"> ar trebui amânată cu încă un an. </w:t>
      </w:r>
    </w:p>
    <w:p w:rsidR="00430BC2" w:rsidRPr="00FA04FF" w:rsidRDefault="00973BA2" w:rsidP="00973BA2">
      <w:pPr>
        <w:pStyle w:val="ManualConsidrant"/>
        <w:rPr>
          <w:noProof/>
        </w:rPr>
      </w:pPr>
      <w:r w:rsidRPr="00973BA2">
        <w:rPr>
          <w:noProof/>
        </w:rPr>
        <w:t>(4)</w:t>
      </w:r>
      <w:r w:rsidRPr="00973BA2">
        <w:rPr>
          <w:noProof/>
        </w:rPr>
        <w:tab/>
      </w:r>
      <w:r w:rsidR="00430BC2" w:rsidRPr="00FA04FF">
        <w:rPr>
          <w:noProof/>
        </w:rPr>
        <w:t>Prin urmare, Regulamentul de punere în aplicare (UE) 2024/3117 ar trebui modificat în consecință.</w:t>
      </w:r>
    </w:p>
    <w:p w:rsidR="00430BC2" w:rsidRPr="00FA04FF" w:rsidRDefault="00973BA2" w:rsidP="00973BA2">
      <w:pPr>
        <w:pStyle w:val="ManualConsidrant"/>
        <w:rPr>
          <w:noProof/>
        </w:rPr>
      </w:pPr>
      <w:r w:rsidRPr="00973BA2">
        <w:rPr>
          <w:noProof/>
        </w:rPr>
        <w:t>(5)</w:t>
      </w:r>
      <w:r w:rsidRPr="00973BA2">
        <w:rPr>
          <w:noProof/>
        </w:rPr>
        <w:tab/>
      </w:r>
      <w:r w:rsidR="00430BC2" w:rsidRPr="00FA04FF">
        <w:rPr>
          <w:noProof/>
        </w:rPr>
        <w:t>Prezentul regulament se bazează pe proiectul de standarde tehnice de punere în aplicare prezentat Comisiei de către Autoritatea Bancară Europeană (ABE).</w:t>
      </w:r>
    </w:p>
    <w:p w:rsidR="00430BC2" w:rsidRPr="00FA04FF" w:rsidRDefault="00973BA2" w:rsidP="00973BA2">
      <w:pPr>
        <w:pStyle w:val="ManualConsidrant"/>
        <w:rPr>
          <w:noProof/>
        </w:rPr>
      </w:pPr>
      <w:r w:rsidRPr="00973BA2">
        <w:rPr>
          <w:noProof/>
        </w:rPr>
        <w:t>(6)</w:t>
      </w:r>
      <w:r w:rsidRPr="00973BA2">
        <w:rPr>
          <w:noProof/>
        </w:rPr>
        <w:tab/>
      </w:r>
      <w:r w:rsidR="00430BC2" w:rsidRPr="00FA04FF">
        <w:rPr>
          <w:noProof/>
        </w:rPr>
        <w:t>ABE a efectuat consultări publice deschise cu privire la proiectul de standarde tehnice de punere în aplicare pe care se bazează prezentul regulament, a analizat costurile și beneficiile potențiale aferente și a solicitat avizul Grupului părților interesate din domeniul bancar, instituit în conformitate cu articolul 37 din Regulamentul (UE) nr. 1093/2010 al Parlamentului European și al Consiliului</w:t>
      </w:r>
      <w:r w:rsidR="00430BC2" w:rsidRPr="00FA04FF">
        <w:rPr>
          <w:rStyle w:val="FootnoteReference"/>
          <w:noProof/>
        </w:rPr>
        <w:footnoteReference w:id="6"/>
      </w:r>
      <w:r w:rsidR="00430BC2" w:rsidRPr="00FA04FF">
        <w:rPr>
          <w:noProof/>
        </w:rPr>
        <w:t>,</w:t>
      </w:r>
    </w:p>
    <w:p w:rsidR="00430BC2" w:rsidRPr="00FA04FF" w:rsidRDefault="00430BC2" w:rsidP="004E1EF9">
      <w:pPr>
        <w:pStyle w:val="Formuledadoption"/>
        <w:rPr>
          <w:noProof/>
        </w:rPr>
      </w:pPr>
      <w:r w:rsidRPr="00FA04FF">
        <w:rPr>
          <w:noProof/>
        </w:rPr>
        <w:t>ADOPTĂ PREZENTUL REGULAMENT:</w:t>
      </w:r>
    </w:p>
    <w:p w:rsidR="00430BC2" w:rsidRPr="00FA04FF" w:rsidRDefault="00430BC2" w:rsidP="004E1EF9">
      <w:pPr>
        <w:pStyle w:val="Titrearticle"/>
        <w:rPr>
          <w:noProof/>
        </w:rPr>
      </w:pPr>
      <w:r w:rsidRPr="00FA04FF">
        <w:rPr>
          <w:noProof/>
        </w:rPr>
        <w:t>Articolul 1</w:t>
      </w:r>
    </w:p>
    <w:p w:rsidR="00430BC2" w:rsidRPr="00FA04FF" w:rsidRDefault="00430BC2" w:rsidP="00430BC2">
      <w:pPr>
        <w:rPr>
          <w:noProof/>
        </w:rPr>
      </w:pPr>
      <w:bookmarkStart w:id="4" w:name="_Hlk198544571"/>
      <w:r w:rsidRPr="00FA04FF">
        <w:rPr>
          <w:noProof/>
        </w:rPr>
        <w:t>Regulamentul de punere în aplicare (UE) 2024/3117</w:t>
      </w:r>
      <w:bookmarkEnd w:id="4"/>
      <w:r w:rsidRPr="00FA04FF">
        <w:rPr>
          <w:noProof/>
        </w:rPr>
        <w:t xml:space="preserve"> se modifică după cum urmează: </w:t>
      </w:r>
    </w:p>
    <w:p w:rsidR="00430BC2" w:rsidRPr="00FA04FF" w:rsidRDefault="00973BA2" w:rsidP="00973BA2">
      <w:pPr>
        <w:pStyle w:val="Point0"/>
        <w:rPr>
          <w:noProof/>
        </w:rPr>
      </w:pPr>
      <w:r w:rsidRPr="00973BA2">
        <w:rPr>
          <w:noProof/>
        </w:rPr>
        <w:t>(1)</w:t>
      </w:r>
      <w:r w:rsidRPr="00973BA2">
        <w:rPr>
          <w:noProof/>
        </w:rPr>
        <w:tab/>
      </w:r>
      <w:r w:rsidR="00430BC2" w:rsidRPr="00FA04FF">
        <w:rPr>
          <w:noProof/>
        </w:rPr>
        <w:t>la articolul 5, alineatul (4) se înlocuiește cu următorul text:</w:t>
      </w:r>
    </w:p>
    <w:p w:rsidR="00430BC2" w:rsidRPr="00FA04FF" w:rsidRDefault="00430BC2" w:rsidP="00430BC2">
      <w:pPr>
        <w:pStyle w:val="QuotedNumPar"/>
        <w:rPr>
          <w:noProof/>
        </w:rPr>
      </w:pPr>
      <w:r w:rsidRPr="00FA04FF">
        <w:rPr>
          <w:noProof/>
        </w:rPr>
        <w:t>„(4) Pentru calcularea cerințelor de fonduri proprii menționate la articolul 92 alineatul (4) litera (b) punctul (i) și litera (c) și la articolul 92 alineatul (5) literele (b) și (c) din Regulamentul (UE) nr. 575/2013, instituțiile transmit, până la 31 decembrie 2026, informațiile privind cerințele de fonduri proprii legate de riscul de piață în conformitate cu articolul 5 alineatul (12) din Regulamentul de punere în aplicare (UE) 2021/451.”;</w:t>
      </w:r>
    </w:p>
    <w:p w:rsidR="00430BC2" w:rsidRPr="00FA04FF" w:rsidRDefault="00973BA2" w:rsidP="00973BA2">
      <w:pPr>
        <w:pStyle w:val="Point0"/>
        <w:rPr>
          <w:noProof/>
        </w:rPr>
      </w:pPr>
      <w:r w:rsidRPr="00973BA2">
        <w:rPr>
          <w:noProof/>
        </w:rPr>
        <w:t>(2)</w:t>
      </w:r>
      <w:r w:rsidRPr="00973BA2">
        <w:rPr>
          <w:noProof/>
        </w:rPr>
        <w:tab/>
      </w:r>
      <w:r w:rsidR="00430BC2" w:rsidRPr="00FA04FF">
        <w:rPr>
          <w:noProof/>
        </w:rPr>
        <w:t>la articolul 7 se adaugă următoarea literă (c):</w:t>
      </w:r>
    </w:p>
    <w:p w:rsidR="00430BC2" w:rsidRPr="00FA04FF" w:rsidRDefault="00430BC2" w:rsidP="00430BC2">
      <w:pPr>
        <w:pStyle w:val="QuotedNumPar"/>
        <w:rPr>
          <w:noProof/>
        </w:rPr>
      </w:pPr>
      <w:r w:rsidRPr="00FA04FF">
        <w:rPr>
          <w:noProof/>
        </w:rPr>
        <w:t>„(c)</w:t>
      </w:r>
      <w:r w:rsidRPr="00FA04FF">
        <w:rPr>
          <w:noProof/>
        </w:rPr>
        <w:tab/>
        <w:t>Instituțiile-mamă din UE raportează trimestrial informațiile solicitate în anexa I formularul C 16.04 referitoare la informațiile privind filialele care fac obiectul derogării prevăzute la articolul 314 alineatul (3) din Regulamentul (UE) nr. 575/2013.”;</w:t>
      </w:r>
    </w:p>
    <w:p w:rsidR="00430BC2" w:rsidRPr="00FA04FF" w:rsidRDefault="00973BA2" w:rsidP="00973BA2">
      <w:pPr>
        <w:pStyle w:val="Point0"/>
        <w:rPr>
          <w:noProof/>
        </w:rPr>
      </w:pPr>
      <w:r w:rsidRPr="00973BA2">
        <w:rPr>
          <w:noProof/>
        </w:rPr>
        <w:t>(3)</w:t>
      </w:r>
      <w:r w:rsidRPr="00973BA2">
        <w:rPr>
          <w:noProof/>
        </w:rPr>
        <w:tab/>
      </w:r>
      <w:r w:rsidR="00430BC2" w:rsidRPr="00FA04FF">
        <w:rPr>
          <w:noProof/>
        </w:rPr>
        <w:t>la articolul 25, alineatele (1) și (2) se înlocuiesc cu următorul text:</w:t>
      </w:r>
    </w:p>
    <w:p w:rsidR="00430BC2" w:rsidRPr="00FA04FF" w:rsidRDefault="00430BC2" w:rsidP="00430BC2">
      <w:pPr>
        <w:pStyle w:val="QuotedNumPar"/>
        <w:rPr>
          <w:noProof/>
        </w:rPr>
      </w:pPr>
      <w:r w:rsidRPr="00FA04FF">
        <w:rPr>
          <w:noProof/>
        </w:rPr>
        <w:t>„(1) Regulamentul de punere în aplicare (UE) 2021/451 încetează să se aplice de la 1</w:t>
      </w:r>
      <w:r w:rsidR="00432987">
        <w:rPr>
          <w:noProof/>
        </w:rPr>
        <w:t> </w:t>
      </w:r>
      <w:r w:rsidRPr="00FA04FF">
        <w:rPr>
          <w:noProof/>
        </w:rPr>
        <w:t>ianuarie 2025, cu excepția articolului 5 alineatul (12), a formularelor 18-24 din anexa I și a anexei II partea II punctele 5.1-5.7. Articolul 15 din Regulamentul de punere în aplicare (UE) 2021/451 continuă să se aplice până la 31 decembrie 2026 numai în sensul articolului 5 alineatul (4) din prezentul regulament.</w:t>
      </w:r>
    </w:p>
    <w:p w:rsidR="00430BC2" w:rsidRPr="00FA04FF" w:rsidRDefault="00430BC2" w:rsidP="00430BC2">
      <w:pPr>
        <w:pStyle w:val="QuotedNumPar"/>
        <w:rPr>
          <w:noProof/>
        </w:rPr>
      </w:pPr>
      <w:r w:rsidRPr="00FA04FF">
        <w:rPr>
          <w:noProof/>
        </w:rPr>
        <w:t>(2) Regulamentul de punere în aplicare (UE) 2021/451 se abrogă începând cu 31</w:t>
      </w:r>
      <w:r w:rsidR="000B6E15">
        <w:rPr>
          <w:noProof/>
        </w:rPr>
        <w:t> </w:t>
      </w:r>
      <w:r w:rsidRPr="00FA04FF">
        <w:rPr>
          <w:noProof/>
        </w:rPr>
        <w:t>decembrie 2026.”;</w:t>
      </w:r>
    </w:p>
    <w:p w:rsidR="00430BC2" w:rsidRPr="00FA04FF" w:rsidRDefault="00973BA2" w:rsidP="00973BA2">
      <w:pPr>
        <w:pStyle w:val="Point0"/>
        <w:rPr>
          <w:noProof/>
        </w:rPr>
      </w:pPr>
      <w:r w:rsidRPr="00973BA2">
        <w:rPr>
          <w:noProof/>
        </w:rPr>
        <w:t>(4)</w:t>
      </w:r>
      <w:r w:rsidRPr="00973BA2">
        <w:rPr>
          <w:noProof/>
        </w:rPr>
        <w:tab/>
      </w:r>
      <w:r w:rsidR="00430BC2" w:rsidRPr="00FA04FF">
        <w:rPr>
          <w:noProof/>
        </w:rPr>
        <w:t xml:space="preserve">în anexa I, secțiunea 1 – „Raportarea privind fondurile proprii și cerințele de fonduri proprii” se modifică după cum urmează: </w:t>
      </w:r>
    </w:p>
    <w:p w:rsidR="00430BC2" w:rsidRPr="00FA04FF" w:rsidRDefault="00973BA2" w:rsidP="00973BA2">
      <w:pPr>
        <w:pStyle w:val="Point1"/>
        <w:rPr>
          <w:noProof/>
        </w:rPr>
      </w:pPr>
      <w:r w:rsidRPr="00973BA2">
        <w:rPr>
          <w:noProof/>
        </w:rPr>
        <w:t>(a)</w:t>
      </w:r>
      <w:r w:rsidRPr="00973BA2">
        <w:rPr>
          <w:noProof/>
        </w:rPr>
        <w:tab/>
      </w:r>
      <w:r w:rsidR="00430BC2" w:rsidRPr="00FA04FF">
        <w:rPr>
          <w:noProof/>
        </w:rPr>
        <w:t xml:space="preserve">formularul „C 16.01 – RISCUL OPERAȚIONAL – </w:t>
      </w:r>
      <w:r w:rsidR="00430BC2" w:rsidRPr="00FA04FF">
        <w:rPr>
          <w:caps/>
          <w:noProof/>
        </w:rPr>
        <w:t>Cerințe de fonduri</w:t>
      </w:r>
      <w:r w:rsidR="00430BC2" w:rsidRPr="00FA04FF">
        <w:rPr>
          <w:noProof/>
        </w:rPr>
        <w:t xml:space="preserve"> PROPRII (OPR OF)” se înlocuiește cu formularul „C 16.01 – RISCUL OPERAȚIONAL – </w:t>
      </w:r>
      <w:r w:rsidR="00430BC2" w:rsidRPr="00FA04FF">
        <w:rPr>
          <w:caps/>
          <w:noProof/>
        </w:rPr>
        <w:t>Cerințe de fonduri</w:t>
      </w:r>
      <w:r w:rsidR="00430BC2" w:rsidRPr="00FA04FF">
        <w:rPr>
          <w:noProof/>
        </w:rPr>
        <w:t xml:space="preserve"> PROPRII (OPR OF)” prevăzut în anexa la prezentul regulament;</w:t>
      </w:r>
    </w:p>
    <w:p w:rsidR="00430BC2" w:rsidRPr="00FA04FF" w:rsidRDefault="00973BA2" w:rsidP="00973BA2">
      <w:pPr>
        <w:pStyle w:val="Point1"/>
        <w:rPr>
          <w:noProof/>
        </w:rPr>
      </w:pPr>
      <w:r w:rsidRPr="00973BA2">
        <w:rPr>
          <w:noProof/>
        </w:rPr>
        <w:t>(b)</w:t>
      </w:r>
      <w:r w:rsidRPr="00973BA2">
        <w:rPr>
          <w:noProof/>
        </w:rPr>
        <w:tab/>
      </w:r>
      <w:r w:rsidR="00430BC2" w:rsidRPr="00FA04FF">
        <w:rPr>
          <w:noProof/>
        </w:rPr>
        <w:t>formularul „C 16.02 – RISCUL OPERAȚIONAL – Componenta indicatorului de activitate (OPR BIC)”, formularul „C 16.03 – DEFALCAREA RISCULUI OPERAȚIONAL (OPR BD) – Pierderi, cheltuieli, provizioane și alte impacturi financiare care rezultă din evenimente de risc operațional” și formularul „C 16.04 – RISCUL OPERAȚIONAL – Informații privind filialele care fac obiectul articolului 314 alineatul (3) din CRR” din anexa la prezentul regulament se adaugă după formularul „C 16.01 – RISCUL OPERAȚIONAL – Cerințe de fonduri PROPRII (OPR OF)”.</w:t>
      </w:r>
    </w:p>
    <w:p w:rsidR="00430BC2" w:rsidRPr="00FA04FF" w:rsidRDefault="00430BC2" w:rsidP="004E1EF9">
      <w:pPr>
        <w:pStyle w:val="Titrearticle"/>
        <w:rPr>
          <w:noProof/>
        </w:rPr>
      </w:pPr>
      <w:r w:rsidRPr="00FA04FF">
        <w:rPr>
          <w:noProof/>
        </w:rPr>
        <w:t>Articolul 2</w:t>
      </w:r>
    </w:p>
    <w:p w:rsidR="00430BC2" w:rsidRPr="00FA04FF" w:rsidRDefault="00430BC2" w:rsidP="004E1EF9">
      <w:pPr>
        <w:rPr>
          <w:noProof/>
        </w:rPr>
      </w:pPr>
      <w:r w:rsidRPr="00FA04FF">
        <w:rPr>
          <w:noProof/>
        </w:rPr>
        <w:t xml:space="preserve">Prezentul regulament intră în vigoare în a douăzecea zi de la data publicării în </w:t>
      </w:r>
      <w:r w:rsidRPr="00FA04FF">
        <w:rPr>
          <w:i/>
          <w:noProof/>
        </w:rPr>
        <w:t>Jurnalul Oficial al Uniunii Europene</w:t>
      </w:r>
      <w:r w:rsidRPr="00FA04FF">
        <w:rPr>
          <w:noProof/>
        </w:rPr>
        <w:t>.</w:t>
      </w:r>
    </w:p>
    <w:p w:rsidR="00430BC2" w:rsidRPr="00FA04FF" w:rsidRDefault="00430BC2" w:rsidP="004E1EF9">
      <w:pPr>
        <w:pStyle w:val="Applicationdirecte"/>
        <w:rPr>
          <w:noProof/>
        </w:rPr>
      </w:pPr>
      <w:r w:rsidRPr="00FA04FF">
        <w:rPr>
          <w:noProof/>
        </w:rPr>
        <w:t>Prezentul regulament este obligatoriu în toate elementele sale și se aplică direct în toate statele membre.</w:t>
      </w:r>
    </w:p>
    <w:p w:rsidR="00430BC2" w:rsidRPr="00FA04FF" w:rsidRDefault="009B1E2D" w:rsidP="001D7210">
      <w:pPr>
        <w:pStyle w:val="Fait"/>
        <w:rPr>
          <w:noProof/>
        </w:rPr>
      </w:pPr>
      <w:r>
        <w:rPr>
          <w:noProof/>
        </w:rPr>
        <w:t>Adoptat la Bruxelles, 8.12.2025</w:t>
      </w:r>
    </w:p>
    <w:p w:rsidR="00430BC2" w:rsidRPr="00FA04FF" w:rsidRDefault="00430BC2" w:rsidP="001D7210">
      <w:pPr>
        <w:pStyle w:val="Institutionquisigne"/>
        <w:rPr>
          <w:noProof/>
        </w:rPr>
      </w:pPr>
      <w:r w:rsidRPr="00FA04FF">
        <w:rPr>
          <w:noProof/>
        </w:rPr>
        <w:tab/>
        <w:t>Pentru Comisie,</w:t>
      </w:r>
    </w:p>
    <w:p w:rsidR="00CE1BA2" w:rsidRPr="00FA04FF" w:rsidRDefault="00C66771" w:rsidP="001D7210">
      <w:pPr>
        <w:pStyle w:val="Personnequisigne"/>
        <w:keepNext/>
        <w:rPr>
          <w:noProof/>
        </w:rPr>
      </w:pPr>
      <w:r>
        <w:rPr>
          <w:noProof/>
        </w:rPr>
        <w:tab/>
        <w:t>Președinta</w:t>
      </w:r>
      <w:r>
        <w:rPr>
          <w:noProof/>
        </w:rPr>
        <w:br/>
      </w:r>
      <w:r>
        <w:rPr>
          <w:noProof/>
        </w:rPr>
        <w:tab/>
        <w:t>Ursula VON DER LEYEN</w:t>
      </w:r>
    </w:p>
    <w:p w:rsidR="00430BC2" w:rsidRPr="00FA04FF" w:rsidRDefault="00430BC2" w:rsidP="00430BC2">
      <w:pPr>
        <w:pStyle w:val="Personnequisigne"/>
        <w:rPr>
          <w:noProof/>
        </w:rPr>
      </w:pPr>
    </w:p>
    <w:sectPr w:rsidR="00430BC2" w:rsidRPr="00FA04FF" w:rsidSect="002C08A2">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BC2" w:rsidRDefault="00430BC2" w:rsidP="00430BC2">
      <w:pPr>
        <w:spacing w:before="0" w:after="0"/>
      </w:pPr>
      <w:r>
        <w:separator/>
      </w:r>
    </w:p>
  </w:endnote>
  <w:endnote w:type="continuationSeparator" w:id="0">
    <w:p w:rsidR="00430BC2" w:rsidRDefault="00430BC2" w:rsidP="00430BC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Footer"/>
      <w:rPr>
        <w:rFonts w:ascii="Arial" w:hAnsi="Arial" w:cs="Arial"/>
        <w:b/>
        <w:sz w:val="48"/>
      </w:rPr>
    </w:pPr>
    <w:r w:rsidRPr="002C08A2">
      <w:rPr>
        <w:rFonts w:ascii="Arial" w:hAnsi="Arial" w:cs="Arial"/>
        <w:b/>
        <w:sz w:val="48"/>
      </w:rPr>
      <w:t>RO</w:t>
    </w:r>
    <w:r w:rsidRPr="002C08A2">
      <w:rPr>
        <w:rFonts w:ascii="Arial" w:hAnsi="Arial" w:cs="Arial"/>
        <w:b/>
        <w:sz w:val="48"/>
      </w:rPr>
      <w:tab/>
    </w:r>
    <w:r w:rsidRPr="002C08A2">
      <w:rPr>
        <w:rFonts w:ascii="Arial" w:hAnsi="Arial" w:cs="Arial"/>
        <w:b/>
        <w:sz w:val="48"/>
      </w:rPr>
      <w:tab/>
    </w:r>
    <w:r w:rsidRPr="002C08A2">
      <w:tab/>
    </w:r>
    <w:r w:rsidRPr="002C08A2">
      <w:rPr>
        <w:rFonts w:ascii="Arial" w:hAnsi="Arial" w:cs="Arial"/>
        <w:b/>
        <w:sz w:val="48"/>
      </w:rPr>
      <w:t>RO</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Footer"/>
      <w:rPr>
        <w:rFonts w:ascii="Arial" w:hAnsi="Arial" w:cs="Arial"/>
        <w:b/>
        <w:sz w:val="48"/>
      </w:rPr>
    </w:pPr>
    <w:r w:rsidRPr="002C08A2">
      <w:rPr>
        <w:rFonts w:ascii="Arial" w:hAnsi="Arial" w:cs="Arial"/>
        <w:b/>
        <w:sz w:val="48"/>
      </w:rPr>
      <w:t>RO</w:t>
    </w:r>
    <w:r w:rsidRPr="002C08A2">
      <w:rPr>
        <w:rFonts w:ascii="Arial" w:hAnsi="Arial" w:cs="Arial"/>
        <w:b/>
        <w:sz w:val="48"/>
      </w:rPr>
      <w:tab/>
    </w:r>
    <w:r w:rsidRPr="002C08A2">
      <w:rPr>
        <w:rFonts w:ascii="Arial" w:hAnsi="Arial" w:cs="Arial"/>
        <w:b/>
        <w:sz w:val="48"/>
      </w:rPr>
      <w:tab/>
    </w:r>
    <w:r w:rsidRPr="002C08A2">
      <w:tab/>
    </w:r>
    <w:r w:rsidRPr="002C08A2">
      <w:rPr>
        <w:rFonts w:ascii="Arial" w:hAnsi="Arial" w:cs="Arial"/>
        <w:b/>
        <w:sz w:val="48"/>
      </w:rPr>
      <w:t>RO</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Default="002C08A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Footer"/>
      <w:rPr>
        <w:rFonts w:ascii="Arial" w:hAnsi="Arial" w:cs="Arial"/>
        <w:b/>
        <w:sz w:val="48"/>
      </w:rPr>
    </w:pPr>
    <w:r w:rsidRPr="002C08A2">
      <w:rPr>
        <w:rFonts w:ascii="Arial" w:hAnsi="Arial" w:cs="Arial"/>
        <w:b/>
        <w:sz w:val="48"/>
      </w:rPr>
      <w:t>RO</w:t>
    </w:r>
    <w:r w:rsidRPr="002C08A2">
      <w:rPr>
        <w:rFonts w:ascii="Arial" w:hAnsi="Arial" w:cs="Arial"/>
        <w:b/>
        <w:sz w:val="48"/>
      </w:rPr>
      <w:tab/>
    </w:r>
    <w:r>
      <w:fldChar w:fldCharType="begin"/>
    </w:r>
    <w:r>
      <w:instrText xml:space="preserve"> PAGE  \* MERGEFORMAT </w:instrText>
    </w:r>
    <w:r>
      <w:fldChar w:fldCharType="separate"/>
    </w:r>
    <w:r w:rsidR="001D7210">
      <w:rPr>
        <w:noProof/>
      </w:rPr>
      <w:t>3</w:t>
    </w:r>
    <w:r>
      <w:fldChar w:fldCharType="end"/>
    </w:r>
    <w:r>
      <w:tab/>
    </w:r>
    <w:r w:rsidRPr="002C08A2">
      <w:tab/>
    </w:r>
    <w:r w:rsidRPr="002C08A2">
      <w:rPr>
        <w:rFonts w:ascii="Arial" w:hAnsi="Arial" w:cs="Arial"/>
        <w:b/>
        <w:sz w:val="48"/>
      </w:rPr>
      <w:t>RO</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Default="002C08A2" w:rsidP="002C08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BC2" w:rsidRDefault="00430BC2" w:rsidP="00430BC2">
      <w:pPr>
        <w:spacing w:before="0" w:after="0"/>
      </w:pPr>
      <w:r>
        <w:separator/>
      </w:r>
    </w:p>
  </w:footnote>
  <w:footnote w:type="continuationSeparator" w:id="0">
    <w:p w:rsidR="00430BC2" w:rsidRDefault="00430BC2" w:rsidP="00430BC2">
      <w:pPr>
        <w:spacing w:before="0" w:after="0"/>
      </w:pPr>
      <w:r>
        <w:continuationSeparator/>
      </w:r>
    </w:p>
  </w:footnote>
  <w:footnote w:id="1">
    <w:p w:rsidR="00430BC2" w:rsidRPr="00980B82" w:rsidRDefault="00430BC2" w:rsidP="00430BC2">
      <w:pPr>
        <w:pStyle w:val="FootnoteText"/>
      </w:pPr>
      <w:r>
        <w:rPr>
          <w:rStyle w:val="FootnoteReference"/>
        </w:rPr>
        <w:footnoteRef/>
      </w:r>
      <w:r>
        <w:tab/>
        <w:t>JO L 176, 27.6.2013, p. 1,</w:t>
      </w:r>
      <w:r>
        <w:rPr>
          <w:color w:val="000000"/>
        </w:rPr>
        <w:t xml:space="preserve"> </w:t>
      </w:r>
      <w:r>
        <w:t>ELI: http://data.europa.eu/eli/reg/2013/575/oj.</w:t>
      </w:r>
    </w:p>
  </w:footnote>
  <w:footnote w:id="2">
    <w:p w:rsidR="00430BC2" w:rsidRPr="006510B1" w:rsidRDefault="00430BC2" w:rsidP="00430BC2">
      <w:pPr>
        <w:pStyle w:val="FootnoteText"/>
        <w:rPr>
          <w:rFonts w:eastAsiaTheme="minorEastAsia"/>
        </w:rPr>
      </w:pPr>
      <w:r>
        <w:rPr>
          <w:rStyle w:val="FootnoteReference"/>
        </w:rPr>
        <w:footnoteRef/>
      </w:r>
      <w:r>
        <w:tab/>
        <w:t xml:space="preserve">Regulamentul (UE) 2024/1623 al Parlamentului European și al Consiliului din 31 mai 2024 de modificare a Regulamentului (UE) nr. 575/2013 în ceea ce privește cerințele referitoare la riscul de credit, riscul de ajustare a evaluării creditului, riscul operațional, riscul de piață și în ceea ce privește pragul minim privind cerințele de capital (JO L, 19.6.2024, p. 1, ELI: </w:t>
      </w:r>
      <w:bookmarkStart w:id="1" w:name="_Hlk198544494"/>
      <w:r>
        <w:t>http://data.europa.eu/eli/reg/2024/1623/oj</w:t>
      </w:r>
      <w:bookmarkEnd w:id="1"/>
      <w:r>
        <w:t>).</w:t>
      </w:r>
    </w:p>
  </w:footnote>
  <w:footnote w:id="3">
    <w:p w:rsidR="00430BC2" w:rsidRPr="006510B1" w:rsidRDefault="00430BC2" w:rsidP="00430BC2">
      <w:pPr>
        <w:pStyle w:val="FootnoteText"/>
      </w:pPr>
      <w:r>
        <w:rPr>
          <w:rStyle w:val="FootnoteReference"/>
        </w:rPr>
        <w:footnoteRef/>
      </w:r>
      <w:r>
        <w:tab/>
        <w:t>Regulamentul de punere în aplicare (UE) 2024/3117 al Comisiei din 29 noiembrie 2024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2021/451 al Comisiei (JO L, 2024/3117, 27.12.2024, p. 1, ELI: </w:t>
      </w:r>
      <w:bookmarkStart w:id="2" w:name="_Hlk198544532"/>
      <w:r>
        <w:fldChar w:fldCharType="begin"/>
      </w:r>
      <w:r>
        <w:instrText>HYPERLINK "http://data.europa.eu/eli/reg_impl/2024/3117/oj" \t "_blank" \o "Oferă acces la acest document prin identificatorul său uniform de resurse ELI."</w:instrText>
      </w:r>
      <w:r>
        <w:fldChar w:fldCharType="separate"/>
      </w:r>
      <w:r>
        <w:t>http://data.europa.eu/eli/reg_impl/2024/3117/oj</w:t>
      </w:r>
      <w:r>
        <w:fldChar w:fldCharType="end"/>
      </w:r>
      <w:bookmarkEnd w:id="2"/>
      <w:r>
        <w:t>).</w:t>
      </w:r>
    </w:p>
  </w:footnote>
  <w:footnote w:id="4">
    <w:p w:rsidR="00430BC2" w:rsidRPr="0029202E" w:rsidRDefault="00430BC2" w:rsidP="00430BC2">
      <w:pPr>
        <w:pStyle w:val="FootnoteText"/>
      </w:pPr>
      <w:r>
        <w:rPr>
          <w:rStyle w:val="FootnoteReference"/>
        </w:rPr>
        <w:footnoteRef/>
      </w:r>
      <w:r>
        <w:tab/>
        <w:t>Regulamentul delegat (UE) 2025/1496 al Comisiei din 12 iunie 2025 de modificare a Regulamentului (UE) nr. 575/2013 al Parlamentului European și al Consiliului în ceea ce privește data aplicării cerințelor de fonduri proprii pentru riscul de piață (JO L, 2025/1496, 19.9.2025, ELI: http://data.europa.eu/eli/reg_del/2025/1496/oj).</w:t>
      </w:r>
    </w:p>
  </w:footnote>
  <w:footnote w:id="5">
    <w:p w:rsidR="00430BC2" w:rsidRDefault="00430BC2" w:rsidP="00430BC2">
      <w:pPr>
        <w:pStyle w:val="FootnoteText"/>
      </w:pPr>
      <w:r>
        <w:rPr>
          <w:rStyle w:val="FootnoteReference"/>
        </w:rPr>
        <w:footnoteRef/>
      </w:r>
      <w:r>
        <w:tab/>
        <w:t xml:space="preserve">Regulamentul de punere în aplicare (UE) 2021/451 al Comisiei din 17 decembrie 2020 de stabilire a standardelor tehnice de punere în aplicare pentru aplicarea Regulamentului (UE) nr. 575/2013 al Parlamentului European și al Consiliului în ceea ce privește raportarea în scopuri de supraveghere a instituțiilor și de abrogare a Regulamentului de punere în aplicare (UE) nr. 680/2014 (JO L 97, 19.3.2021, p. 1, ELI: </w:t>
      </w:r>
      <w:hyperlink r:id="rId1" w:history="1">
        <w:r>
          <w:rPr>
            <w:rStyle w:val="Hyperlink"/>
          </w:rPr>
          <w:t>http://data.europa.eu/eli/reg_impl/2021/451/oj</w:t>
        </w:r>
      </w:hyperlink>
      <w:r>
        <w:t>).</w:t>
      </w:r>
    </w:p>
  </w:footnote>
  <w:footnote w:id="6">
    <w:p w:rsidR="00430BC2" w:rsidRPr="006510B1" w:rsidRDefault="00430BC2" w:rsidP="00430BC2">
      <w:pPr>
        <w:pStyle w:val="FootnoteText"/>
      </w:pPr>
      <w:r>
        <w:rPr>
          <w:rStyle w:val="FootnoteReference"/>
        </w:rPr>
        <w:footnoteRef/>
      </w:r>
      <w:r>
        <w:tab/>
      </w:r>
      <w:bookmarkStart w:id="3" w:name="_Hlk198544390"/>
      <w:r>
        <w:t>Regulamentul (UE) nr. 1093/2010 al Parlamentului European și al Consiliului din 24 noiembrie 2010 de instituire a Autorității europene de supraveghere</w:t>
      </w:r>
      <w:bookmarkEnd w:id="3"/>
      <w:r>
        <w:t xml:space="preserve"> (Autoritatea bancară europeană), de modificare a Deciziei nr. 716/2009/CE și de abrogare a Deciziei 2009/78/CE a Comisiei (JO L 331, 15.12.2010, p. 12, ELI: http://data.europa.eu/eli/reg/2010/1093/oj).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Pr="002C08A2" w:rsidRDefault="002C08A2" w:rsidP="002C08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Default="002C08A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08A2" w:rsidRDefault="002C08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4F0E18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0F4E849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5F825BEE"/>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3"/>
  </w:num>
  <w:num w:numId="2">
    <w:abstractNumId w:val="18"/>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15"/>
  </w:num>
  <w:num w:numId="8">
    <w:abstractNumId w:val="8"/>
  </w:num>
  <w:num w:numId="9">
    <w:abstractNumId w:val="17"/>
  </w:num>
  <w:num w:numId="10">
    <w:abstractNumId w:val="7"/>
  </w:num>
  <w:num w:numId="11">
    <w:abstractNumId w:val="9"/>
  </w:num>
  <w:num w:numId="12">
    <w:abstractNumId w:val="10"/>
  </w:num>
  <w:num w:numId="13">
    <w:abstractNumId w:val="5"/>
  </w:num>
  <w:num w:numId="14">
    <w:abstractNumId w:val="16"/>
  </w:num>
  <w:num w:numId="15">
    <w:abstractNumId w:val="4"/>
  </w:num>
  <w:num w:numId="16">
    <w:abstractNumId w:val="11"/>
  </w:num>
  <w:num w:numId="17">
    <w:abstractNumId w:val="13"/>
  </w:num>
  <w:num w:numId="18">
    <w:abstractNumId w:val="14"/>
  </w:num>
  <w:num w:numId="19">
    <w:abstractNumId w:val="6"/>
  </w:num>
  <w:num w:numId="20">
    <w:abstractNumId w:val="12"/>
  </w:num>
  <w:num w:numId="21">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2-02 10:05:2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B833AE12-EA03-4021-A6D8-EDF2B0262822"/>
    <w:docVar w:name="LW_COVERPAGE_TYPE" w:val="1"/>
    <w:docVar w:name="LW_CreatedUtc" w:val="2025-10-08T14:24:25.1973363Z"/>
    <w:docVar w:name="LW_CROSSREFERENCE" w:val="&lt;UNUSED&gt;"/>
    <w:docVar w:name="LW_DATE.ADOPT.CP" w:val="din 8.12.2025"/>
    <w:docVar w:name="LW_DATE.ADOPT.CP_DATEFORMAT" w:val="din %DATE%"/>
    <w:docVar w:name="LW_DATE.ADOPT.CP_ISODATE" w:val="2025-12-08"/>
    <w:docVar w:name="LW_DocType" w:val="COM"/>
    <w:docVar w:name="LW_EMISSION" w:val="8.12.2025"/>
    <w:docVar w:name="LW_EMISSION_ISODATE" w:val="2025-12-08"/>
    <w:docVar w:name="LW_EMISSION_LOCATION" w:val="BRX"/>
    <w:docVar w:name="LW_EMISSION_PREFIX" w:val="Bruxelles, "/>
    <w:docVar w:name="LW_EMISSION_SUFFIX" w:val=" "/>
    <w:docVar w:name="LW_ID_DOCMODEL" w:val="SJ-004"/>
    <w:docVar w:name="LW_ID_DOCSIGNATURE" w:val="SJ-004"/>
    <w:docVar w:name="LW_ID_DOCSTRUCTURE" w:val="COM/AA"/>
    <w:docVar w:name="LW_ID_DOCTYPE" w:val="SJ-004"/>
    <w:docVar w:name="LW_INTERETEEE.CP" w:val="(Text cu relevan\u539?\u259? pentru SEE)"/>
    <w:docVar w:name="LW_LANGUE" w:val="RO"/>
    <w:docVar w:name="LW_LANGUESFAISANTFOI.CP" w:val="&lt;UNUSED&gt;"/>
    <w:docVar w:name="LW_LEVEL_OF_SENSITIVITY" w:val="Standard treatment"/>
    <w:docVar w:name="LW_NOM.INST" w:val="COMISIA EUROPEAN\u258?"/>
    <w:docVar w:name="LW_NOM.INST_JOINTDOC" w:val="&lt;EMPTY&gt;"/>
    <w:docVar w:name="LW_PART_NBR" w:val="1"/>
    <w:docVar w:name="LW_PART_NBR_TOTAL" w:val="1"/>
    <w:docVar w:name="LW_REF.INST.NEW" w:val="C"/>
    <w:docVar w:name="LW_REF.INST.NEW_ADOPTED" w:val="final"/>
    <w:docVar w:name="LW_REF.INST.NEW_TEXT" w:val="(2025) 837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de modificare a standardelor tehnice de punere în aplicare prev\u259?zute în Regulamentul de punere în aplicare (UE) 2024/3117 în ceea ce prive\u537?te raportarea în scopuri de supraveghere a institu\u539?iilor în materie de risc opera\u539?ional"/>
    <w:docVar w:name="LW_TYPE.DOC.CP" w:val="REGULAMENTUL DE PUNERE ÎN APLICARE (UE) \u8230?/\u8230? AL COMISIEI"/>
    <w:docVar w:name="LwApiVersions" w:val="LW4CoDe 1.24.5.0; LW 9.2, Build 20251112"/>
  </w:docVars>
  <w:rsids>
    <w:rsidRoot w:val="00430BC2"/>
    <w:rsid w:val="00017C96"/>
    <w:rsid w:val="00042234"/>
    <w:rsid w:val="0004435A"/>
    <w:rsid w:val="00050CA3"/>
    <w:rsid w:val="000660D6"/>
    <w:rsid w:val="000A11FB"/>
    <w:rsid w:val="000B6E15"/>
    <w:rsid w:val="001065F5"/>
    <w:rsid w:val="001238EF"/>
    <w:rsid w:val="00133705"/>
    <w:rsid w:val="00151C13"/>
    <w:rsid w:val="00197613"/>
    <w:rsid w:val="001D7210"/>
    <w:rsid w:val="00230129"/>
    <w:rsid w:val="00233DC7"/>
    <w:rsid w:val="002439DC"/>
    <w:rsid w:val="00247779"/>
    <w:rsid w:val="00285BEE"/>
    <w:rsid w:val="0029533F"/>
    <w:rsid w:val="002B30AF"/>
    <w:rsid w:val="002C08A2"/>
    <w:rsid w:val="002E470A"/>
    <w:rsid w:val="002E5318"/>
    <w:rsid w:val="0033344A"/>
    <w:rsid w:val="00346905"/>
    <w:rsid w:val="00350271"/>
    <w:rsid w:val="0035094E"/>
    <w:rsid w:val="0038150A"/>
    <w:rsid w:val="003A31AA"/>
    <w:rsid w:val="003B0DE0"/>
    <w:rsid w:val="003B1AC1"/>
    <w:rsid w:val="003B1C4E"/>
    <w:rsid w:val="003D4F57"/>
    <w:rsid w:val="00422DF3"/>
    <w:rsid w:val="0042648E"/>
    <w:rsid w:val="00430BC2"/>
    <w:rsid w:val="00432987"/>
    <w:rsid w:val="004404AB"/>
    <w:rsid w:val="0044350A"/>
    <w:rsid w:val="004936D2"/>
    <w:rsid w:val="004D1439"/>
    <w:rsid w:val="004F0ADB"/>
    <w:rsid w:val="0055312E"/>
    <w:rsid w:val="00561998"/>
    <w:rsid w:val="00562257"/>
    <w:rsid w:val="005B1EB6"/>
    <w:rsid w:val="00636D7F"/>
    <w:rsid w:val="006A115E"/>
    <w:rsid w:val="006A3A74"/>
    <w:rsid w:val="006F3E02"/>
    <w:rsid w:val="0076425B"/>
    <w:rsid w:val="00773331"/>
    <w:rsid w:val="007932EF"/>
    <w:rsid w:val="007E05B0"/>
    <w:rsid w:val="007E49BD"/>
    <w:rsid w:val="00874D22"/>
    <w:rsid w:val="0089317B"/>
    <w:rsid w:val="008A2914"/>
    <w:rsid w:val="008E4D8E"/>
    <w:rsid w:val="00957BDE"/>
    <w:rsid w:val="0096712C"/>
    <w:rsid w:val="00971D7B"/>
    <w:rsid w:val="00973BA2"/>
    <w:rsid w:val="009818F2"/>
    <w:rsid w:val="009B1E2D"/>
    <w:rsid w:val="009D4E5B"/>
    <w:rsid w:val="009F2131"/>
    <w:rsid w:val="009F385A"/>
    <w:rsid w:val="00A22AEE"/>
    <w:rsid w:val="00A362F7"/>
    <w:rsid w:val="00A9563C"/>
    <w:rsid w:val="00AA1DFD"/>
    <w:rsid w:val="00AD7C0F"/>
    <w:rsid w:val="00AE3DBA"/>
    <w:rsid w:val="00B40F1A"/>
    <w:rsid w:val="00B41B43"/>
    <w:rsid w:val="00B443FE"/>
    <w:rsid w:val="00B95381"/>
    <w:rsid w:val="00BE139F"/>
    <w:rsid w:val="00C12301"/>
    <w:rsid w:val="00C63169"/>
    <w:rsid w:val="00C66771"/>
    <w:rsid w:val="00C862B2"/>
    <w:rsid w:val="00CE1BA2"/>
    <w:rsid w:val="00D03513"/>
    <w:rsid w:val="00D20381"/>
    <w:rsid w:val="00D32026"/>
    <w:rsid w:val="00EE2F83"/>
    <w:rsid w:val="00F41667"/>
    <w:rsid w:val="00F47C85"/>
    <w:rsid w:val="00F701A4"/>
    <w:rsid w:val="00F8300E"/>
    <w:rsid w:val="00FA04FF"/>
    <w:rsid w:val="00FC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docId w15:val="{9BDB1EF0-7C92-4C1A-8025-16837D323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ro-RO"/>
    </w:rPr>
  </w:style>
  <w:style w:type="paragraph" w:styleId="Heading1">
    <w:name w:val="heading 1"/>
    <w:basedOn w:val="Normal"/>
    <w:next w:val="Text1"/>
    <w:link w:val="Heading1Char"/>
    <w:uiPriority w:val="9"/>
    <w:qFormat/>
    <w:pPr>
      <w:keepNext/>
      <w:numPr>
        <w:numId w:val="1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4"/>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430BC2"/>
    <w:pPr>
      <w:numPr>
        <w:numId w:val="1"/>
      </w:numPr>
    </w:pPr>
    <w:rPr>
      <w:rFonts w:eastAsia="Times New Roman"/>
      <w:lang w:eastAsia="en-GB"/>
    </w:rPr>
  </w:style>
  <w:style w:type="character" w:styleId="Hyperlink">
    <w:name w:val="Hyperlink"/>
    <w:basedOn w:val="DefaultParagraphFont"/>
    <w:uiPriority w:val="99"/>
    <w:unhideWhenUsed/>
    <w:rsid w:val="00430BC2"/>
    <w:rPr>
      <w:color w:val="0000FF" w:themeColor="hyperlink"/>
      <w:u w:val="single"/>
    </w:rPr>
  </w:style>
  <w:style w:type="character" w:styleId="CommentReference">
    <w:name w:val="annotation reference"/>
    <w:basedOn w:val="DefaultParagraphFont"/>
    <w:uiPriority w:val="99"/>
    <w:semiHidden/>
    <w:unhideWhenUsed/>
    <w:rsid w:val="00B40F1A"/>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ro-RO"/>
    </w:rPr>
  </w:style>
  <w:style w:type="paragraph" w:styleId="ListBullet2">
    <w:name w:val="List Bullet 2"/>
    <w:basedOn w:val="Normal"/>
    <w:uiPriority w:val="99"/>
    <w:semiHidden/>
    <w:unhideWhenUsed/>
    <w:rsid w:val="0004435A"/>
    <w:pPr>
      <w:numPr>
        <w:numId w:val="4"/>
      </w:numPr>
      <w:contextualSpacing/>
    </w:pPr>
  </w:style>
  <w:style w:type="paragraph" w:styleId="ListBullet3">
    <w:name w:val="List Bullet 3"/>
    <w:basedOn w:val="Normal"/>
    <w:uiPriority w:val="99"/>
    <w:semiHidden/>
    <w:unhideWhenUsed/>
    <w:rsid w:val="0004435A"/>
    <w:pPr>
      <w:numPr>
        <w:numId w:val="5"/>
      </w:numPr>
      <w:contextualSpacing/>
    </w:pPr>
  </w:style>
  <w:style w:type="paragraph" w:styleId="ListBullet4">
    <w:name w:val="List Bullet 4"/>
    <w:basedOn w:val="Normal"/>
    <w:uiPriority w:val="99"/>
    <w:semiHidden/>
    <w:unhideWhenUsed/>
    <w:rsid w:val="0004435A"/>
    <w:pPr>
      <w:numPr>
        <w:numId w:val="6"/>
      </w:numPr>
      <w:contextualSpacing/>
    </w:pPr>
  </w:style>
  <w:style w:type="character" w:customStyle="1" w:styleId="HeaderChar">
    <w:name w:val="Header Char"/>
    <w:basedOn w:val="DefaultParagraphFont"/>
    <w:link w:val="Header"/>
    <w:uiPriority w:val="99"/>
    <w:rsid w:val="002C08A2"/>
    <w:rPr>
      <w:rFonts w:ascii="Times New Roman" w:hAnsi="Times New Roman" w:cs="Times New Roman"/>
      <w:sz w:val="24"/>
      <w:lang w:val="ro-RO"/>
    </w:rPr>
  </w:style>
  <w:style w:type="character" w:customStyle="1" w:styleId="FooterChar">
    <w:name w:val="Footer Char"/>
    <w:basedOn w:val="DefaultParagraphFont"/>
    <w:link w:val="Footer"/>
    <w:uiPriority w:val="99"/>
    <w:rsid w:val="002C08A2"/>
    <w:rPr>
      <w:rFonts w:ascii="Times New Roman" w:hAnsi="Times New Roman" w:cs="Times New Roman"/>
      <w:sz w:val="24"/>
      <w:lang w:val="ro-RO"/>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ro-RO"/>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ro-RO"/>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ro-RO"/>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ro-RO"/>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ro-RO"/>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ro-RO"/>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ro-RO"/>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C08A2"/>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C08A2"/>
    <w:pPr>
      <w:spacing w:before="0"/>
      <w:jc w:val="right"/>
    </w:pPr>
    <w:rPr>
      <w:sz w:val="28"/>
    </w:rPr>
  </w:style>
  <w:style w:type="paragraph" w:customStyle="1" w:styleId="FooterSensitivity">
    <w:name w:val="Footer Sensitivity"/>
    <w:basedOn w:val="Normal"/>
    <w:rsid w:val="002C08A2"/>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
      </w:numPr>
    </w:pPr>
  </w:style>
  <w:style w:type="paragraph" w:customStyle="1" w:styleId="Tiret1">
    <w:name w:val="Tiret 1"/>
    <w:basedOn w:val="Point1"/>
    <w:pPr>
      <w:numPr>
        <w:numId w:val="8"/>
      </w:numPr>
    </w:pPr>
  </w:style>
  <w:style w:type="paragraph" w:customStyle="1" w:styleId="Tiret2">
    <w:name w:val="Tiret 2"/>
    <w:basedOn w:val="Point2"/>
    <w:pPr>
      <w:numPr>
        <w:numId w:val="9"/>
      </w:numPr>
    </w:pPr>
  </w:style>
  <w:style w:type="paragraph" w:customStyle="1" w:styleId="Tiret3">
    <w:name w:val="Tiret 3"/>
    <w:basedOn w:val="Point3"/>
    <w:pPr>
      <w:numPr>
        <w:numId w:val="10"/>
      </w:numPr>
    </w:pPr>
  </w:style>
  <w:style w:type="paragraph" w:customStyle="1" w:styleId="Tiret4">
    <w:name w:val="Tiret 4"/>
    <w:basedOn w:val="Point4"/>
    <w:pPr>
      <w:numPr>
        <w:numId w:val="11"/>
      </w:numPr>
    </w:pPr>
  </w:style>
  <w:style w:type="paragraph" w:customStyle="1" w:styleId="Tiret5">
    <w:name w:val="Tiret 5"/>
    <w:basedOn w:val="Point5"/>
    <w:pPr>
      <w:numPr>
        <w:numId w:val="1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3"/>
      </w:numPr>
    </w:pPr>
  </w:style>
  <w:style w:type="paragraph" w:customStyle="1" w:styleId="NumPar2">
    <w:name w:val="NumPar 2"/>
    <w:basedOn w:val="Normal"/>
    <w:next w:val="Text1"/>
    <w:pPr>
      <w:numPr>
        <w:ilvl w:val="1"/>
        <w:numId w:val="13"/>
      </w:numPr>
    </w:pPr>
  </w:style>
  <w:style w:type="paragraph" w:customStyle="1" w:styleId="NumPar3">
    <w:name w:val="NumPar 3"/>
    <w:basedOn w:val="Normal"/>
    <w:next w:val="Text1"/>
    <w:pPr>
      <w:numPr>
        <w:ilvl w:val="2"/>
        <w:numId w:val="13"/>
      </w:numPr>
    </w:pPr>
  </w:style>
  <w:style w:type="paragraph" w:customStyle="1" w:styleId="NumPar4">
    <w:name w:val="NumPar 4"/>
    <w:basedOn w:val="Normal"/>
    <w:next w:val="Text1"/>
    <w:pPr>
      <w:numPr>
        <w:ilvl w:val="3"/>
        <w:numId w:val="13"/>
      </w:numPr>
    </w:pPr>
  </w:style>
  <w:style w:type="paragraph" w:customStyle="1" w:styleId="NumPar5">
    <w:name w:val="NumPar 5"/>
    <w:basedOn w:val="Normal"/>
    <w:next w:val="Text2"/>
    <w:pPr>
      <w:numPr>
        <w:ilvl w:val="4"/>
        <w:numId w:val="13"/>
      </w:numPr>
    </w:pPr>
  </w:style>
  <w:style w:type="paragraph" w:customStyle="1" w:styleId="NumPar6">
    <w:name w:val="NumPar 6"/>
    <w:basedOn w:val="Normal"/>
    <w:next w:val="Text2"/>
    <w:pPr>
      <w:numPr>
        <w:ilvl w:val="5"/>
        <w:numId w:val="13"/>
      </w:numPr>
    </w:pPr>
  </w:style>
  <w:style w:type="paragraph" w:customStyle="1" w:styleId="NumPar7">
    <w:name w:val="NumPar 7"/>
    <w:basedOn w:val="Normal"/>
    <w:next w:val="Text2"/>
    <w:pPr>
      <w:numPr>
        <w:ilvl w:val="6"/>
        <w:numId w:val="1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5"/>
      </w:numPr>
    </w:pPr>
  </w:style>
  <w:style w:type="paragraph" w:customStyle="1" w:styleId="Point1number">
    <w:name w:val="Point 1 (number)"/>
    <w:basedOn w:val="Normal"/>
    <w:pPr>
      <w:numPr>
        <w:ilvl w:val="2"/>
        <w:numId w:val="15"/>
      </w:numPr>
    </w:pPr>
  </w:style>
  <w:style w:type="paragraph" w:customStyle="1" w:styleId="Point2number">
    <w:name w:val="Point 2 (number)"/>
    <w:basedOn w:val="Normal"/>
    <w:pPr>
      <w:numPr>
        <w:ilvl w:val="4"/>
        <w:numId w:val="15"/>
      </w:numPr>
    </w:pPr>
  </w:style>
  <w:style w:type="paragraph" w:customStyle="1" w:styleId="Point3number">
    <w:name w:val="Point 3 (number)"/>
    <w:basedOn w:val="Normal"/>
    <w:pPr>
      <w:numPr>
        <w:ilvl w:val="6"/>
        <w:numId w:val="15"/>
      </w:numPr>
    </w:pPr>
  </w:style>
  <w:style w:type="paragraph" w:customStyle="1" w:styleId="Point0letter">
    <w:name w:val="Point 0 (letter)"/>
    <w:basedOn w:val="Normal"/>
    <w:pPr>
      <w:numPr>
        <w:ilvl w:val="1"/>
        <w:numId w:val="15"/>
      </w:numPr>
    </w:pPr>
  </w:style>
  <w:style w:type="paragraph" w:customStyle="1" w:styleId="Point1letter">
    <w:name w:val="Point 1 (letter)"/>
    <w:basedOn w:val="Normal"/>
    <w:pPr>
      <w:numPr>
        <w:ilvl w:val="3"/>
        <w:numId w:val="15"/>
      </w:numPr>
    </w:pPr>
  </w:style>
  <w:style w:type="paragraph" w:customStyle="1" w:styleId="Point2letter">
    <w:name w:val="Point 2 (letter)"/>
    <w:basedOn w:val="Normal"/>
    <w:pPr>
      <w:numPr>
        <w:ilvl w:val="5"/>
        <w:numId w:val="15"/>
      </w:numPr>
    </w:pPr>
  </w:style>
  <w:style w:type="paragraph" w:customStyle="1" w:styleId="Point3letter">
    <w:name w:val="Point 3 (letter)"/>
    <w:basedOn w:val="Normal"/>
    <w:pPr>
      <w:numPr>
        <w:ilvl w:val="7"/>
        <w:numId w:val="15"/>
      </w:numPr>
    </w:pPr>
  </w:style>
  <w:style w:type="paragraph" w:customStyle="1" w:styleId="Point4letter">
    <w:name w:val="Point 4 (letter)"/>
    <w:basedOn w:val="Normal"/>
    <w:pPr>
      <w:numPr>
        <w:ilvl w:val="8"/>
        <w:numId w:val="15"/>
      </w:numPr>
    </w:pPr>
  </w:style>
  <w:style w:type="paragraph" w:customStyle="1" w:styleId="Bullet0">
    <w:name w:val="Bullet 0"/>
    <w:basedOn w:val="Normal"/>
    <w:pPr>
      <w:numPr>
        <w:numId w:val="16"/>
      </w:numPr>
    </w:pPr>
  </w:style>
  <w:style w:type="paragraph" w:customStyle="1" w:styleId="Bullet1">
    <w:name w:val="Bullet 1"/>
    <w:basedOn w:val="Normal"/>
    <w:pPr>
      <w:numPr>
        <w:numId w:val="17"/>
      </w:numPr>
    </w:pPr>
  </w:style>
  <w:style w:type="paragraph" w:customStyle="1" w:styleId="Bullet2">
    <w:name w:val="Bullet 2"/>
    <w:basedOn w:val="Normal"/>
    <w:pPr>
      <w:numPr>
        <w:numId w:val="18"/>
      </w:numPr>
    </w:pPr>
  </w:style>
  <w:style w:type="paragraph" w:customStyle="1" w:styleId="Bullet3">
    <w:name w:val="Bullet 3"/>
    <w:basedOn w:val="Normal"/>
    <w:pPr>
      <w:numPr>
        <w:numId w:val="19"/>
      </w:numPr>
    </w:pPr>
  </w:style>
  <w:style w:type="paragraph" w:customStyle="1" w:styleId="Bullet4">
    <w:name w:val="Bullet 4"/>
    <w:basedOn w:val="Normal"/>
    <w:pPr>
      <w:numPr>
        <w:numId w:val="2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2C08A2"/>
    <w:pPr>
      <w:tabs>
        <w:tab w:val="center" w:pos="4535"/>
        <w:tab w:val="right" w:pos="9071"/>
      </w:tabs>
      <w:spacing w:before="0"/>
    </w:pPr>
  </w:style>
  <w:style w:type="paragraph" w:customStyle="1" w:styleId="HeaderLandscape">
    <w:name w:val="HeaderLandscape"/>
    <w:basedOn w:val="Normal"/>
    <w:rsid w:val="002C08A2"/>
    <w:pPr>
      <w:tabs>
        <w:tab w:val="center" w:pos="7285"/>
        <w:tab w:val="right" w:pos="14003"/>
      </w:tabs>
      <w:spacing w:before="0"/>
    </w:pPr>
  </w:style>
  <w:style w:type="paragraph" w:styleId="Footer">
    <w:name w:val="footer"/>
    <w:basedOn w:val="Normal"/>
    <w:link w:val="FooterChar"/>
    <w:uiPriority w:val="99"/>
    <w:unhideWhenUsed/>
    <w:rsid w:val="002C08A2"/>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C08A2"/>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customXml" Target="../customXml/item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data.europa.eu/eli/reg_impl/2021/451/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40DC13EB184F4EBE5AA21BE9F247DB" ma:contentTypeVersion="4" ma:contentTypeDescription="Create a new document." ma:contentTypeScope="" ma:versionID="10be360f5c62a8d3a4e267eb14d21e0e">
  <xsd:schema xmlns:xsd="http://www.w3.org/2001/XMLSchema" xmlns:xs="http://www.w3.org/2001/XMLSchema" xmlns:p="http://schemas.microsoft.com/office/2006/metadata/properties" xmlns:ns2="00b59672-fe45-4cd1-beac-f346117953eb" targetNamespace="http://schemas.microsoft.com/office/2006/metadata/properties" ma:root="true" ma:fieldsID="172bd27ebbff65573fbd17f85c504c71" ns2:_="">
    <xsd:import namespace="00b59672-fe45-4cd1-beac-f346117953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59672-fe45-4cd1-beac-f346117953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2EBCA7-FB27-44DA-A74F-D587B87E76D8}"/>
</file>

<file path=customXml/itemProps2.xml><?xml version="1.0" encoding="utf-8"?>
<ds:datastoreItem xmlns:ds="http://schemas.openxmlformats.org/officeDocument/2006/customXml" ds:itemID="{F59F0B5C-A718-4B46-ACEA-006215AA6A9D}"/>
</file>

<file path=customXml/itemProps3.xml><?xml version="1.0" encoding="utf-8"?>
<ds:datastoreItem xmlns:ds="http://schemas.openxmlformats.org/officeDocument/2006/customXml" ds:itemID="{B594CC25-E5AB-42EE-8047-D0EE618D0FC5}"/>
</file>

<file path=docProps/app.xml><?xml version="1.0" encoding="utf-8"?>
<Properties xmlns="http://schemas.openxmlformats.org/officeDocument/2006/extended-properties" xmlns:vt="http://schemas.openxmlformats.org/officeDocument/2006/docPropsVTypes">
  <Template>COM.dotm</Template>
  <TotalTime>18</TotalTime>
  <Pages>4</Pages>
  <Words>882</Words>
  <Characters>5033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43</cp:revision>
  <dcterms:created xsi:type="dcterms:W3CDTF">2025-10-21T09:59:00Z</dcterms:created>
  <dcterms:modified xsi:type="dcterms:W3CDTF">2025-12-02T09:05:00Z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2025-10-08T14:35:46Z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9612d0f4-a765-4411-b663-a2b3981f03de</vt:lpwstr>
  </property>
  <property fmtid="{D5CDD505-2E9C-101B-9397-08002B2CF9AE}" pid="16" name="MSIP_Label_6bd9ddd1-4d20-43f6-abfa-fc3c07406f94_ContentBits">
    <vt:lpwstr>0</vt:lpwstr>
  </property>
  <property fmtid="{D5CDD505-2E9C-101B-9397-08002B2CF9AE}" pid="17" name="MSIP_Label_6bd9ddd1-4d20-43f6-abfa-fc3c07406f94_Tag">
    <vt:lpwstr>10, 3, 0, 1</vt:lpwstr>
  </property>
  <property fmtid="{D5CDD505-2E9C-101B-9397-08002B2CF9AE}" pid="18" name="DQCStatus">
    <vt:lpwstr>Green (DQC version 03)</vt:lpwstr>
  </property>
  <property fmtid="{D5CDD505-2E9C-101B-9397-08002B2CF9AE}" pid="19" name="ContentTypeId">
    <vt:lpwstr>0x010100A640DC13EB184F4EBE5AA21BE9F247DB</vt:lpwstr>
  </property>
</Properties>
</file>