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E914AB" w:rsidRDefault="006B0D3E" w:rsidP="006B0D3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1578249-CBC5-4BDF-A2EE-4E828106967B" style="width:455.25pt;height:345.75pt">
            <v:imagedata r:id="rId7" o:title=""/>
          </v:shape>
        </w:pict>
      </w:r>
    </w:p>
    <w:p w:rsidR="00430BC2" w:rsidRPr="00E914AB" w:rsidRDefault="00430BC2">
      <w:pPr>
        <w:rPr>
          <w:noProof/>
        </w:rPr>
        <w:sectPr w:rsidR="00430BC2" w:rsidRPr="00E914AB" w:rsidSect="006B0D3E">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E914AB" w:rsidRDefault="004B47D8" w:rsidP="004B47D8">
      <w:pPr>
        <w:pStyle w:val="Typedudocument"/>
        <w:rPr>
          <w:noProof/>
        </w:rPr>
      </w:pPr>
      <w:bookmarkStart w:id="0" w:name="_GoBack"/>
      <w:bookmarkEnd w:id="0"/>
      <w:r w:rsidRPr="004B47D8">
        <w:rPr>
          <w:noProof/>
        </w:rPr>
        <w:lastRenderedPageBreak/>
        <w:t>UITVOERINGSVERORDENING (EU) …/... VAN DE COMMISSIE</w:t>
      </w:r>
    </w:p>
    <w:p w:rsidR="00430BC2" w:rsidRPr="00E914AB" w:rsidRDefault="00E42BA6" w:rsidP="004B47D8">
      <w:pPr>
        <w:pStyle w:val="Datedadoption"/>
        <w:rPr>
          <w:noProof/>
        </w:rPr>
      </w:pPr>
      <w:r>
        <w:rPr>
          <w:noProof/>
        </w:rPr>
        <w:t>van 8.12.2025</w:t>
      </w:r>
    </w:p>
    <w:p w:rsidR="00430BC2" w:rsidRPr="00E914AB" w:rsidRDefault="004B47D8" w:rsidP="004B47D8">
      <w:pPr>
        <w:pStyle w:val="Titreobjet"/>
        <w:rPr>
          <w:noProof/>
        </w:rPr>
      </w:pPr>
      <w:r w:rsidRPr="004B47D8">
        <w:rPr>
          <w:noProof/>
        </w:rPr>
        <w:t>tot wijziging van de in Uitvoeringsverordening (EU) 2024/3117 vastgestelde technische uitvoeringsnormen wat betreft rapportage over operationele risico’s aan de toezichthoudende autoriteit door instellingen</w:t>
      </w:r>
    </w:p>
    <w:p w:rsidR="00430BC2" w:rsidRPr="00E914AB" w:rsidRDefault="004B47D8" w:rsidP="004B47D8">
      <w:pPr>
        <w:pStyle w:val="IntrtEEE"/>
        <w:rPr>
          <w:noProof/>
        </w:rPr>
      </w:pPr>
      <w:r w:rsidRPr="004B47D8">
        <w:rPr>
          <w:noProof/>
        </w:rPr>
        <w:t>(Voor de EER relevante tekst)</w:t>
      </w:r>
    </w:p>
    <w:p w:rsidR="00430BC2" w:rsidRPr="00E914AB" w:rsidRDefault="00430BC2" w:rsidP="004E1EF9">
      <w:pPr>
        <w:pStyle w:val="Institutionquiagit"/>
        <w:rPr>
          <w:noProof/>
        </w:rPr>
      </w:pPr>
      <w:r w:rsidRPr="00E914AB">
        <w:rPr>
          <w:noProof/>
        </w:rPr>
        <w:t>DE EUROPESE COMMISSIE,</w:t>
      </w:r>
    </w:p>
    <w:p w:rsidR="00430BC2" w:rsidRPr="00E914AB" w:rsidRDefault="00430BC2" w:rsidP="004E1EF9">
      <w:pPr>
        <w:rPr>
          <w:noProof/>
        </w:rPr>
      </w:pPr>
      <w:r w:rsidRPr="00E914AB">
        <w:rPr>
          <w:noProof/>
        </w:rPr>
        <w:t>Gezien Verordening (EU) nr. 575/2013 van het Europees Parlement en de Raad van 26 juni 2013 betreffende prudentiële vereisten voor kredietinstellingen en tot wijziging van Verordening (EU) nr. 648/2012</w:t>
      </w:r>
      <w:r w:rsidRPr="00E914AB">
        <w:rPr>
          <w:rStyle w:val="FootnoteReference"/>
          <w:noProof/>
        </w:rPr>
        <w:footnoteReference w:id="1"/>
      </w:r>
      <w:r w:rsidRPr="00E914AB">
        <w:rPr>
          <w:noProof/>
        </w:rPr>
        <w:t>, en met name artikel 430, lid 7, vijfde alinea,</w:t>
      </w:r>
    </w:p>
    <w:p w:rsidR="00430BC2" w:rsidRPr="00E914AB" w:rsidRDefault="00430BC2" w:rsidP="004E1EF9">
      <w:pPr>
        <w:rPr>
          <w:noProof/>
        </w:rPr>
      </w:pPr>
      <w:r w:rsidRPr="00E914AB">
        <w:rPr>
          <w:noProof/>
        </w:rPr>
        <w:t>Overwegende hetgeen volgt:</w:t>
      </w:r>
    </w:p>
    <w:p w:rsidR="00430BC2" w:rsidRPr="00E914AB" w:rsidRDefault="00855DC2" w:rsidP="00855DC2">
      <w:pPr>
        <w:pStyle w:val="ManualConsidrant"/>
        <w:rPr>
          <w:noProof/>
        </w:rPr>
      </w:pPr>
      <w:r w:rsidRPr="00855DC2">
        <w:rPr>
          <w:noProof/>
        </w:rPr>
        <w:t>(1)</w:t>
      </w:r>
      <w:r w:rsidRPr="00855DC2">
        <w:rPr>
          <w:noProof/>
        </w:rPr>
        <w:tab/>
      </w:r>
      <w:r w:rsidR="00430BC2" w:rsidRPr="00E914AB">
        <w:rPr>
          <w:noProof/>
        </w:rPr>
        <w:t>Verordening (EU) nr. 575/2013 is gewijzigd bij Verordening (EU) 2024/1623 van het Europees Parlement en de Raad</w:t>
      </w:r>
      <w:r w:rsidR="00430BC2" w:rsidRPr="00E914AB">
        <w:rPr>
          <w:rStyle w:val="FootnoteReference"/>
          <w:noProof/>
        </w:rPr>
        <w:footnoteReference w:id="2"/>
      </w:r>
      <w:r w:rsidR="00430BC2" w:rsidRPr="00E914AB">
        <w:rPr>
          <w:noProof/>
        </w:rPr>
        <w:t xml:space="preserve"> om uitvoering te geven aan de definitieve reeks internationale normen van het Bazels Comité voor bankentoezicht (Bazel III). Deze normen hebben geleid tot de vaststelling van Uitvoeringsverordening (EU) 2024/3117 van de Commissie</w:t>
      </w:r>
      <w:r w:rsidR="00430BC2" w:rsidRPr="00E914AB">
        <w:rPr>
          <w:rStyle w:val="FootnoteReference"/>
          <w:noProof/>
        </w:rPr>
        <w:footnoteReference w:id="3"/>
      </w:r>
      <w:r w:rsidR="00430BC2" w:rsidRPr="00E914AB">
        <w:rPr>
          <w:noProof/>
        </w:rPr>
        <w:t>, waarin technische uitvoeringsnormen zijn vastgesteld voor de toepassing van Verordening (EU) nr. 575/2013 wat betreft de rapportage aan de toezichthoudende autoriteit door instellingen.</w:t>
      </w:r>
    </w:p>
    <w:p w:rsidR="00430BC2" w:rsidRPr="00E914AB" w:rsidRDefault="00855DC2" w:rsidP="00855DC2">
      <w:pPr>
        <w:pStyle w:val="ManualConsidrant"/>
        <w:rPr>
          <w:noProof/>
        </w:rPr>
      </w:pPr>
      <w:r w:rsidRPr="00855DC2">
        <w:rPr>
          <w:noProof/>
        </w:rPr>
        <w:t>(2)</w:t>
      </w:r>
      <w:r w:rsidRPr="00855DC2">
        <w:rPr>
          <w:noProof/>
        </w:rPr>
        <w:tab/>
      </w:r>
      <w:r w:rsidR="00430BC2" w:rsidRPr="00E914AB">
        <w:rPr>
          <w:noProof/>
        </w:rPr>
        <w:t>Gezien de wijzigingen in het prudentiële kader voor eigenvermogensvereisten voor operationeel risico waren nieuwe rapportagetemplates nodig om ervoor te zorgen dat instellingen rapporteren in overeenstemming met het nieuwe kader. Hoewel sommige van die wijzigingen in de rapportagetemplates reeds bij Verordening (EU) 2024/3117 waren ingevoerd, was de actualisering van verschillende andere templates alleen mogelijk na verdere technische ontwikkeling van de vereisten inzake operationeel risico, met name wat betreft de specificatie van de componenten van de bedrijfsindicator, de van de bedrijfsindicator uit te sluiten posten en de mapping ervan naar de overeenkomstige rapportagecellen.</w:t>
      </w:r>
    </w:p>
    <w:p w:rsidR="00430BC2" w:rsidRPr="00E914AB" w:rsidRDefault="00855DC2" w:rsidP="00855DC2">
      <w:pPr>
        <w:pStyle w:val="ManualConsidrant"/>
        <w:rPr>
          <w:noProof/>
        </w:rPr>
      </w:pPr>
      <w:r w:rsidRPr="00855DC2">
        <w:rPr>
          <w:noProof/>
        </w:rPr>
        <w:t>(3)</w:t>
      </w:r>
      <w:r w:rsidRPr="00855DC2">
        <w:rPr>
          <w:noProof/>
        </w:rPr>
        <w:tab/>
      </w:r>
      <w:r w:rsidR="00430BC2" w:rsidRPr="00E914AB">
        <w:rPr>
          <w:noProof/>
        </w:rPr>
        <w:t>Gedelegeerde Verordening (EU) 2025/1496 van de Commissie</w:t>
      </w:r>
      <w:r w:rsidR="00430BC2" w:rsidRPr="00E914AB">
        <w:rPr>
          <w:rStyle w:val="FootnoteReference"/>
          <w:noProof/>
        </w:rPr>
        <w:footnoteReference w:id="4"/>
      </w:r>
      <w:r w:rsidR="00430BC2" w:rsidRPr="00E914AB">
        <w:rPr>
          <w:noProof/>
        </w:rPr>
        <w:t xml:space="preserve"> stelde de datum van toepassing van de eigenvermogensvereisten voor marktrisico uit tot 1 januari 2027. Daarom moet de bestaande rapportage over de eigenvermogensvereisten voor marktrisico die tot en met 31 december 2026 van toepassing zijn, ongewijzigd worden gehandhaafd. De overgangsbepalingen van Verordening (EU) 2024/3117 moeten dan ook worden verlengd en de intrekking van de desbetreffende bepalingen van Uitvoeringsverordening (EU) 2021/451 van de Commissie</w:t>
      </w:r>
      <w:r w:rsidR="00430BC2" w:rsidRPr="00E914AB">
        <w:rPr>
          <w:rStyle w:val="FootnoteReference"/>
          <w:noProof/>
        </w:rPr>
        <w:footnoteReference w:id="5"/>
      </w:r>
      <w:r w:rsidR="00430BC2" w:rsidRPr="00E914AB">
        <w:rPr>
          <w:noProof/>
        </w:rPr>
        <w:t xml:space="preserve"> moet met een jaar worden uitgesteld. </w:t>
      </w:r>
    </w:p>
    <w:p w:rsidR="00430BC2" w:rsidRPr="00E914AB" w:rsidRDefault="00855DC2" w:rsidP="00855DC2">
      <w:pPr>
        <w:pStyle w:val="ManualConsidrant"/>
        <w:rPr>
          <w:noProof/>
        </w:rPr>
      </w:pPr>
      <w:r w:rsidRPr="00855DC2">
        <w:rPr>
          <w:noProof/>
        </w:rPr>
        <w:t>(4)</w:t>
      </w:r>
      <w:r w:rsidRPr="00855DC2">
        <w:rPr>
          <w:noProof/>
        </w:rPr>
        <w:tab/>
      </w:r>
      <w:r w:rsidR="00430BC2" w:rsidRPr="00E914AB">
        <w:rPr>
          <w:noProof/>
        </w:rPr>
        <w:t>Uitvoeringsverordening (EU) 2024/3117 moet daarom dienovereenkomstig worden gewijzigd.</w:t>
      </w:r>
    </w:p>
    <w:p w:rsidR="00430BC2" w:rsidRPr="00E914AB" w:rsidRDefault="00855DC2" w:rsidP="00855DC2">
      <w:pPr>
        <w:pStyle w:val="ManualConsidrant"/>
        <w:rPr>
          <w:noProof/>
        </w:rPr>
      </w:pPr>
      <w:r w:rsidRPr="00855DC2">
        <w:rPr>
          <w:noProof/>
        </w:rPr>
        <w:t>(5)</w:t>
      </w:r>
      <w:r w:rsidRPr="00855DC2">
        <w:rPr>
          <w:noProof/>
        </w:rPr>
        <w:tab/>
      </w:r>
      <w:r w:rsidR="00430BC2" w:rsidRPr="00E914AB">
        <w:rPr>
          <w:noProof/>
        </w:rPr>
        <w:t>Deze verordening is gebaseerd op de ontwerpen van technische uitvoeringsnormen die de Europese Bankautoriteit (“EBA”) aan de Commissie heeft voorgelegd.</w:t>
      </w:r>
    </w:p>
    <w:p w:rsidR="00430BC2" w:rsidRPr="00E914AB" w:rsidRDefault="00855DC2" w:rsidP="00855DC2">
      <w:pPr>
        <w:pStyle w:val="ManualConsidrant"/>
        <w:rPr>
          <w:noProof/>
        </w:rPr>
      </w:pPr>
      <w:r w:rsidRPr="00855DC2">
        <w:rPr>
          <w:noProof/>
        </w:rPr>
        <w:t>(6)</w:t>
      </w:r>
      <w:r w:rsidRPr="00855DC2">
        <w:rPr>
          <w:noProof/>
        </w:rPr>
        <w:tab/>
      </w:r>
      <w:r w:rsidR="00430BC2" w:rsidRPr="00E914AB">
        <w:rPr>
          <w:noProof/>
        </w:rPr>
        <w:t>De EBA heeft open publieke consultaties georganiseerd over de ontwerpen van technische uitvoeringsnormen waarop deze verordening is gebaseerd, heeft de mogelijke kosten en baten ervan geanalyseerd en heeft het advies van de overeenkomstig artikel 37 van Verordening (EU) nr. 1093/2010 van het Europees Parlement en de Raad</w:t>
      </w:r>
      <w:r w:rsidR="00430BC2" w:rsidRPr="00E914AB">
        <w:rPr>
          <w:rStyle w:val="FootnoteReference"/>
          <w:noProof/>
        </w:rPr>
        <w:footnoteReference w:id="6"/>
      </w:r>
      <w:r w:rsidR="00430BC2" w:rsidRPr="00E914AB">
        <w:rPr>
          <w:noProof/>
        </w:rPr>
        <w:t xml:space="preserve"> opgerichte Stakeholdergroep bankwezen ingewonnen,</w:t>
      </w:r>
    </w:p>
    <w:p w:rsidR="00430BC2" w:rsidRPr="00E914AB" w:rsidRDefault="00430BC2" w:rsidP="004E1EF9">
      <w:pPr>
        <w:pStyle w:val="Formuledadoption"/>
        <w:rPr>
          <w:noProof/>
        </w:rPr>
      </w:pPr>
      <w:r w:rsidRPr="00E914AB">
        <w:rPr>
          <w:noProof/>
        </w:rPr>
        <w:t>HEEFT DE VOLGENDE VERORDENING VASTGESTELD:</w:t>
      </w:r>
    </w:p>
    <w:p w:rsidR="00430BC2" w:rsidRPr="00E914AB" w:rsidRDefault="00430BC2" w:rsidP="004E1EF9">
      <w:pPr>
        <w:pStyle w:val="Titrearticle"/>
        <w:rPr>
          <w:noProof/>
        </w:rPr>
      </w:pPr>
      <w:r w:rsidRPr="00E914AB">
        <w:rPr>
          <w:noProof/>
        </w:rPr>
        <w:t>Artikel 1</w:t>
      </w:r>
    </w:p>
    <w:p w:rsidR="00430BC2" w:rsidRPr="00E914AB" w:rsidRDefault="00430BC2" w:rsidP="00430BC2">
      <w:pPr>
        <w:rPr>
          <w:noProof/>
        </w:rPr>
      </w:pPr>
      <w:bookmarkStart w:id="4" w:name="_Hlk198544571"/>
      <w:r w:rsidRPr="00E914AB">
        <w:rPr>
          <w:noProof/>
        </w:rPr>
        <w:t>Uitvoeringsverordening (EU) 2024/3117</w:t>
      </w:r>
      <w:bookmarkEnd w:id="4"/>
      <w:r w:rsidRPr="00E914AB">
        <w:rPr>
          <w:noProof/>
        </w:rPr>
        <w:t xml:space="preserve"> wordt als volgt gewijzigd: </w:t>
      </w:r>
    </w:p>
    <w:p w:rsidR="00430BC2" w:rsidRPr="00E914AB" w:rsidRDefault="00855DC2" w:rsidP="00855DC2">
      <w:pPr>
        <w:pStyle w:val="Point0"/>
        <w:rPr>
          <w:noProof/>
        </w:rPr>
      </w:pPr>
      <w:r w:rsidRPr="00855DC2">
        <w:rPr>
          <w:noProof/>
        </w:rPr>
        <w:t>(1)</w:t>
      </w:r>
      <w:r w:rsidRPr="00855DC2">
        <w:rPr>
          <w:noProof/>
        </w:rPr>
        <w:tab/>
      </w:r>
      <w:r w:rsidR="00430BC2" w:rsidRPr="00E914AB">
        <w:rPr>
          <w:noProof/>
        </w:rPr>
        <w:t>In artikel 5 wordt lid 4 vervangen door:</w:t>
      </w:r>
    </w:p>
    <w:p w:rsidR="00430BC2" w:rsidRPr="00E914AB" w:rsidRDefault="00430BC2" w:rsidP="00430BC2">
      <w:pPr>
        <w:pStyle w:val="QuotedNumPar"/>
        <w:rPr>
          <w:noProof/>
        </w:rPr>
      </w:pPr>
      <w:r w:rsidRPr="00E914AB">
        <w:rPr>
          <w:noProof/>
        </w:rPr>
        <w:t>“4. Voor de berekening van de eigenvermogensvereisten als bedoeld in artikel 92, lid 4, punt b), i), en punt c), en artikel 92, lid 5, punten b) en c), van Verordening (EU) nr. 575/2013, verstrekken instellingen tot en met 31 december 2026 de informatie over eigenvermogenvereisten in verband met marktrisico overeenkomstig artikel 5, lid 12, van Uitvoeringsverordening (EU) 2021/451.”.</w:t>
      </w:r>
    </w:p>
    <w:p w:rsidR="00430BC2" w:rsidRPr="00E914AB" w:rsidRDefault="00855DC2" w:rsidP="00855DC2">
      <w:pPr>
        <w:pStyle w:val="Point0"/>
        <w:rPr>
          <w:noProof/>
        </w:rPr>
      </w:pPr>
      <w:r w:rsidRPr="00855DC2">
        <w:rPr>
          <w:noProof/>
        </w:rPr>
        <w:t>(2)</w:t>
      </w:r>
      <w:r w:rsidRPr="00855DC2">
        <w:rPr>
          <w:noProof/>
        </w:rPr>
        <w:tab/>
      </w:r>
      <w:r w:rsidR="00430BC2" w:rsidRPr="00E914AB">
        <w:rPr>
          <w:noProof/>
        </w:rPr>
        <w:t>In artikel 7 wordt het volgende punt c) toegevoegd:</w:t>
      </w:r>
    </w:p>
    <w:p w:rsidR="00430BC2" w:rsidRPr="00E914AB" w:rsidRDefault="00430BC2" w:rsidP="00430BC2">
      <w:pPr>
        <w:pStyle w:val="QuotedNumPar"/>
        <w:rPr>
          <w:noProof/>
        </w:rPr>
      </w:pPr>
      <w:r w:rsidRPr="00E914AB">
        <w:rPr>
          <w:noProof/>
        </w:rPr>
        <w:t>“c)</w:t>
      </w:r>
      <w:r w:rsidRPr="00E914AB">
        <w:rPr>
          <w:noProof/>
        </w:rPr>
        <w:tab/>
        <w:t>EU-moederinstellingen rapporteren op kwartaalbasis de in bijlage I, template C 16.04, vereiste informatie met betrekking tot dochterondernemingen die vallen onder de afwijking waarin artikel 314, lid 3, van Verordening (EU) nr. 575/2013 voorziet.”.</w:t>
      </w:r>
    </w:p>
    <w:p w:rsidR="00430BC2" w:rsidRPr="00E914AB" w:rsidRDefault="00855DC2" w:rsidP="00855DC2">
      <w:pPr>
        <w:pStyle w:val="Point0"/>
        <w:rPr>
          <w:noProof/>
        </w:rPr>
      </w:pPr>
      <w:r w:rsidRPr="00855DC2">
        <w:rPr>
          <w:noProof/>
        </w:rPr>
        <w:t>(3)</w:t>
      </w:r>
      <w:r w:rsidRPr="00855DC2">
        <w:rPr>
          <w:noProof/>
        </w:rPr>
        <w:tab/>
      </w:r>
      <w:r w:rsidR="00430BC2" w:rsidRPr="00E914AB">
        <w:rPr>
          <w:noProof/>
        </w:rPr>
        <w:t>In artikel 25 worden de leden 1 en 2 vervangen door:</w:t>
      </w:r>
    </w:p>
    <w:p w:rsidR="00430BC2" w:rsidRPr="00E914AB" w:rsidRDefault="00430BC2" w:rsidP="00430BC2">
      <w:pPr>
        <w:pStyle w:val="QuotedNumPar"/>
        <w:rPr>
          <w:noProof/>
        </w:rPr>
      </w:pPr>
      <w:r w:rsidRPr="00E914AB">
        <w:rPr>
          <w:noProof/>
        </w:rPr>
        <w:t>“1. Uitvoeringsverordening (EU) 2021/451 is met ingang van 1 januari 2025 niet langer van toepassing, met uitzondering van artikel 5, lid 12, bijlage I, templates 18 tot en met 24, en bijlage II, deel II, punten 5.1 tot en met 5.7. Artikel 15 van Uitvoeringsverordening (EU) 2021/451 blijft tot en met 31 december 2026 van toepassing, uitsluitend voor de toepassing van artikel 5, lid 4, van deze verordening.</w:t>
      </w:r>
    </w:p>
    <w:p w:rsidR="00430BC2" w:rsidRPr="00E914AB" w:rsidRDefault="00430BC2" w:rsidP="00430BC2">
      <w:pPr>
        <w:pStyle w:val="QuotedNumPar"/>
        <w:rPr>
          <w:noProof/>
        </w:rPr>
      </w:pPr>
      <w:r w:rsidRPr="00E914AB">
        <w:rPr>
          <w:noProof/>
        </w:rPr>
        <w:t>2. Uitvoeringsverordening (EU) 2021/451 wordt met ingang van 31 december 2026 ingetrokken.”.</w:t>
      </w:r>
    </w:p>
    <w:p w:rsidR="00430BC2" w:rsidRPr="00E914AB" w:rsidRDefault="00855DC2" w:rsidP="00855DC2">
      <w:pPr>
        <w:pStyle w:val="Point0"/>
        <w:rPr>
          <w:noProof/>
        </w:rPr>
      </w:pPr>
      <w:r w:rsidRPr="00855DC2">
        <w:rPr>
          <w:noProof/>
        </w:rPr>
        <w:t>(4)</w:t>
      </w:r>
      <w:r w:rsidRPr="00855DC2">
        <w:rPr>
          <w:noProof/>
        </w:rPr>
        <w:tab/>
      </w:r>
      <w:r w:rsidR="00430BC2" w:rsidRPr="00E914AB">
        <w:rPr>
          <w:noProof/>
        </w:rPr>
        <w:t xml:space="preserve">In bijlage I wordt afdeling 1 “Rapportage inzake eigen vermogen en eigenvermogensvereisten” als volgt gewijzigd: </w:t>
      </w:r>
    </w:p>
    <w:p w:rsidR="00430BC2" w:rsidRPr="00E914AB" w:rsidRDefault="00855DC2" w:rsidP="00855DC2">
      <w:pPr>
        <w:pStyle w:val="Point1"/>
        <w:rPr>
          <w:noProof/>
        </w:rPr>
      </w:pPr>
      <w:r w:rsidRPr="00855DC2">
        <w:rPr>
          <w:noProof/>
        </w:rPr>
        <w:t>(a)</w:t>
      </w:r>
      <w:r w:rsidRPr="00855DC2">
        <w:rPr>
          <w:noProof/>
        </w:rPr>
        <w:tab/>
      </w:r>
      <w:r w:rsidR="00430BC2" w:rsidRPr="00E914AB">
        <w:rPr>
          <w:noProof/>
        </w:rPr>
        <w:t>template “C 16.01 OPERATIONEEL RISICO - EIGENVERMOGENSVEREISTEN (OPR OF)” wordt vervangen door de template “C 16.01 OPERATIONEEL RISICO - EIGENVERMOGENSVEREISTEN (OPR OF)” in de bijlage bij deze verordening;</w:t>
      </w:r>
    </w:p>
    <w:p w:rsidR="00430BC2" w:rsidRPr="00E914AB" w:rsidRDefault="00855DC2" w:rsidP="00855DC2">
      <w:pPr>
        <w:pStyle w:val="Point1"/>
        <w:rPr>
          <w:noProof/>
        </w:rPr>
      </w:pPr>
      <w:r w:rsidRPr="00855DC2">
        <w:rPr>
          <w:noProof/>
        </w:rPr>
        <w:t>(b)</w:t>
      </w:r>
      <w:r w:rsidRPr="00855DC2">
        <w:rPr>
          <w:noProof/>
        </w:rPr>
        <w:tab/>
      </w:r>
      <w:r w:rsidR="00430BC2" w:rsidRPr="00E914AB">
        <w:rPr>
          <w:noProof/>
        </w:rPr>
        <w:t>de in de bijlage bij deze verordening opgenomen template “C 16.02 OPERATIONEEL RISICO - BUSINESS INDICATOR COMPONENT (OPR BIC)”, template “C 16.03 UITSPLITSING OPERATIONEEL RISICO (OPR BD) - VERLIEZEN, LASTEN, VOORZIENINGEN EN ANDERE FINANCIËLE EFFECTEN ALS GEVOLG VAN GEBEURTENISSEN UIT HOOFDE VAN OPERATIONEEL RISICO” en template “C 16.04 OPERATIONEEL RISICO - INFORMATIE OVER DOCHTERONDERNEMINGEN DIE ONDER ARTIKEL 314, LID 3, VKV VALLEN” worden toegevoegd na template “C 16.01 OPERATIONEEL RISICO - EIGENVERMOGENSVEREISTEN (OPR OF)”.</w:t>
      </w:r>
    </w:p>
    <w:p w:rsidR="00430BC2" w:rsidRPr="00E914AB" w:rsidRDefault="00430BC2" w:rsidP="004E1EF9">
      <w:pPr>
        <w:pStyle w:val="Titrearticle"/>
        <w:rPr>
          <w:noProof/>
        </w:rPr>
      </w:pPr>
      <w:r w:rsidRPr="00E914AB">
        <w:rPr>
          <w:noProof/>
        </w:rPr>
        <w:t>Artikel 2</w:t>
      </w:r>
    </w:p>
    <w:p w:rsidR="00430BC2" w:rsidRPr="00E914AB" w:rsidRDefault="00430BC2" w:rsidP="004E1EF9">
      <w:pPr>
        <w:rPr>
          <w:noProof/>
        </w:rPr>
      </w:pPr>
      <w:r w:rsidRPr="00E914AB">
        <w:rPr>
          <w:noProof/>
        </w:rPr>
        <w:t xml:space="preserve">Deze verordening treedt in werking op de twintigste dag na die van de bekendmaking ervan in het </w:t>
      </w:r>
      <w:r w:rsidRPr="00E914AB">
        <w:rPr>
          <w:i/>
          <w:noProof/>
        </w:rPr>
        <w:t>Publicatieblad van de Europese Unie</w:t>
      </w:r>
      <w:r w:rsidRPr="00E914AB">
        <w:rPr>
          <w:noProof/>
        </w:rPr>
        <w:t>.</w:t>
      </w:r>
    </w:p>
    <w:p w:rsidR="00430BC2" w:rsidRPr="00E914AB" w:rsidRDefault="00430BC2" w:rsidP="004E1EF9">
      <w:pPr>
        <w:pStyle w:val="Applicationdirecte"/>
        <w:rPr>
          <w:noProof/>
        </w:rPr>
      </w:pPr>
      <w:r w:rsidRPr="00E914AB">
        <w:rPr>
          <w:noProof/>
        </w:rPr>
        <w:t>Deze verordening is verbindend in al haar onderdelen en is rechtstreeks toepasselijk in elke lidstaat.</w:t>
      </w:r>
    </w:p>
    <w:p w:rsidR="00430BC2" w:rsidRPr="00E914AB" w:rsidRDefault="00E42BA6" w:rsidP="00D47F6F">
      <w:pPr>
        <w:pStyle w:val="Fait"/>
        <w:rPr>
          <w:noProof/>
        </w:rPr>
      </w:pPr>
      <w:r>
        <w:rPr>
          <w:noProof/>
        </w:rPr>
        <w:t>Gedaan te Brussel, 8.12.2025</w:t>
      </w:r>
    </w:p>
    <w:p w:rsidR="00430BC2" w:rsidRPr="00E914AB" w:rsidRDefault="00430BC2" w:rsidP="00D47F6F">
      <w:pPr>
        <w:pStyle w:val="Institutionquisigne"/>
        <w:rPr>
          <w:noProof/>
        </w:rPr>
      </w:pPr>
      <w:r w:rsidRPr="00E914AB">
        <w:rPr>
          <w:noProof/>
        </w:rPr>
        <w:tab/>
        <w:t>Voor de Commissie</w:t>
      </w:r>
    </w:p>
    <w:p w:rsidR="00CE1BA2" w:rsidRPr="00E914AB" w:rsidRDefault="001125F6" w:rsidP="00D47F6F">
      <w:pPr>
        <w:pStyle w:val="Personnequisigne"/>
        <w:keepNext/>
        <w:rPr>
          <w:noProof/>
        </w:rPr>
      </w:pPr>
      <w:r>
        <w:rPr>
          <w:noProof/>
        </w:rPr>
        <w:tab/>
        <w:t>De voorzitter</w:t>
      </w:r>
      <w:r>
        <w:rPr>
          <w:noProof/>
        </w:rPr>
        <w:br/>
      </w:r>
      <w:r>
        <w:rPr>
          <w:noProof/>
        </w:rPr>
        <w:tab/>
        <w:t>Ursula VON DER LEYEN</w:t>
      </w:r>
    </w:p>
    <w:p w:rsidR="00430BC2" w:rsidRPr="00E914AB" w:rsidRDefault="00430BC2" w:rsidP="00430BC2">
      <w:pPr>
        <w:pStyle w:val="Personnequisigne"/>
        <w:rPr>
          <w:noProof/>
        </w:rPr>
      </w:pPr>
    </w:p>
    <w:sectPr w:rsidR="00430BC2" w:rsidRPr="00E914AB" w:rsidSect="006B0D3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Pr="006B0D3E" w:rsidRDefault="006B0D3E" w:rsidP="006B0D3E">
    <w:pPr>
      <w:pStyle w:val="Footer"/>
      <w:rPr>
        <w:rFonts w:ascii="Arial" w:hAnsi="Arial" w:cs="Arial"/>
        <w:b/>
        <w:sz w:val="48"/>
      </w:rPr>
    </w:pPr>
    <w:r w:rsidRPr="006B0D3E">
      <w:rPr>
        <w:rFonts w:ascii="Arial" w:hAnsi="Arial" w:cs="Arial"/>
        <w:b/>
        <w:sz w:val="48"/>
      </w:rPr>
      <w:t>NL</w:t>
    </w:r>
    <w:r w:rsidRPr="006B0D3E">
      <w:rPr>
        <w:rFonts w:ascii="Arial" w:hAnsi="Arial" w:cs="Arial"/>
        <w:b/>
        <w:sz w:val="48"/>
      </w:rPr>
      <w:tab/>
    </w:r>
    <w:r w:rsidRPr="006B0D3E">
      <w:rPr>
        <w:rFonts w:ascii="Arial" w:hAnsi="Arial" w:cs="Arial"/>
        <w:b/>
        <w:sz w:val="48"/>
      </w:rPr>
      <w:tab/>
    </w:r>
    <w:r w:rsidRPr="006B0D3E">
      <w:tab/>
    </w:r>
    <w:r w:rsidRPr="006B0D3E">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Pr="006B0D3E" w:rsidRDefault="006B0D3E" w:rsidP="006B0D3E">
    <w:pPr>
      <w:pStyle w:val="Footer"/>
      <w:rPr>
        <w:rFonts w:ascii="Arial" w:hAnsi="Arial" w:cs="Arial"/>
        <w:b/>
        <w:sz w:val="48"/>
      </w:rPr>
    </w:pPr>
    <w:r w:rsidRPr="006B0D3E">
      <w:rPr>
        <w:rFonts w:ascii="Arial" w:hAnsi="Arial" w:cs="Arial"/>
        <w:b/>
        <w:sz w:val="48"/>
      </w:rPr>
      <w:t>NL</w:t>
    </w:r>
    <w:r w:rsidRPr="006B0D3E">
      <w:rPr>
        <w:rFonts w:ascii="Arial" w:hAnsi="Arial" w:cs="Arial"/>
        <w:b/>
        <w:sz w:val="48"/>
      </w:rPr>
      <w:tab/>
    </w:r>
    <w:r w:rsidRPr="006B0D3E">
      <w:rPr>
        <w:rFonts w:ascii="Arial" w:hAnsi="Arial" w:cs="Arial"/>
        <w:b/>
        <w:sz w:val="48"/>
      </w:rPr>
      <w:tab/>
    </w:r>
    <w:r w:rsidRPr="006B0D3E">
      <w:tab/>
    </w:r>
    <w:r w:rsidRPr="006B0D3E">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Pr="006B0D3E" w:rsidRDefault="006B0D3E" w:rsidP="006B0D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Default="006B0D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Pr="006B0D3E" w:rsidRDefault="006B0D3E" w:rsidP="006B0D3E">
    <w:pPr>
      <w:pStyle w:val="Footer"/>
      <w:rPr>
        <w:rFonts w:ascii="Arial" w:hAnsi="Arial" w:cs="Arial"/>
        <w:b/>
        <w:sz w:val="48"/>
      </w:rPr>
    </w:pPr>
    <w:r w:rsidRPr="006B0D3E">
      <w:rPr>
        <w:rFonts w:ascii="Arial" w:hAnsi="Arial" w:cs="Arial"/>
        <w:b/>
        <w:sz w:val="48"/>
      </w:rPr>
      <w:t>NL</w:t>
    </w:r>
    <w:r w:rsidRPr="006B0D3E">
      <w:rPr>
        <w:rFonts w:ascii="Arial" w:hAnsi="Arial" w:cs="Arial"/>
        <w:b/>
        <w:sz w:val="48"/>
      </w:rPr>
      <w:tab/>
    </w:r>
    <w:r>
      <w:fldChar w:fldCharType="begin"/>
    </w:r>
    <w:r>
      <w:instrText xml:space="preserve"> PAGE  \* MERGEFORMAT </w:instrText>
    </w:r>
    <w:r>
      <w:fldChar w:fldCharType="separate"/>
    </w:r>
    <w:r w:rsidR="00D47F6F">
      <w:rPr>
        <w:noProof/>
      </w:rPr>
      <w:t>3</w:t>
    </w:r>
    <w:r>
      <w:fldChar w:fldCharType="end"/>
    </w:r>
    <w:r>
      <w:tab/>
    </w:r>
    <w:r w:rsidRPr="006B0D3E">
      <w:tab/>
    </w:r>
    <w:r w:rsidRPr="006B0D3E">
      <w:rPr>
        <w:rFonts w:ascii="Arial" w:hAnsi="Arial" w:cs="Arial"/>
        <w:b/>
        <w:sz w:val="48"/>
      </w:rPr>
      <w:t>NL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Default="006B0D3E" w:rsidP="006B0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E914AB" w:rsidRDefault="00430BC2" w:rsidP="00430BC2">
      <w:pPr>
        <w:pStyle w:val="FootnoteText"/>
      </w:pPr>
      <w:r>
        <w:rPr>
          <w:rStyle w:val="FootnoteReference"/>
        </w:rPr>
        <w:footnoteRef/>
      </w:r>
      <w:r w:rsidRPr="00E914AB">
        <w:tab/>
        <w:t>PB L 176 van 27.6.2013, blz. 1,</w:t>
      </w:r>
      <w:r w:rsidRPr="00E914AB">
        <w:rPr>
          <w:color w:val="000000"/>
        </w:rPr>
        <w:t xml:space="preserve"> </w:t>
      </w:r>
      <w:r w:rsidRPr="00E914AB">
        <w:t>ELI: http://data.europa.eu/eli/reg/2013/575/oj.</w:t>
      </w:r>
    </w:p>
  </w:footnote>
  <w:footnote w:id="2">
    <w:p w:rsidR="00430BC2" w:rsidRPr="00E914AB" w:rsidRDefault="00430BC2" w:rsidP="00430BC2">
      <w:pPr>
        <w:pStyle w:val="FootnoteText"/>
        <w:rPr>
          <w:rFonts w:eastAsiaTheme="minorEastAsia"/>
        </w:rPr>
      </w:pPr>
      <w:r>
        <w:rPr>
          <w:rStyle w:val="FootnoteReference"/>
        </w:rPr>
        <w:footnoteRef/>
      </w:r>
      <w:r w:rsidRPr="00E914AB">
        <w:tab/>
        <w:t xml:space="preserve">Verordening (EU) 2024/1623 van het Europees Parlement en de Raad van 31 mei 2024 tot wijziging van Verordening (EU) nr. 575/2013 wat betreft vereisten inzake kredietrisico, risico van aanpassing van de kredietwaardering, operationeel risico, marktrisico en de output floor (PB L, 2024/1623, 19.6.2024, ELI: </w:t>
      </w:r>
      <w:bookmarkStart w:id="1" w:name="_Hlk198544494"/>
      <w:r w:rsidRPr="00E914AB">
        <w:t>http://data.europa.eu/eli/reg/2024/1623/oj</w:t>
      </w:r>
      <w:bookmarkEnd w:id="1"/>
      <w:r w:rsidRPr="00E914AB">
        <w:t>).</w:t>
      </w:r>
    </w:p>
  </w:footnote>
  <w:footnote w:id="3">
    <w:p w:rsidR="00430BC2" w:rsidRPr="00E914AB" w:rsidRDefault="00430BC2" w:rsidP="00430BC2">
      <w:pPr>
        <w:pStyle w:val="FootnoteText"/>
      </w:pPr>
      <w:r>
        <w:rPr>
          <w:rStyle w:val="FootnoteReference"/>
        </w:rPr>
        <w:footnoteRef/>
      </w:r>
      <w:r w:rsidRPr="00E914AB">
        <w:tab/>
        <w:t>Uitvoeringsverordening (EU) 2024/3117 van de Commissie van 29 november 2024 tot vaststelling van technische uitvoeringsnormen voor de toepassing van Verordening (EU) nr. 575/2013 van het Europees Parlement en de Raad wat betreft de rapportage aan de toezichthoudende autoriteit door instellingen en tot intrekking van Uitvoeringsverordening (EU) 2021/451 van de Commissie (PB L, 2024/3117, 27.12.2024, ELI: </w:t>
      </w:r>
      <w:bookmarkStart w:id="2" w:name="_Hlk198544532"/>
      <w:r>
        <w:fldChar w:fldCharType="begin"/>
      </w:r>
      <w:r w:rsidRPr="00E914AB">
        <w:instrText>HYPERLINK "http://data.europa.eu/eli/reg_impl/2024/3117/oj" \t "_blank" \o "Geeft toegang tot dit document via de ELI URI."</w:instrText>
      </w:r>
      <w:r>
        <w:fldChar w:fldCharType="separate"/>
      </w:r>
      <w:r w:rsidRPr="00E914AB">
        <w:t>http://data.europa.eu/eli/reg_impl/2024/3117/oj</w:t>
      </w:r>
      <w:r>
        <w:fldChar w:fldCharType="end"/>
      </w:r>
      <w:bookmarkEnd w:id="2"/>
      <w:r w:rsidRPr="00E914AB">
        <w:t>).</w:t>
      </w:r>
    </w:p>
  </w:footnote>
  <w:footnote w:id="4">
    <w:p w:rsidR="00430BC2" w:rsidRPr="00E914AB" w:rsidRDefault="00430BC2" w:rsidP="00430BC2">
      <w:pPr>
        <w:pStyle w:val="FootnoteText"/>
      </w:pPr>
      <w:r>
        <w:rPr>
          <w:rStyle w:val="FootnoteReference"/>
        </w:rPr>
        <w:footnoteRef/>
      </w:r>
      <w:r w:rsidRPr="00E914AB">
        <w:tab/>
        <w:t>Gedelegeerde Verordening (EU) 2025/1496 van de Commissie van 12 juni 2025 tot wijziging van Verordening (EU) nr. 575/2013 van het Europees Parlement en de Raad wat betreft de datum van toepassing van de eigenvermogensvereisten voor marktrisico (PB L, 2025/1496, 19.9.2025, ELI: http://data.europa.eu/eli/reg_del/2025/1496/oj).</w:t>
      </w:r>
    </w:p>
  </w:footnote>
  <w:footnote w:id="5">
    <w:p w:rsidR="00430BC2" w:rsidRPr="00E914AB" w:rsidRDefault="00430BC2" w:rsidP="00430BC2">
      <w:pPr>
        <w:pStyle w:val="FootnoteText"/>
      </w:pPr>
      <w:r>
        <w:rPr>
          <w:rStyle w:val="FootnoteReference"/>
        </w:rPr>
        <w:footnoteRef/>
      </w:r>
      <w:r w:rsidRPr="00E914AB">
        <w:tab/>
        <w:t xml:space="preserve">Uitvoeringsverordening (EU) 2021/451 van de Commissie van 17 december 2020 tot vaststelling van technische uitvoeringsnormen voor de toepassing van Verordening (EU) nr. 575/2013 van het Europees Parlement en de Raad wat betreft de rapportage aan de toezichthoudende autoriteit door instellingen en tot intrekking van Uitvoeringsverordening (EU) nr. 680/2014 (PB L 97 van 19.3.2021, blz. 1, ELI: </w:t>
      </w:r>
      <w:hyperlink r:id="rId1" w:history="1">
        <w:r w:rsidRPr="00E914AB">
          <w:rPr>
            <w:rStyle w:val="Hyperlink"/>
          </w:rPr>
          <w:t>http://data.europa.eu/eli/reg_impl/2021/451/oj</w:t>
        </w:r>
      </w:hyperlink>
      <w:r w:rsidRPr="00E914AB">
        <w:t>).</w:t>
      </w:r>
    </w:p>
  </w:footnote>
  <w:footnote w:id="6">
    <w:p w:rsidR="00430BC2" w:rsidRPr="00E914AB" w:rsidRDefault="00430BC2" w:rsidP="00430BC2">
      <w:pPr>
        <w:pStyle w:val="FootnoteText"/>
      </w:pPr>
      <w:r>
        <w:rPr>
          <w:rStyle w:val="FootnoteReference"/>
        </w:rPr>
        <w:footnoteRef/>
      </w:r>
      <w:r w:rsidRPr="00E914AB">
        <w:tab/>
      </w:r>
      <w:bookmarkStart w:id="3" w:name="_Hlk198544390"/>
      <w:r w:rsidRPr="00E914AB">
        <w:t>Verordening (EU) nr. 1093/2010 van het Europees Parlement en de Raad van 24 november 2010 tot oprichting van een Europese toezichthoudende autoriteit</w:t>
      </w:r>
      <w:bookmarkEnd w:id="3"/>
      <w:r w:rsidRPr="00E914AB">
        <w:t xml:space="preserve"> (Europese Bankautoriteit), tot wijziging van Besluit nr. 716/2009/EG en tot intrekking van Besluit 2009/78/EG van de Commissie (PB L 331 van 15.12.2010, blz.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Pr="006B0D3E" w:rsidRDefault="006B0D3E" w:rsidP="006B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Pr="006B0D3E" w:rsidRDefault="006B0D3E" w:rsidP="006B0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Pr="006B0D3E" w:rsidRDefault="006B0D3E" w:rsidP="006B0D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Default="006B0D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3E" w:rsidRDefault="006B0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1578249-CBC5-4BDF-A2EE-4E828106967B"/>
    <w:docVar w:name="LW_COVERPAGE_TYPE" w:val="1"/>
    <w:docVar w:name="LW_CreatedUtc" w:val="2025-10-08T14:24:25.1973363Z"/>
    <w:docVar w:name="LW_CROSSREFERENCE" w:val="&lt;UNUSED&gt;"/>
    <w:docVar w:name="LW_DATE.ADOPT.CP" w:val="van 8.12.2025"/>
    <w:docVar w:name="LW_DATE.ADOPT.CP_DATEFORMAT" w:val="van %DATE%"/>
    <w:docVar w:name="LW_DATE.ADOPT.CP_ISODATE" w:val="2025-12-08"/>
    <w:docVar w:name="LW_DocType" w:val="COM"/>
    <w:docVar w:name="LW_EMISSION" w:val="8.12.2025"/>
    <w:docVar w:name="LW_EMISSION_ISODATE" w:val="2025-12-08"/>
    <w:docVar w:name="LW_EMISSION_LOCATION" w:val="BRX"/>
    <w:docVar w:name="LW_EMISSION_PREFIX" w:val="Brussel, "/>
    <w:docVar w:name="LW_EMISSION_SUFFIX" w:val=" "/>
    <w:docVar w:name="LW_ID_DOCMODEL" w:val="SJ-004"/>
    <w:docVar w:name="LW_ID_DOCSIGNATURE" w:val="SJ-004"/>
    <w:docVar w:name="LW_ID_DOCSTRUCTURE" w:val="COM/AA"/>
    <w:docVar w:name="LW_ID_DOCTYPE" w:val="SJ-004"/>
    <w:docVar w:name="LW_INTERETEEE.CP" w:val="(Voor de EER relevante tekst)"/>
    <w:docVar w:name="LW_LANGUE" w:val="NL"/>
    <w:docVar w:name="LW_LANGUESFAISANTFOI.CP" w:val="&lt;UNUSED&gt;"/>
    <w:docVar w:name="LW_LEVEL_OF_SENSITIVITY" w:val="Standard treatment"/>
    <w:docVar w:name="LW_NOM.INST" w:val="EUROPESE COMMISSIE"/>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ot wijziging van de in Uitvoeringsverordening (EU) 2024/3117 vastgestelde technische uitvoeringsnormen wat betreft rapportage over operationele risico\u8217?s aan de toezichthoudende autoriteit door instellingen"/>
    <w:docVar w:name="LW_TYPE.DOC.CP" w:val="UITVOERINGSVERORDENING (EU) \u8230?/... VAN DE COMMISSIE"/>
    <w:docVar w:name="LwApiVersions" w:val="LW4CoDe 1.24.5.0; LW 9.2, Build 20251112"/>
  </w:docVars>
  <w:rsids>
    <w:rsidRoot w:val="00430BC2"/>
    <w:rsid w:val="00017C96"/>
    <w:rsid w:val="0004435A"/>
    <w:rsid w:val="00050CA3"/>
    <w:rsid w:val="00085FD2"/>
    <w:rsid w:val="001065F5"/>
    <w:rsid w:val="001125F6"/>
    <w:rsid w:val="001238EF"/>
    <w:rsid w:val="001323DB"/>
    <w:rsid w:val="00133705"/>
    <w:rsid w:val="00151C13"/>
    <w:rsid w:val="00197613"/>
    <w:rsid w:val="00210C55"/>
    <w:rsid w:val="00233DC7"/>
    <w:rsid w:val="00246887"/>
    <w:rsid w:val="00247779"/>
    <w:rsid w:val="00277D05"/>
    <w:rsid w:val="00285BEE"/>
    <w:rsid w:val="0029533F"/>
    <w:rsid w:val="00295972"/>
    <w:rsid w:val="002A69BD"/>
    <w:rsid w:val="002B30AF"/>
    <w:rsid w:val="002E5318"/>
    <w:rsid w:val="00304D7B"/>
    <w:rsid w:val="0033344A"/>
    <w:rsid w:val="0038150A"/>
    <w:rsid w:val="003B7661"/>
    <w:rsid w:val="0042648E"/>
    <w:rsid w:val="00430BC2"/>
    <w:rsid w:val="004404AB"/>
    <w:rsid w:val="00460431"/>
    <w:rsid w:val="004936D2"/>
    <w:rsid w:val="004B47D8"/>
    <w:rsid w:val="005071CD"/>
    <w:rsid w:val="00513867"/>
    <w:rsid w:val="0055312E"/>
    <w:rsid w:val="00561998"/>
    <w:rsid w:val="00562257"/>
    <w:rsid w:val="005B1EB6"/>
    <w:rsid w:val="005F2023"/>
    <w:rsid w:val="006A3A74"/>
    <w:rsid w:val="006B0D3E"/>
    <w:rsid w:val="006F3E02"/>
    <w:rsid w:val="0076425B"/>
    <w:rsid w:val="00773331"/>
    <w:rsid w:val="007932EF"/>
    <w:rsid w:val="007E05B0"/>
    <w:rsid w:val="00855DC2"/>
    <w:rsid w:val="00874D22"/>
    <w:rsid w:val="0089317B"/>
    <w:rsid w:val="008A2914"/>
    <w:rsid w:val="008E4D8E"/>
    <w:rsid w:val="00957BDE"/>
    <w:rsid w:val="00996B19"/>
    <w:rsid w:val="009F2131"/>
    <w:rsid w:val="009F35F8"/>
    <w:rsid w:val="00A005B5"/>
    <w:rsid w:val="00A338A0"/>
    <w:rsid w:val="00A362F7"/>
    <w:rsid w:val="00A57EB6"/>
    <w:rsid w:val="00A9563C"/>
    <w:rsid w:val="00AD7C0F"/>
    <w:rsid w:val="00AE3DBA"/>
    <w:rsid w:val="00AE7140"/>
    <w:rsid w:val="00B40F1A"/>
    <w:rsid w:val="00B443FE"/>
    <w:rsid w:val="00BA36D3"/>
    <w:rsid w:val="00C12301"/>
    <w:rsid w:val="00C65D21"/>
    <w:rsid w:val="00C862B2"/>
    <w:rsid w:val="00CE1BA2"/>
    <w:rsid w:val="00D03513"/>
    <w:rsid w:val="00D20381"/>
    <w:rsid w:val="00D47F6F"/>
    <w:rsid w:val="00E42BA6"/>
    <w:rsid w:val="00E914AB"/>
    <w:rsid w:val="00F136F5"/>
    <w:rsid w:val="00F13A2A"/>
    <w:rsid w:val="00F1620E"/>
    <w:rsid w:val="00F35DE4"/>
    <w:rsid w:val="00F47C85"/>
    <w:rsid w:val="00FC38F8"/>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6B0D3E"/>
    <w:rPr>
      <w:rFonts w:ascii="Times New Roman" w:hAnsi="Times New Roman" w:cs="Times New Roman"/>
      <w:sz w:val="24"/>
      <w:lang w:val="nl-NL"/>
    </w:rPr>
  </w:style>
  <w:style w:type="character" w:customStyle="1" w:styleId="FooterChar">
    <w:name w:val="Footer Char"/>
    <w:basedOn w:val="DefaultParagraphFont"/>
    <w:link w:val="Footer"/>
    <w:uiPriority w:val="99"/>
    <w:rsid w:val="006B0D3E"/>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B0D3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B0D3E"/>
    <w:pPr>
      <w:spacing w:before="0"/>
      <w:jc w:val="right"/>
    </w:pPr>
    <w:rPr>
      <w:sz w:val="28"/>
    </w:rPr>
  </w:style>
  <w:style w:type="paragraph" w:customStyle="1" w:styleId="FooterSensitivity">
    <w:name w:val="Footer Sensitivity"/>
    <w:basedOn w:val="Normal"/>
    <w:rsid w:val="006B0D3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6B0D3E"/>
    <w:pPr>
      <w:tabs>
        <w:tab w:val="center" w:pos="4535"/>
        <w:tab w:val="right" w:pos="9071"/>
      </w:tabs>
      <w:spacing w:before="0"/>
    </w:pPr>
  </w:style>
  <w:style w:type="paragraph" w:customStyle="1" w:styleId="HeaderLandscape">
    <w:name w:val="HeaderLandscape"/>
    <w:basedOn w:val="Normal"/>
    <w:rsid w:val="006B0D3E"/>
    <w:pPr>
      <w:tabs>
        <w:tab w:val="center" w:pos="7285"/>
        <w:tab w:val="right" w:pos="14003"/>
      </w:tabs>
      <w:spacing w:before="0"/>
    </w:pPr>
  </w:style>
  <w:style w:type="paragraph" w:styleId="Footer">
    <w:name w:val="footer"/>
    <w:basedOn w:val="Normal"/>
    <w:link w:val="FooterChar"/>
    <w:uiPriority w:val="99"/>
    <w:unhideWhenUsed/>
    <w:rsid w:val="006B0D3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B0D3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AE88E-ED89-42EB-83DC-2FA6DE18D798}"/>
</file>

<file path=customXml/itemProps2.xml><?xml version="1.0" encoding="utf-8"?>
<ds:datastoreItem xmlns:ds="http://schemas.openxmlformats.org/officeDocument/2006/customXml" ds:itemID="{82CA5512-0582-4C1B-BE9E-9487CD504EF6}"/>
</file>

<file path=customXml/itemProps3.xml><?xml version="1.0" encoding="utf-8"?>
<ds:datastoreItem xmlns:ds="http://schemas.openxmlformats.org/officeDocument/2006/customXml" ds:itemID="{87BC3D26-93AD-4111-B6B7-DBDE6FB63779}"/>
</file>

<file path=docProps/app.xml><?xml version="1.0" encoding="utf-8"?>
<Properties xmlns="http://schemas.openxmlformats.org/officeDocument/2006/extended-properties" xmlns:vt="http://schemas.openxmlformats.org/officeDocument/2006/docPropsVTypes">
  <Template>COM.dotm</Template>
  <TotalTime>7</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dcterms:created xsi:type="dcterms:W3CDTF">2025-10-21T09:59:00Z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