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52060E" w:rsidRDefault="005258F1" w:rsidP="005258F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754625A-254A-4F96-85D1-7D36FC15292B" style="width:455.25pt;height:345.75pt">
            <v:imagedata r:id="rId7" o:title=""/>
          </v:shape>
        </w:pict>
      </w:r>
    </w:p>
    <w:p w:rsidR="00430BC2" w:rsidRPr="0052060E" w:rsidRDefault="00430BC2">
      <w:pPr>
        <w:rPr>
          <w:noProof/>
        </w:rPr>
        <w:sectPr w:rsidR="00430BC2" w:rsidRPr="0052060E" w:rsidSect="005258F1">
          <w:footerReference w:type="even" r:id="rId8"/>
          <w:footerReference w:type="default" r:id="rId9"/>
          <w:pgSz w:w="11907" w:h="16839"/>
          <w:pgMar w:top="1134" w:right="1417" w:bottom="1134" w:left="1417" w:header="709" w:footer="709" w:gutter="0"/>
          <w:pgNumType w:start="0"/>
          <w:cols w:space="720"/>
          <w:docGrid w:linePitch="360"/>
        </w:sectPr>
      </w:pPr>
    </w:p>
    <w:p w:rsidR="00430BC2" w:rsidRPr="0052060E" w:rsidRDefault="0052060E" w:rsidP="0052060E">
      <w:pPr>
        <w:pStyle w:val="Typedudocument"/>
        <w:rPr>
          <w:noProof/>
        </w:rPr>
      </w:pPr>
      <w:bookmarkStart w:id="0" w:name="_GoBack"/>
      <w:bookmarkEnd w:id="0"/>
      <w:r w:rsidRPr="0052060E">
        <w:rPr>
          <w:noProof/>
        </w:rPr>
        <w:lastRenderedPageBreak/>
        <w:t>KOMISIJAS ĪSTENOŠANAS REGULA (ES) …/..</w:t>
      </w:r>
    </w:p>
    <w:p w:rsidR="00430BC2" w:rsidRPr="0052060E" w:rsidRDefault="00767B78" w:rsidP="0052060E">
      <w:pPr>
        <w:pStyle w:val="Datedadoption"/>
        <w:rPr>
          <w:noProof/>
        </w:rPr>
      </w:pPr>
      <w:r>
        <w:rPr>
          <w:noProof/>
        </w:rPr>
        <w:t>(8.12.2025),</w:t>
      </w:r>
    </w:p>
    <w:p w:rsidR="00430BC2" w:rsidRPr="0052060E" w:rsidRDefault="0052060E" w:rsidP="0052060E">
      <w:pPr>
        <w:pStyle w:val="Titreobjet"/>
        <w:rPr>
          <w:noProof/>
        </w:rPr>
      </w:pPr>
      <w:r w:rsidRPr="0052060E">
        <w:rPr>
          <w:noProof/>
        </w:rPr>
        <w:t>ar ko groza Īstenošanas regulā (ES) 2024/3117 noteiktos īstenošanas tehniskos standartus attiecībā uz iestāžu sniegtajiem uzraudzības pārskatiem par operacionālo risku</w:t>
      </w:r>
    </w:p>
    <w:p w:rsidR="00430BC2" w:rsidRPr="0052060E" w:rsidRDefault="0052060E" w:rsidP="0052060E">
      <w:pPr>
        <w:pStyle w:val="IntrtEEE"/>
        <w:rPr>
          <w:noProof/>
        </w:rPr>
      </w:pPr>
      <w:r w:rsidRPr="0052060E">
        <w:rPr>
          <w:noProof/>
        </w:rPr>
        <w:t>(Dokuments attiecas uz EEZ)</w:t>
      </w:r>
    </w:p>
    <w:p w:rsidR="00430BC2" w:rsidRPr="0052060E" w:rsidRDefault="00430BC2" w:rsidP="004E1EF9">
      <w:pPr>
        <w:pStyle w:val="Institutionquiagit"/>
        <w:rPr>
          <w:noProof/>
        </w:rPr>
      </w:pPr>
      <w:r w:rsidRPr="0052060E">
        <w:rPr>
          <w:noProof/>
        </w:rPr>
        <w:t>EIROPAS KOMISIJA,</w:t>
      </w:r>
    </w:p>
    <w:p w:rsidR="00430BC2" w:rsidRPr="0052060E" w:rsidRDefault="00430BC2" w:rsidP="004E1EF9">
      <w:pPr>
        <w:rPr>
          <w:noProof/>
        </w:rPr>
      </w:pPr>
      <w:r w:rsidRPr="0052060E">
        <w:rPr>
          <w:noProof/>
        </w:rPr>
        <w:t>ņemot vērā Eiropas Parlamenta un Padomes Regulu (ES) Nr. 575/2013 (2013. gada 26. jūnijs) par prudenciālajām prasībām attiecībā uz kredītiestādēm, un ar ko groza Regulu (ES) Nr. 648/2012</w:t>
      </w:r>
      <w:r w:rsidRPr="0052060E">
        <w:rPr>
          <w:rStyle w:val="FootnoteReference"/>
          <w:noProof/>
        </w:rPr>
        <w:footnoteReference w:id="1"/>
      </w:r>
      <w:r w:rsidRPr="0052060E">
        <w:rPr>
          <w:noProof/>
        </w:rPr>
        <w:t>, un jo īpaši tās 430. panta 7. punkta piekto daļu,</w:t>
      </w:r>
    </w:p>
    <w:p w:rsidR="00430BC2" w:rsidRPr="0052060E" w:rsidRDefault="00430BC2" w:rsidP="004E1EF9">
      <w:pPr>
        <w:rPr>
          <w:noProof/>
        </w:rPr>
      </w:pPr>
      <w:r w:rsidRPr="0052060E">
        <w:rPr>
          <w:noProof/>
        </w:rPr>
        <w:t>tā kā:</w:t>
      </w:r>
    </w:p>
    <w:p w:rsidR="00430BC2" w:rsidRPr="0052060E" w:rsidRDefault="005C69D1" w:rsidP="005C69D1">
      <w:pPr>
        <w:pStyle w:val="ManualConsidrant"/>
        <w:rPr>
          <w:noProof/>
        </w:rPr>
      </w:pPr>
      <w:r w:rsidRPr="005C69D1">
        <w:rPr>
          <w:noProof/>
        </w:rPr>
        <w:t>(1)</w:t>
      </w:r>
      <w:r w:rsidRPr="005C69D1">
        <w:rPr>
          <w:noProof/>
        </w:rPr>
        <w:tab/>
      </w:r>
      <w:r w:rsidR="00430BC2" w:rsidRPr="0052060E">
        <w:rPr>
          <w:noProof/>
        </w:rPr>
        <w:t>Regula (ES) Nr. 575/2013 tika grozīta ar Eiropas Parlamenta un Padomes Regulu (ES) 2024/1623</w:t>
      </w:r>
      <w:r w:rsidR="00430BC2" w:rsidRPr="0052060E">
        <w:rPr>
          <w:rStyle w:val="FootnoteReference"/>
          <w:noProof/>
        </w:rPr>
        <w:footnoteReference w:id="2"/>
      </w:r>
      <w:r w:rsidR="00430BC2" w:rsidRPr="0052060E">
        <w:rPr>
          <w:noProof/>
        </w:rPr>
        <w:t>, lai īstenotu Bāzeles Banku uzraudzības komitejas (Bāzele III) starptautisko standartu jaunāko kopumu. Saistībā ar minētajiem standartiem tika pieņemta Komisijas Īstenošanas regula (ES) 2024/3117</w:t>
      </w:r>
      <w:r w:rsidR="00430BC2" w:rsidRPr="0052060E">
        <w:rPr>
          <w:rStyle w:val="FootnoteReference"/>
          <w:noProof/>
        </w:rPr>
        <w:footnoteReference w:id="3"/>
      </w:r>
      <w:r w:rsidR="00430BC2" w:rsidRPr="0052060E">
        <w:rPr>
          <w:noProof/>
        </w:rPr>
        <w:t>, ar ko nosaka īstenošanas tehniskos standartus Regulas (ES) Nr. 575/2013 piemērošanai attiecībā uz iestāžu sniegtajiem uzraudzības pārskatiem.</w:t>
      </w:r>
    </w:p>
    <w:p w:rsidR="00430BC2" w:rsidRPr="0052060E" w:rsidRDefault="005C69D1" w:rsidP="005C69D1">
      <w:pPr>
        <w:pStyle w:val="ManualConsidrant"/>
        <w:rPr>
          <w:noProof/>
        </w:rPr>
      </w:pPr>
      <w:r w:rsidRPr="005C69D1">
        <w:rPr>
          <w:noProof/>
        </w:rPr>
        <w:t>(2)</w:t>
      </w:r>
      <w:r w:rsidRPr="005C69D1">
        <w:rPr>
          <w:noProof/>
        </w:rPr>
        <w:tab/>
      </w:r>
      <w:r w:rsidR="00430BC2" w:rsidRPr="0052060E">
        <w:rPr>
          <w:noProof/>
        </w:rPr>
        <w:t>Ņemot vērā izmaiņas prudenciālajā regulējumā attiecībā uz pašu kapitāla prasībām operacionālajam riskam, bija vajadzīgas jaunas pārskatu veidnes, lai nodrošinātu, ka iestādes sniedz pārskatus saskaņā ar spēkā esošo jauno regulējumu. Lai gan dažas no minētajām izmaiņām pārskatu veidnēs jau tika ieviestas ar Regulu (ES) 2024/3117, vairāku citu veidņu atjaunināšana bija iespējama tikai pēc operacionālā riska prasību turpmākas tehniskās izstrādes, jo īpaši attiecībā uz uzņēmējdarbības rādītāja sastāvdaļu precizēšanu, posteņiem, kas jāizslēdz no uzņēmējdarbības rādītāja, un to sasaistīšanu ar attiecīgajām pārskata šūnām.</w:t>
      </w:r>
    </w:p>
    <w:p w:rsidR="00430BC2" w:rsidRPr="0052060E" w:rsidRDefault="005C69D1" w:rsidP="005C69D1">
      <w:pPr>
        <w:pStyle w:val="ManualConsidrant"/>
        <w:rPr>
          <w:noProof/>
        </w:rPr>
      </w:pPr>
      <w:r w:rsidRPr="005C69D1">
        <w:rPr>
          <w:noProof/>
        </w:rPr>
        <w:t>(3)</w:t>
      </w:r>
      <w:r w:rsidRPr="005C69D1">
        <w:rPr>
          <w:noProof/>
        </w:rPr>
        <w:tab/>
      </w:r>
      <w:r w:rsidR="00430BC2" w:rsidRPr="0052060E">
        <w:rPr>
          <w:noProof/>
        </w:rPr>
        <w:t>Ar Komisijas Deleģēto regulu (ES) 2025/1496</w:t>
      </w:r>
      <w:r w:rsidR="00430BC2" w:rsidRPr="0052060E">
        <w:rPr>
          <w:rStyle w:val="FootnoteReference"/>
          <w:noProof/>
        </w:rPr>
        <w:footnoteReference w:id="4"/>
      </w:r>
      <w:r w:rsidR="00430BC2" w:rsidRPr="0052060E">
        <w:rPr>
          <w:noProof/>
        </w:rPr>
        <w:t xml:space="preserve"> līdz 2027. gada 1. janvārim tika atlikta jauno pašu kapitāla prasību attiecībā uz tirgus risku piemērošanas diena. Tāpēc pašreizējā pārskatu sniegšana par tirgus riska prasībām, ko piemēro līdz 2026. gada 31. decembrim, ir jāsaglabā bez izmaiņām. Tāpēc Regulas (ES) 2024/3117 pārejas noteikumi būtu jāpagarina un Komisijas Īstenošanas regulas (ES) 2021/451</w:t>
      </w:r>
      <w:r w:rsidR="00430BC2" w:rsidRPr="0052060E">
        <w:rPr>
          <w:rStyle w:val="FootnoteReference"/>
          <w:noProof/>
        </w:rPr>
        <w:footnoteReference w:id="5"/>
      </w:r>
      <w:r w:rsidR="00430BC2" w:rsidRPr="0052060E">
        <w:rPr>
          <w:noProof/>
        </w:rPr>
        <w:t xml:space="preserve"> attiecīgo noteikumu atcelšana būtu jāatliek uz vēl vienu gadu. </w:t>
      </w:r>
    </w:p>
    <w:p w:rsidR="00430BC2" w:rsidRPr="0052060E" w:rsidRDefault="005C69D1" w:rsidP="005C69D1">
      <w:pPr>
        <w:pStyle w:val="ManualConsidrant"/>
        <w:rPr>
          <w:noProof/>
        </w:rPr>
      </w:pPr>
      <w:r w:rsidRPr="005C69D1">
        <w:rPr>
          <w:noProof/>
        </w:rPr>
        <w:t>(4)</w:t>
      </w:r>
      <w:r w:rsidRPr="005C69D1">
        <w:rPr>
          <w:noProof/>
        </w:rPr>
        <w:tab/>
      </w:r>
      <w:r w:rsidR="00430BC2" w:rsidRPr="0052060E">
        <w:rPr>
          <w:noProof/>
        </w:rPr>
        <w:t>Tāpēc Īstenošanas regula (ES) 2024/3117 būtu attiecīgi jāgroza.</w:t>
      </w:r>
    </w:p>
    <w:p w:rsidR="00430BC2" w:rsidRPr="0052060E" w:rsidRDefault="005C69D1" w:rsidP="005C69D1">
      <w:pPr>
        <w:pStyle w:val="ManualConsidrant"/>
        <w:rPr>
          <w:noProof/>
        </w:rPr>
      </w:pPr>
      <w:r w:rsidRPr="005C69D1">
        <w:rPr>
          <w:noProof/>
        </w:rPr>
        <w:t>(5)</w:t>
      </w:r>
      <w:r w:rsidRPr="005C69D1">
        <w:rPr>
          <w:noProof/>
        </w:rPr>
        <w:tab/>
      </w:r>
      <w:r w:rsidR="00430BC2" w:rsidRPr="0052060E">
        <w:rPr>
          <w:noProof/>
        </w:rPr>
        <w:t>Šīs regulas pamatā ir īstenošanas tehnisko standartu projekts, ko Komisijai iesniegusi Eiropas Banku iestāde (EBI).</w:t>
      </w:r>
    </w:p>
    <w:p w:rsidR="00430BC2" w:rsidRPr="0052060E" w:rsidRDefault="005C69D1" w:rsidP="005C69D1">
      <w:pPr>
        <w:pStyle w:val="ManualConsidrant"/>
        <w:rPr>
          <w:noProof/>
        </w:rPr>
      </w:pPr>
      <w:r w:rsidRPr="005C69D1">
        <w:rPr>
          <w:noProof/>
        </w:rPr>
        <w:t>(6)</w:t>
      </w:r>
      <w:r w:rsidRPr="005C69D1">
        <w:rPr>
          <w:noProof/>
        </w:rPr>
        <w:tab/>
      </w:r>
      <w:r w:rsidR="00430BC2" w:rsidRPr="0052060E">
        <w:rPr>
          <w:noProof/>
        </w:rPr>
        <w:t>EBI ir īstenojusi atklātu sabiedrisko apspriešanu par īstenošanas tehnisko standartu projektu, kurš ir šīs regulas pamatā, analizējusi iespējamās saistītās izmaksas un ieguvumus un lūgusi konsultāciju Banku nozares ieinteresēto personu grupai, kas izveidota saskaņā ar Eiropas Parlamenta un Padomes Regulas (ES) Nr. 1093/2010</w:t>
      </w:r>
      <w:r w:rsidR="00430BC2" w:rsidRPr="0052060E">
        <w:rPr>
          <w:rStyle w:val="FootnoteReference"/>
          <w:noProof/>
        </w:rPr>
        <w:footnoteReference w:id="6"/>
      </w:r>
      <w:r w:rsidR="00430BC2" w:rsidRPr="0052060E">
        <w:rPr>
          <w:noProof/>
        </w:rPr>
        <w:t xml:space="preserve"> 37. pantu,</w:t>
      </w:r>
    </w:p>
    <w:p w:rsidR="00430BC2" w:rsidRPr="0052060E" w:rsidRDefault="00430BC2" w:rsidP="004E1EF9">
      <w:pPr>
        <w:pStyle w:val="Formuledadoption"/>
        <w:rPr>
          <w:noProof/>
        </w:rPr>
      </w:pPr>
      <w:r w:rsidRPr="0052060E">
        <w:rPr>
          <w:noProof/>
        </w:rPr>
        <w:t>IR PIEŅĒMUSI ŠO REGULU.</w:t>
      </w:r>
    </w:p>
    <w:p w:rsidR="00430BC2" w:rsidRPr="0052060E" w:rsidRDefault="00430BC2" w:rsidP="004E1EF9">
      <w:pPr>
        <w:pStyle w:val="Titrearticle"/>
        <w:rPr>
          <w:noProof/>
        </w:rPr>
      </w:pPr>
      <w:r w:rsidRPr="0052060E">
        <w:rPr>
          <w:noProof/>
        </w:rPr>
        <w:t>1. pants</w:t>
      </w:r>
    </w:p>
    <w:p w:rsidR="00430BC2" w:rsidRPr="0052060E" w:rsidRDefault="00430BC2" w:rsidP="00430BC2">
      <w:pPr>
        <w:rPr>
          <w:noProof/>
        </w:rPr>
      </w:pPr>
      <w:bookmarkStart w:id="4" w:name="_Hlk198544571"/>
      <w:r w:rsidRPr="0052060E">
        <w:rPr>
          <w:noProof/>
        </w:rPr>
        <w:t>Īstenošanas regulu (ES) 2024/3117</w:t>
      </w:r>
      <w:bookmarkEnd w:id="4"/>
      <w:r w:rsidRPr="0052060E">
        <w:rPr>
          <w:noProof/>
        </w:rPr>
        <w:t xml:space="preserve"> groza šādi: </w:t>
      </w:r>
    </w:p>
    <w:p w:rsidR="00430BC2" w:rsidRPr="0052060E" w:rsidRDefault="005C69D1" w:rsidP="005C69D1">
      <w:pPr>
        <w:pStyle w:val="Point0"/>
        <w:rPr>
          <w:noProof/>
        </w:rPr>
      </w:pPr>
      <w:r w:rsidRPr="005C69D1">
        <w:rPr>
          <w:noProof/>
        </w:rPr>
        <w:t>(1)</w:t>
      </w:r>
      <w:r w:rsidRPr="005C69D1">
        <w:rPr>
          <w:noProof/>
        </w:rPr>
        <w:tab/>
      </w:r>
      <w:r w:rsidR="00430BC2" w:rsidRPr="0052060E">
        <w:rPr>
          <w:noProof/>
        </w:rPr>
        <w:t>regulas 5. panta 4. punktu aizstāj ar šādu:</w:t>
      </w:r>
    </w:p>
    <w:p w:rsidR="00430BC2" w:rsidRPr="0052060E" w:rsidRDefault="00430BC2" w:rsidP="00430BC2">
      <w:pPr>
        <w:pStyle w:val="QuotedNumPar"/>
        <w:rPr>
          <w:noProof/>
        </w:rPr>
      </w:pPr>
      <w:r w:rsidRPr="0052060E">
        <w:rPr>
          <w:noProof/>
        </w:rPr>
        <w:t>“4. Lai aprēķinātu pašu kapitāla prasības, kas minētas Regulas (ES) Nr. 575/2013 92. panta 4. punkta b) apakšpunkta i) punktā un c) apakšpunktā un 92. panta 5. punkta b) un c) apakšpunktā, iestādes līdz 2026. gada 31. decembrim iesniedz informāciju par pašu kapitāla prasībām attiecībā uz tirgus risku saskaņā ar Īstenošanas regulas (ES) 2021/451 5. panta 12. punktu.”;</w:t>
      </w:r>
    </w:p>
    <w:p w:rsidR="00430BC2" w:rsidRPr="0052060E" w:rsidRDefault="005C69D1" w:rsidP="005C69D1">
      <w:pPr>
        <w:pStyle w:val="Point0"/>
        <w:rPr>
          <w:noProof/>
        </w:rPr>
      </w:pPr>
      <w:r w:rsidRPr="005C69D1">
        <w:rPr>
          <w:noProof/>
        </w:rPr>
        <w:t>(2)</w:t>
      </w:r>
      <w:r w:rsidRPr="005C69D1">
        <w:rPr>
          <w:noProof/>
        </w:rPr>
        <w:tab/>
      </w:r>
      <w:r w:rsidR="00430BC2" w:rsidRPr="0052060E">
        <w:rPr>
          <w:noProof/>
        </w:rPr>
        <w:t>regulas 7. pantu papildina ar šādu c) punktu:</w:t>
      </w:r>
    </w:p>
    <w:p w:rsidR="00430BC2" w:rsidRPr="0052060E" w:rsidRDefault="00430BC2" w:rsidP="00430BC2">
      <w:pPr>
        <w:pStyle w:val="QuotedNumPar"/>
        <w:rPr>
          <w:noProof/>
        </w:rPr>
      </w:pPr>
      <w:r w:rsidRPr="0052060E">
        <w:rPr>
          <w:noProof/>
        </w:rPr>
        <w:t>“c)</w:t>
      </w:r>
      <w:r w:rsidRPr="0052060E">
        <w:rPr>
          <w:noProof/>
        </w:rPr>
        <w:tab/>
        <w:t>ES mātes iestādes I pielikuma C 16.04. veidnē prasīto informāciju, kas attiecas uz informāciju par meitasuzņēmumiem, kuriem piemēro Regulas (ES) Nr. 575/2013 314. panta 3. punktā paredzēto atkāpi, sniedz reizi ceturksnī.”;</w:t>
      </w:r>
    </w:p>
    <w:p w:rsidR="00430BC2" w:rsidRPr="0052060E" w:rsidRDefault="005C69D1" w:rsidP="005C69D1">
      <w:pPr>
        <w:pStyle w:val="Point0"/>
        <w:rPr>
          <w:noProof/>
        </w:rPr>
      </w:pPr>
      <w:r w:rsidRPr="005C69D1">
        <w:rPr>
          <w:noProof/>
        </w:rPr>
        <w:t>(3)</w:t>
      </w:r>
      <w:r w:rsidRPr="005C69D1">
        <w:rPr>
          <w:noProof/>
        </w:rPr>
        <w:tab/>
      </w:r>
      <w:r w:rsidR="00430BC2" w:rsidRPr="0052060E">
        <w:rPr>
          <w:noProof/>
        </w:rPr>
        <w:t>regulas 25. panta 1. un 2. punktu aizstāj ar šādu tekstu:</w:t>
      </w:r>
    </w:p>
    <w:p w:rsidR="00430BC2" w:rsidRPr="0052060E" w:rsidRDefault="00430BC2" w:rsidP="00430BC2">
      <w:pPr>
        <w:pStyle w:val="QuotedNumPar"/>
        <w:rPr>
          <w:noProof/>
        </w:rPr>
      </w:pPr>
      <w:r w:rsidRPr="0052060E">
        <w:rPr>
          <w:noProof/>
        </w:rPr>
        <w:t>“1. Īstenošanas regulu (ES) 2021/451 beidz piemērot no 2025. gada 1. janvāra, izņemot 5. panta 12. punktu un I pielikumu, 18.–24. veidni un II pielikuma II daļas 5.1.–5.7. punktu. Īstenošanas regulas (ES) 2021/451 15. pantu turpina piemērot līdz 2026. gada 31. decembrim tikai šīs regulas 5. panta 4. punkta nolūkos.</w:t>
      </w:r>
    </w:p>
    <w:p w:rsidR="00430BC2" w:rsidRPr="0052060E" w:rsidRDefault="00430BC2" w:rsidP="00430BC2">
      <w:pPr>
        <w:pStyle w:val="QuotedNumPar"/>
        <w:rPr>
          <w:noProof/>
        </w:rPr>
      </w:pPr>
      <w:r w:rsidRPr="0052060E">
        <w:rPr>
          <w:noProof/>
        </w:rPr>
        <w:t>2. Īstenošanas regulu (ES) 2021/451 atceļ no 2026. gada 31. decembra.”;</w:t>
      </w:r>
    </w:p>
    <w:p w:rsidR="00430BC2" w:rsidRPr="0052060E" w:rsidRDefault="005C69D1" w:rsidP="005C69D1">
      <w:pPr>
        <w:pStyle w:val="Point0"/>
        <w:rPr>
          <w:noProof/>
        </w:rPr>
      </w:pPr>
      <w:r w:rsidRPr="005C69D1">
        <w:rPr>
          <w:noProof/>
        </w:rPr>
        <w:t>(4)</w:t>
      </w:r>
      <w:r w:rsidRPr="005C69D1">
        <w:rPr>
          <w:noProof/>
        </w:rPr>
        <w:tab/>
      </w:r>
      <w:r w:rsidR="00430BC2" w:rsidRPr="0052060E">
        <w:rPr>
          <w:noProof/>
        </w:rPr>
        <w:t xml:space="preserve">regulas I pielikuma 1. iedaļu “Pārskatu sniegšana par pašu kapitālu un pašu kapitāla prasībām” groza šādi: </w:t>
      </w:r>
    </w:p>
    <w:p w:rsidR="00430BC2" w:rsidRPr="0052060E" w:rsidRDefault="005C69D1" w:rsidP="005C69D1">
      <w:pPr>
        <w:pStyle w:val="Point1"/>
        <w:rPr>
          <w:noProof/>
        </w:rPr>
      </w:pPr>
      <w:r w:rsidRPr="005C69D1">
        <w:rPr>
          <w:noProof/>
        </w:rPr>
        <w:t>(a)</w:t>
      </w:r>
      <w:r w:rsidRPr="005C69D1">
        <w:rPr>
          <w:noProof/>
        </w:rPr>
        <w:tab/>
      </w:r>
      <w:r w:rsidR="00430BC2" w:rsidRPr="0052060E">
        <w:rPr>
          <w:noProof/>
        </w:rPr>
        <w:t>veidni “C 16.01 — OPERACIONĀLAIS RISKS — PAŠU kapitāla prasības (OPR OF)” aizstāj ar šīs regulas pielikumā iekļauto veidni “C 16.01 — OPERACIONĀLAIS RISKS — PAŠU kapitāla prasības (OPR OF)”;</w:t>
      </w:r>
    </w:p>
    <w:p w:rsidR="00430BC2" w:rsidRPr="0052060E" w:rsidRDefault="005C69D1" w:rsidP="005C69D1">
      <w:pPr>
        <w:pStyle w:val="Point1"/>
        <w:rPr>
          <w:noProof/>
        </w:rPr>
      </w:pPr>
      <w:r w:rsidRPr="005C69D1">
        <w:rPr>
          <w:noProof/>
        </w:rPr>
        <w:t>(b)</w:t>
      </w:r>
      <w:r w:rsidRPr="005C69D1">
        <w:rPr>
          <w:noProof/>
        </w:rPr>
        <w:tab/>
      </w:r>
      <w:r w:rsidR="00430BC2" w:rsidRPr="0052060E">
        <w:rPr>
          <w:noProof/>
        </w:rPr>
        <w:t>šīs regulas pielikumā iekļauto veidni “C 16.02 — OPERACIONĀLAIS RISKS — Uzņēmējdarbības rādītāja sastāvdaļa (OPR BIC)”, veidni “C 16.03 — OPERACIONĀLĀ RISKA SADALĪJUMS (OPR BD) — Zaudējumi, izdevumi, uzkrājumi un cita finansiālā ietekme, kas izriet no operacionālā riska notikumiem” un veidni “C 16.04 — OPERĀCIONĀLAIS RISKS — Informācija par meitasuzņēmumiem, uz kuriem attiecas KPR 314. panta 3. punkts” pievieno pēc veidnes “C 16.01 — OPERĀCIONĀLAIS RISKS — PAŠU kapitāla prasības (OPR OF)”.</w:t>
      </w:r>
    </w:p>
    <w:p w:rsidR="00430BC2" w:rsidRPr="0052060E" w:rsidRDefault="00430BC2" w:rsidP="004E1EF9">
      <w:pPr>
        <w:pStyle w:val="Titrearticle"/>
        <w:rPr>
          <w:noProof/>
        </w:rPr>
      </w:pPr>
      <w:r w:rsidRPr="0052060E">
        <w:rPr>
          <w:noProof/>
        </w:rPr>
        <w:t>2. pants</w:t>
      </w:r>
    </w:p>
    <w:p w:rsidR="00430BC2" w:rsidRPr="0052060E" w:rsidRDefault="00430BC2" w:rsidP="004E1EF9">
      <w:pPr>
        <w:rPr>
          <w:noProof/>
        </w:rPr>
      </w:pPr>
      <w:r w:rsidRPr="0052060E">
        <w:rPr>
          <w:noProof/>
        </w:rPr>
        <w:t>Šī regula stājas spēkā divdesmitajā dienā pēc tās publicēšanas</w:t>
      </w:r>
      <w:r w:rsidRPr="0052060E">
        <w:rPr>
          <w:i/>
          <w:noProof/>
        </w:rPr>
        <w:t xml:space="preserve"> Eiropas Savienības Oficiālajā Vēstnesī</w:t>
      </w:r>
      <w:r w:rsidRPr="0052060E">
        <w:rPr>
          <w:noProof/>
        </w:rPr>
        <w:t>.</w:t>
      </w:r>
    </w:p>
    <w:p w:rsidR="00430BC2" w:rsidRPr="0052060E" w:rsidRDefault="00430BC2" w:rsidP="004E1EF9">
      <w:pPr>
        <w:pStyle w:val="Applicationdirecte"/>
        <w:rPr>
          <w:noProof/>
        </w:rPr>
      </w:pPr>
      <w:r w:rsidRPr="0052060E">
        <w:rPr>
          <w:noProof/>
        </w:rPr>
        <w:t>Šī regula uzliek saistības kopumā un ir tieši piemērojama visās dalībvalstīs.</w:t>
      </w:r>
    </w:p>
    <w:p w:rsidR="00430BC2" w:rsidRPr="0052060E" w:rsidRDefault="00767B78" w:rsidP="0032659E">
      <w:pPr>
        <w:pStyle w:val="Fait"/>
        <w:rPr>
          <w:noProof/>
        </w:rPr>
      </w:pPr>
      <w:r>
        <w:rPr>
          <w:noProof/>
        </w:rPr>
        <w:t>Briselē, 8.12.2025</w:t>
      </w:r>
    </w:p>
    <w:p w:rsidR="00430BC2" w:rsidRPr="0052060E" w:rsidRDefault="00430BC2" w:rsidP="0032659E">
      <w:pPr>
        <w:pStyle w:val="Institutionquisigne"/>
        <w:rPr>
          <w:noProof/>
        </w:rPr>
      </w:pPr>
      <w:r w:rsidRPr="0052060E">
        <w:rPr>
          <w:noProof/>
        </w:rPr>
        <w:tab/>
        <w:t>Komisijas vārdā –</w:t>
      </w:r>
    </w:p>
    <w:p w:rsidR="00CE1BA2" w:rsidRPr="0052060E" w:rsidRDefault="00DF433A" w:rsidP="0032659E">
      <w:pPr>
        <w:pStyle w:val="Personnequisigne"/>
        <w:keepNext/>
        <w:rPr>
          <w:noProof/>
        </w:rPr>
      </w:pPr>
      <w:r>
        <w:rPr>
          <w:noProof/>
        </w:rPr>
        <w:tab/>
        <w:t>priekšsēdētāja</w:t>
      </w:r>
      <w:r>
        <w:rPr>
          <w:noProof/>
        </w:rPr>
        <w:br/>
      </w:r>
      <w:r>
        <w:rPr>
          <w:noProof/>
        </w:rPr>
        <w:tab/>
        <w:t>Ursula VON DER LEYEN</w:t>
      </w:r>
    </w:p>
    <w:p w:rsidR="00430BC2" w:rsidRPr="0052060E" w:rsidRDefault="00430BC2" w:rsidP="00430BC2">
      <w:pPr>
        <w:pStyle w:val="Personnequisigne"/>
        <w:rPr>
          <w:noProof/>
        </w:rPr>
      </w:pPr>
    </w:p>
    <w:sectPr w:rsidR="00430BC2" w:rsidRPr="0052060E" w:rsidSect="005258F1">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F1" w:rsidRPr="005258F1" w:rsidRDefault="005258F1" w:rsidP="005258F1">
    <w:pPr>
      <w:pStyle w:val="Footer"/>
      <w:rPr>
        <w:rFonts w:ascii="Arial" w:hAnsi="Arial" w:cs="Arial"/>
        <w:b/>
        <w:sz w:val="48"/>
      </w:rPr>
    </w:pPr>
    <w:r w:rsidRPr="005258F1">
      <w:rPr>
        <w:rFonts w:ascii="Arial" w:hAnsi="Arial" w:cs="Arial"/>
        <w:b/>
        <w:sz w:val="48"/>
      </w:rPr>
      <w:t>LV</w:t>
    </w:r>
    <w:r w:rsidRPr="005258F1">
      <w:rPr>
        <w:rFonts w:ascii="Arial" w:hAnsi="Arial" w:cs="Arial"/>
        <w:b/>
        <w:sz w:val="48"/>
      </w:rPr>
      <w:tab/>
    </w:r>
    <w:r w:rsidRPr="005258F1">
      <w:rPr>
        <w:rFonts w:ascii="Arial" w:hAnsi="Arial" w:cs="Arial"/>
        <w:b/>
        <w:sz w:val="48"/>
      </w:rPr>
      <w:tab/>
    </w:r>
    <w:r w:rsidRPr="005258F1">
      <w:tab/>
    </w:r>
    <w:r w:rsidRPr="005258F1">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F1" w:rsidRPr="005258F1" w:rsidRDefault="005258F1" w:rsidP="005258F1">
    <w:pPr>
      <w:pStyle w:val="Footer"/>
      <w:rPr>
        <w:rFonts w:ascii="Arial" w:hAnsi="Arial" w:cs="Arial"/>
        <w:b/>
        <w:sz w:val="48"/>
      </w:rPr>
    </w:pPr>
    <w:r w:rsidRPr="005258F1">
      <w:rPr>
        <w:rFonts w:ascii="Arial" w:hAnsi="Arial" w:cs="Arial"/>
        <w:b/>
        <w:sz w:val="48"/>
      </w:rPr>
      <w:t>LV</w:t>
    </w:r>
    <w:r w:rsidRPr="005258F1">
      <w:rPr>
        <w:rFonts w:ascii="Arial" w:hAnsi="Arial" w:cs="Arial"/>
        <w:b/>
        <w:sz w:val="48"/>
      </w:rPr>
      <w:tab/>
    </w:r>
    <w:r w:rsidRPr="005258F1">
      <w:rPr>
        <w:rFonts w:ascii="Arial" w:hAnsi="Arial" w:cs="Arial"/>
        <w:b/>
        <w:sz w:val="48"/>
      </w:rPr>
      <w:tab/>
    </w:r>
    <w:r w:rsidRPr="005258F1">
      <w:tab/>
    </w:r>
    <w:r w:rsidRPr="005258F1">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F1" w:rsidRDefault="005258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F1" w:rsidRPr="005258F1" w:rsidRDefault="005258F1" w:rsidP="005258F1">
    <w:pPr>
      <w:pStyle w:val="Footer"/>
      <w:rPr>
        <w:rFonts w:ascii="Arial" w:hAnsi="Arial" w:cs="Arial"/>
        <w:b/>
        <w:sz w:val="48"/>
      </w:rPr>
    </w:pPr>
    <w:r w:rsidRPr="005258F1">
      <w:rPr>
        <w:rFonts w:ascii="Arial" w:hAnsi="Arial" w:cs="Arial"/>
        <w:b/>
        <w:sz w:val="48"/>
      </w:rPr>
      <w:t>LV</w:t>
    </w:r>
    <w:r w:rsidRPr="005258F1">
      <w:rPr>
        <w:rFonts w:ascii="Arial" w:hAnsi="Arial" w:cs="Arial"/>
        <w:b/>
        <w:sz w:val="48"/>
      </w:rPr>
      <w:tab/>
    </w:r>
    <w:r>
      <w:fldChar w:fldCharType="begin"/>
    </w:r>
    <w:r>
      <w:instrText xml:space="preserve"> PAGE  \* MERGEFORMAT </w:instrText>
    </w:r>
    <w:r>
      <w:fldChar w:fldCharType="separate"/>
    </w:r>
    <w:r w:rsidR="0032659E">
      <w:rPr>
        <w:noProof/>
      </w:rPr>
      <w:t>3</w:t>
    </w:r>
    <w:r>
      <w:fldChar w:fldCharType="end"/>
    </w:r>
    <w:r>
      <w:tab/>
    </w:r>
    <w:r w:rsidRPr="005258F1">
      <w:tab/>
    </w:r>
    <w:r w:rsidRPr="005258F1">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F1" w:rsidRDefault="005258F1" w:rsidP="00525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pPr>
      <w:r>
        <w:rPr>
          <w:rStyle w:val="FootnoteReference"/>
        </w:rPr>
        <w:footnoteRef/>
      </w:r>
      <w:r>
        <w:tab/>
        <w:t>OV L 176, 27.6.2013., 1. lpp., ELI: http://data.europa.eu/eli/reg/2013/575/oj.</w:t>
      </w:r>
    </w:p>
  </w:footnote>
  <w:footnote w:id="2">
    <w:p w:rsidR="00430BC2" w:rsidRPr="006510B1" w:rsidRDefault="00430BC2" w:rsidP="00430BC2">
      <w:pPr>
        <w:pStyle w:val="FootnoteText"/>
        <w:rPr>
          <w:rFonts w:eastAsiaTheme="minorEastAsia"/>
        </w:rPr>
      </w:pPr>
      <w:r>
        <w:rPr>
          <w:rStyle w:val="FootnoteReference"/>
        </w:rPr>
        <w:footnoteRef/>
      </w:r>
      <w:r>
        <w:tab/>
        <w:t xml:space="preserve">Eiropas Parlamenta un Padomes Regula (ES) 2024/1623 (2024. gada 31. maijs), ar ko Regulu (ES) Nr. 575/2013 groza attiecībā uz prasībām kredītriskam, kredīta vērtības korekcijas riskam, operacionālajam riskam, tirgus riskam un riska darījumu vērtības minimālajai robežvērtībai (OV L, 19.6.2024., 1. lpp., ELI: </w:t>
      </w:r>
      <w:bookmarkStart w:id="1" w:name="_Hlk198544494"/>
      <w:r>
        <w:t>http://data.europa.eu/eli/reg/2024/1623/oj</w:t>
      </w:r>
      <w:bookmarkEnd w:id="1"/>
      <w:r>
        <w:t>).</w:t>
      </w:r>
    </w:p>
  </w:footnote>
  <w:footnote w:id="3">
    <w:p w:rsidR="00430BC2" w:rsidRPr="006510B1" w:rsidRDefault="00430BC2" w:rsidP="00430BC2">
      <w:pPr>
        <w:pStyle w:val="FootnoteText"/>
      </w:pPr>
      <w:r>
        <w:rPr>
          <w:rStyle w:val="FootnoteReference"/>
        </w:rPr>
        <w:footnoteRef/>
      </w:r>
      <w:r>
        <w:tab/>
        <w:t>Komisijas Īstenošanas regula (ES) 2024/3117 (2024. gada 29. novembris), ar ko nosaka īstenošanas tehniskos standartus Eiropas Parlamenta un Padomes Regulas (ES) Nr. 575/2013 piemērošanai attiecībā uz iestāžu sniegtajiem uzraudzības pārskatiem un atceļ Komisijas Īstenošanas regulu (ES) 2021/451 (OV L, 2024/3117, 27.12.2024., 1. lpp., ELI: </w:t>
      </w:r>
      <w:bookmarkStart w:id="2" w:name="_Hlk198544532"/>
      <w:r>
        <w:fldChar w:fldCharType="begin"/>
      </w:r>
      <w:r>
        <w:instrText>HYPERLINK "http://data.europa.eu/eli/reg_impl/2024/3117/oj" \t "_blank" \o "Dokuments šeit piekļūstams ar ELI URI saiti."</w:instrText>
      </w:r>
      <w:r>
        <w:fldChar w:fldCharType="separate"/>
      </w:r>
      <w:r>
        <w:t>http://data.europa.eu/eli/reg_impl/2024/3117/oj</w:t>
      </w:r>
      <w:r>
        <w:fldChar w:fldCharType="end"/>
      </w:r>
      <w:bookmarkEnd w:id="2"/>
      <w:r>
        <w:t>).</w:t>
      </w:r>
    </w:p>
  </w:footnote>
  <w:footnote w:id="4">
    <w:p w:rsidR="00430BC2" w:rsidRPr="0029202E" w:rsidRDefault="00430BC2" w:rsidP="00430BC2">
      <w:pPr>
        <w:pStyle w:val="FootnoteText"/>
      </w:pPr>
      <w:r>
        <w:rPr>
          <w:rStyle w:val="FootnoteReference"/>
        </w:rPr>
        <w:footnoteRef/>
      </w:r>
      <w:r>
        <w:tab/>
        <w:t>Komisijas Deleģētā regula (ES) 2025/1496 (2025. gada 12. jūnijs), ar ko attiecībā uz datumu, kurā sāk piemērot pašu kapitāla prasības attiecībā uz tirgus risku, groza Eiropas Parlamenta un Padomes Regulu (ES) Nr. 575/2013 (OV L, 2025/1496, 19.9.2025., ELI: http://data.europa.eu/eli/reg_del/2025/1496/oj).</w:t>
      </w:r>
    </w:p>
  </w:footnote>
  <w:footnote w:id="5">
    <w:p w:rsidR="00430BC2" w:rsidRDefault="00430BC2" w:rsidP="00430BC2">
      <w:pPr>
        <w:pStyle w:val="FootnoteText"/>
      </w:pPr>
      <w:r>
        <w:rPr>
          <w:rStyle w:val="FootnoteReference"/>
        </w:rPr>
        <w:footnoteRef/>
      </w:r>
      <w:r>
        <w:tab/>
        <w:t xml:space="preserve">Komisijas Īstenošanas regula (ES) 2021/451 (2020. gada 17. decembris), ar ko nosaka īstenošanas tehniskos standartus Eiropas Parlamenta un Padomes Regulas (ES) Nr. 575/2013 piemērošanai attiecībā uz iestāžu sniegtajiem uzraudzības pārskatiem un atceļ Īstenošanas regulu (ES) Nr. 680/2014 (OV L 97, 19.3.2021., 1. lpp., ELI: </w:t>
      </w:r>
      <w:hyperlink r:id="rId1" w:history="1">
        <w:r>
          <w:rPr>
            <w:rStyle w:val="Hyperlink"/>
          </w:rPr>
          <w:t>http://data.europa.eu/eli/reg_impl/2021/451/oj</w:t>
        </w:r>
      </w:hyperlink>
      <w:r>
        <w:t>).</w:t>
      </w:r>
    </w:p>
  </w:footnote>
  <w:footnote w:id="6">
    <w:p w:rsidR="00430BC2" w:rsidRPr="006510B1" w:rsidRDefault="00430BC2" w:rsidP="00430BC2">
      <w:pPr>
        <w:pStyle w:val="FootnoteText"/>
      </w:pPr>
      <w:r>
        <w:rPr>
          <w:rStyle w:val="FootnoteReference"/>
        </w:rPr>
        <w:footnoteRef/>
      </w:r>
      <w:r>
        <w:tab/>
      </w:r>
      <w:bookmarkStart w:id="3" w:name="_Hlk198544390"/>
      <w:r>
        <w:t>Eiropas Parlamenta un Padomes Regula (ES) Nr. 1093/2010 (2010. gada 24. novembris), ar ko izveido Eiropas Uzraudzības iestādi</w:t>
      </w:r>
      <w:bookmarkEnd w:id="3"/>
      <w:r>
        <w:t xml:space="preserve"> (Eiropas Banku iestādi), groza Lēmumu Nr. 716/2009/EK un atceļ Komisijas Lēmumu 2009/78/EK (OV L 331, 15.12.2010., 12. lpp.,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F1" w:rsidRDefault="00525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F1" w:rsidRDefault="0052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916708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E5087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F06163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3122C8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19"/>
  </w:num>
  <w:num w:numId="8">
    <w:abstractNumId w:val="12"/>
  </w:num>
  <w:num w:numId="9">
    <w:abstractNumId w:val="21"/>
  </w:num>
  <w:num w:numId="10">
    <w:abstractNumId w:val="11"/>
  </w:num>
  <w:num w:numId="11">
    <w:abstractNumId w:val="13"/>
  </w:num>
  <w:num w:numId="12">
    <w:abstractNumId w:val="14"/>
  </w:num>
  <w:num w:numId="13">
    <w:abstractNumId w:val="9"/>
  </w:num>
  <w:num w:numId="14">
    <w:abstractNumId w:val="20"/>
  </w:num>
  <w:num w:numId="15">
    <w:abstractNumId w:val="8"/>
  </w:num>
  <w:num w:numId="16">
    <w:abstractNumId w:val="15"/>
  </w:num>
  <w:num w:numId="17">
    <w:abstractNumId w:val="17"/>
  </w:num>
  <w:num w:numId="18">
    <w:abstractNumId w:val="18"/>
  </w:num>
  <w:num w:numId="19">
    <w:abstractNumId w:val="10"/>
  </w:num>
  <w:num w:numId="20">
    <w:abstractNumId w:val="16"/>
  </w:num>
  <w:num w:numId="21">
    <w:abstractNumId w:val="22"/>
  </w:num>
  <w:num w:numId="22">
    <w:abstractNumId w:val="19"/>
  </w:num>
  <w:num w:numId="23">
    <w:abstractNumId w:val="12"/>
  </w:num>
  <w:num w:numId="24">
    <w:abstractNumId w:val="21"/>
  </w:num>
  <w:num w:numId="25">
    <w:abstractNumId w:val="11"/>
  </w:num>
  <w:num w:numId="26">
    <w:abstractNumId w:val="13"/>
  </w:num>
  <w:num w:numId="27">
    <w:abstractNumId w:val="14"/>
  </w:num>
  <w:num w:numId="28">
    <w:abstractNumId w:val="9"/>
  </w:num>
  <w:num w:numId="29">
    <w:abstractNumId w:val="20"/>
  </w:num>
  <w:num w:numId="30">
    <w:abstractNumId w:val="8"/>
  </w:num>
  <w:num w:numId="31">
    <w:abstractNumId w:val="15"/>
  </w:num>
  <w:num w:numId="32">
    <w:abstractNumId w:val="17"/>
  </w:num>
  <w:num w:numId="33">
    <w:abstractNumId w:val="18"/>
  </w:num>
  <w:num w:numId="34">
    <w:abstractNumId w:val="10"/>
  </w:num>
  <w:num w:numId="35">
    <w:abstractNumId w:val="16"/>
  </w:num>
  <w:num w:numId="36">
    <w:abstractNumId w:val="22"/>
  </w:num>
  <w:num w:numId="37">
    <w:abstractNumId w:val="6"/>
  </w:num>
  <w:num w:numId="38">
    <w:abstractNumId w:val="2"/>
  </w:num>
  <w:num w:numId="39">
    <w:abstractNumId w:val="1"/>
  </w:num>
  <w:num w:numId="4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9: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754625A-254A-4F96-85D1-7D36FC15292B"/>
    <w:docVar w:name="LW_COVERPAGE_TYPE" w:val="1"/>
    <w:docVar w:name="LW_CreatedUtc" w:val="2025-10-08T14:24:25.1973363Z"/>
    <w:docVar w:name="LW_CROSSREFERENCE" w:val="&lt;UNUSED&gt;"/>
    <w:docVar w:name="LW_DATE.ADOPT.CP" w:val="(8.12.2025),"/>
    <w:docVar w:name="LW_DATE.ADOPT.CP_DATEFORMAT" w:val="(%DATE%),"/>
    <w:docVar w:name="LW_DATE.ADOPT.CP_ISODATE" w:val="2025-12-08"/>
    <w:docVar w:name="LW_DocType" w:val="COM"/>
    <w:docVar w:name="LW_EMISSION" w:val="8.12.2025"/>
    <w:docVar w:name="LW_EMISSION_ISODATE" w:val="2025-12-08"/>
    <w:docVar w:name="LW_EMISSION_LOCATION" w:val="BRX"/>
    <w:docVar w:name="LW_EMISSION_PREFIX" w:val="Brisel\u275?, "/>
    <w:docVar w:name="LW_EMISSION_SUFFIX" w:val="."/>
    <w:docVar w:name="LW_ID_DOCMODEL" w:val="SJ-004"/>
    <w:docVar w:name="LW_ID_DOCSIGNATURE" w:val="SJ-004"/>
    <w:docVar w:name="LW_ID_DOCSTRUCTURE" w:val="COM/AA"/>
    <w:docVar w:name="LW_ID_DOCTYPE" w:val="SJ-004"/>
    <w:docVar w:name="LW_INTERETEEE.CP" w:val="(Dokuments attiecas uz EEZ)"/>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groza \u298?steno\u353?anas regul\u257? (ES) 2024/3117 noteiktos \u299?steno\u353?anas tehniskos standartus attiec\u299?b\u257? uz iest\u257?\u382?u sniegtajiem uzraudz\u299?bas p\u257?rskatiem par operacion\u257?lo risku"/>
    <w:docVar w:name="LW_TYPE.DOC.CP" w:val="KOMISIJAS \u298?STENO\u352?ANAS REGULA (ES) \u8230?/.."/>
    <w:docVar w:name="LwApiVersions" w:val="LW4CoDe 1.24.5.0; LW 9.2, Build 20251112"/>
  </w:docVars>
  <w:rsids>
    <w:rsidRoot w:val="00430BC2"/>
    <w:rsid w:val="00017C96"/>
    <w:rsid w:val="0004435A"/>
    <w:rsid w:val="00050CA3"/>
    <w:rsid w:val="001065F5"/>
    <w:rsid w:val="001238EF"/>
    <w:rsid w:val="00133705"/>
    <w:rsid w:val="00151C13"/>
    <w:rsid w:val="00197613"/>
    <w:rsid w:val="001A5EF3"/>
    <w:rsid w:val="00233DC7"/>
    <w:rsid w:val="00247779"/>
    <w:rsid w:val="00285BEE"/>
    <w:rsid w:val="0029533F"/>
    <w:rsid w:val="002B30AF"/>
    <w:rsid w:val="002C5B2C"/>
    <w:rsid w:val="002E5318"/>
    <w:rsid w:val="003074E6"/>
    <w:rsid w:val="00324A43"/>
    <w:rsid w:val="0032659E"/>
    <w:rsid w:val="0033344A"/>
    <w:rsid w:val="0035370B"/>
    <w:rsid w:val="0038150A"/>
    <w:rsid w:val="003D5E4F"/>
    <w:rsid w:val="0042648E"/>
    <w:rsid w:val="00430BC2"/>
    <w:rsid w:val="004404AB"/>
    <w:rsid w:val="00445072"/>
    <w:rsid w:val="00487D9D"/>
    <w:rsid w:val="004936D2"/>
    <w:rsid w:val="005152A4"/>
    <w:rsid w:val="0052060E"/>
    <w:rsid w:val="005258F1"/>
    <w:rsid w:val="005470A5"/>
    <w:rsid w:val="0055312E"/>
    <w:rsid w:val="00561998"/>
    <w:rsid w:val="00562257"/>
    <w:rsid w:val="00590674"/>
    <w:rsid w:val="005B1EB6"/>
    <w:rsid w:val="005C69D1"/>
    <w:rsid w:val="006A3A74"/>
    <w:rsid w:val="006D1B91"/>
    <w:rsid w:val="006F3E02"/>
    <w:rsid w:val="0076425B"/>
    <w:rsid w:val="00767B78"/>
    <w:rsid w:val="00773331"/>
    <w:rsid w:val="007932EF"/>
    <w:rsid w:val="007E05B0"/>
    <w:rsid w:val="007E4D37"/>
    <w:rsid w:val="0082344E"/>
    <w:rsid w:val="00847BAB"/>
    <w:rsid w:val="00860F98"/>
    <w:rsid w:val="00874D22"/>
    <w:rsid w:val="00883B63"/>
    <w:rsid w:val="00884C9A"/>
    <w:rsid w:val="0089317B"/>
    <w:rsid w:val="008A2914"/>
    <w:rsid w:val="008E4D8E"/>
    <w:rsid w:val="00957BDE"/>
    <w:rsid w:val="009F2131"/>
    <w:rsid w:val="00A362F7"/>
    <w:rsid w:val="00A50C30"/>
    <w:rsid w:val="00A9563C"/>
    <w:rsid w:val="00AC2E30"/>
    <w:rsid w:val="00AD7C0F"/>
    <w:rsid w:val="00AE3DBA"/>
    <w:rsid w:val="00B40F1A"/>
    <w:rsid w:val="00B443FE"/>
    <w:rsid w:val="00BA5C47"/>
    <w:rsid w:val="00BC7506"/>
    <w:rsid w:val="00C12301"/>
    <w:rsid w:val="00C84FA7"/>
    <w:rsid w:val="00C862B2"/>
    <w:rsid w:val="00CE1BA2"/>
    <w:rsid w:val="00D03513"/>
    <w:rsid w:val="00D20381"/>
    <w:rsid w:val="00D86B89"/>
    <w:rsid w:val="00DF433A"/>
    <w:rsid w:val="00EC2B16"/>
    <w:rsid w:val="00EE6929"/>
    <w:rsid w:val="00F02E25"/>
    <w:rsid w:val="00F47C85"/>
    <w:rsid w:val="00F91928"/>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5258F1"/>
    <w:rPr>
      <w:rFonts w:ascii="Times New Roman" w:hAnsi="Times New Roman" w:cs="Times New Roman"/>
      <w:sz w:val="24"/>
      <w:lang w:val="lv-LV"/>
    </w:rPr>
  </w:style>
  <w:style w:type="character" w:customStyle="1" w:styleId="FooterChar">
    <w:name w:val="Footer Char"/>
    <w:basedOn w:val="DefaultParagraphFont"/>
    <w:link w:val="Footer"/>
    <w:uiPriority w:val="99"/>
    <w:rsid w:val="005258F1"/>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258F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258F1"/>
    <w:pPr>
      <w:spacing w:before="0"/>
      <w:jc w:val="right"/>
    </w:pPr>
    <w:rPr>
      <w:sz w:val="28"/>
    </w:rPr>
  </w:style>
  <w:style w:type="paragraph" w:customStyle="1" w:styleId="FooterSensitivity">
    <w:name w:val="Footer Sensitivity"/>
    <w:basedOn w:val="Normal"/>
    <w:rsid w:val="005258F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Caption">
    <w:name w:val="caption"/>
    <w:basedOn w:val="Normal"/>
    <w:next w:val="Normal"/>
    <w:uiPriority w:val="35"/>
    <w:semiHidden/>
    <w:unhideWhenUsed/>
    <w:qFormat/>
    <w:rsid w:val="00EC2B1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C2B16"/>
    <w:pPr>
      <w:spacing w:after="0"/>
    </w:pPr>
  </w:style>
  <w:style w:type="paragraph" w:styleId="ListNumber">
    <w:name w:val="List Number"/>
    <w:basedOn w:val="Normal"/>
    <w:uiPriority w:val="99"/>
    <w:semiHidden/>
    <w:unhideWhenUsed/>
    <w:rsid w:val="00EC2B16"/>
    <w:pPr>
      <w:numPr>
        <w:numId w:val="37"/>
      </w:numPr>
      <w:contextualSpacing/>
    </w:pPr>
  </w:style>
  <w:style w:type="paragraph" w:styleId="ListNumber2">
    <w:name w:val="List Number 2"/>
    <w:basedOn w:val="Normal"/>
    <w:uiPriority w:val="99"/>
    <w:semiHidden/>
    <w:unhideWhenUsed/>
    <w:rsid w:val="00EC2B16"/>
    <w:pPr>
      <w:numPr>
        <w:numId w:val="38"/>
      </w:numPr>
      <w:contextualSpacing/>
    </w:pPr>
  </w:style>
  <w:style w:type="paragraph" w:styleId="ListNumber3">
    <w:name w:val="List Number 3"/>
    <w:basedOn w:val="Normal"/>
    <w:uiPriority w:val="99"/>
    <w:semiHidden/>
    <w:unhideWhenUsed/>
    <w:rsid w:val="00EC2B16"/>
    <w:pPr>
      <w:numPr>
        <w:numId w:val="39"/>
      </w:numPr>
      <w:contextualSpacing/>
    </w:pPr>
  </w:style>
  <w:style w:type="paragraph" w:styleId="ListNumber4">
    <w:name w:val="List Number 4"/>
    <w:basedOn w:val="Normal"/>
    <w:uiPriority w:val="99"/>
    <w:semiHidden/>
    <w:unhideWhenUsed/>
    <w:rsid w:val="00EC2B16"/>
    <w:pPr>
      <w:numPr>
        <w:numId w:val="40"/>
      </w:numPr>
      <w:contextualSpacing/>
    </w:pPr>
  </w:style>
  <w:style w:type="paragraph" w:styleId="Header">
    <w:name w:val="header"/>
    <w:basedOn w:val="Normal"/>
    <w:link w:val="HeaderChar"/>
    <w:uiPriority w:val="99"/>
    <w:unhideWhenUsed/>
    <w:rsid w:val="005258F1"/>
    <w:pPr>
      <w:tabs>
        <w:tab w:val="center" w:pos="4535"/>
        <w:tab w:val="right" w:pos="9071"/>
      </w:tabs>
      <w:spacing w:before="0"/>
    </w:pPr>
  </w:style>
  <w:style w:type="paragraph" w:customStyle="1" w:styleId="HeaderLandscape">
    <w:name w:val="HeaderLandscape"/>
    <w:basedOn w:val="Normal"/>
    <w:rsid w:val="005258F1"/>
    <w:pPr>
      <w:tabs>
        <w:tab w:val="center" w:pos="7285"/>
        <w:tab w:val="right" w:pos="14003"/>
      </w:tabs>
      <w:spacing w:before="0"/>
    </w:pPr>
  </w:style>
  <w:style w:type="paragraph" w:styleId="Footer">
    <w:name w:val="footer"/>
    <w:basedOn w:val="Normal"/>
    <w:link w:val="FooterChar"/>
    <w:uiPriority w:val="99"/>
    <w:unhideWhenUsed/>
    <w:rsid w:val="005258F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258F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7CB65-44BE-4DFE-943E-5697313080EE}"/>
</file>

<file path=customXml/itemProps2.xml><?xml version="1.0" encoding="utf-8"?>
<ds:datastoreItem xmlns:ds="http://schemas.openxmlformats.org/officeDocument/2006/customXml" ds:itemID="{4B7667FB-0505-421B-85C0-D788BC9E4EDF}"/>
</file>

<file path=customXml/itemProps3.xml><?xml version="1.0" encoding="utf-8"?>
<ds:datastoreItem xmlns:ds="http://schemas.openxmlformats.org/officeDocument/2006/customXml" ds:itemID="{9B35B12A-A307-407C-8FEA-A311FB7C9B2F}"/>
</file>

<file path=docProps/app.xml><?xml version="1.0" encoding="utf-8"?>
<Properties xmlns="http://schemas.openxmlformats.org/officeDocument/2006/extended-properties" xmlns:vt="http://schemas.openxmlformats.org/officeDocument/2006/docPropsVTypes">
  <Template>COM.dotm</Template>
  <TotalTime>5</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dcterms:created xsi:type="dcterms:W3CDTF">2025-11-19T12:59:00Z</dcterms:created>
  <dcterms:modified xsi:type="dcterms:W3CDTF">2025-12-02T09:09:00Z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