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0F6381" w:rsidRDefault="001E1385" w:rsidP="001E138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95A2A36-A7CE-4FE5-917B-13387F1A34DC" style="width:455.25pt;height:345.75pt">
            <v:imagedata r:id="rId7" o:title=""/>
          </v:shape>
        </w:pict>
      </w:r>
    </w:p>
    <w:p w:rsidR="00430BC2" w:rsidRPr="000F6381" w:rsidRDefault="00430BC2">
      <w:pPr>
        <w:rPr>
          <w:noProof/>
        </w:rPr>
        <w:sectPr w:rsidR="00430BC2" w:rsidRPr="000F6381" w:rsidSect="001E1385">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430BC2" w:rsidRPr="000F6381" w:rsidRDefault="00E62772" w:rsidP="00E62772">
      <w:pPr>
        <w:pStyle w:val="Typedudocument"/>
        <w:rPr>
          <w:noProof/>
        </w:rPr>
      </w:pPr>
      <w:bookmarkStart w:id="0" w:name="_GoBack"/>
      <w:bookmarkEnd w:id="0"/>
      <w:r w:rsidRPr="00E62772">
        <w:rPr>
          <w:noProof/>
        </w:rPr>
        <w:lastRenderedPageBreak/>
        <w:t>KOMISSION TÄYTÄNTÖÖNPANOASETUS (EU) …/…,</w:t>
      </w:r>
    </w:p>
    <w:p w:rsidR="00430BC2" w:rsidRPr="000F6381" w:rsidRDefault="00236CBE" w:rsidP="00E62772">
      <w:pPr>
        <w:pStyle w:val="Datedadoption"/>
        <w:rPr>
          <w:noProof/>
        </w:rPr>
      </w:pPr>
      <w:r>
        <w:rPr>
          <w:noProof/>
        </w:rPr>
        <w:t>annettu 8.12.2025,</w:t>
      </w:r>
    </w:p>
    <w:p w:rsidR="00430BC2" w:rsidRPr="000F6381" w:rsidRDefault="00E62772" w:rsidP="00E62772">
      <w:pPr>
        <w:pStyle w:val="Titreobjet"/>
        <w:rPr>
          <w:noProof/>
        </w:rPr>
      </w:pPr>
      <w:r w:rsidRPr="00E62772">
        <w:rPr>
          <w:noProof/>
        </w:rPr>
        <w:t>täytäntöönpanoasetuksessa (EU) 2024/3117 vahvistettujen teknisten täytäntöönpanostandardien muuttamisesta operatiivista riskiä koskevaan vakavaraisuusvalvontaan liittyvän raportoinnin osalta</w:t>
      </w:r>
    </w:p>
    <w:p w:rsidR="00430BC2" w:rsidRPr="000F6381" w:rsidRDefault="00E62772" w:rsidP="00E62772">
      <w:pPr>
        <w:pStyle w:val="IntrtEEE"/>
        <w:rPr>
          <w:noProof/>
        </w:rPr>
      </w:pPr>
      <w:r w:rsidRPr="00E62772">
        <w:rPr>
          <w:noProof/>
        </w:rPr>
        <w:t>(ETA:n kannalta merkityksellinen teksti)</w:t>
      </w:r>
    </w:p>
    <w:p w:rsidR="00430BC2" w:rsidRPr="000F6381" w:rsidRDefault="00430BC2" w:rsidP="004E1EF9">
      <w:pPr>
        <w:pStyle w:val="Institutionquiagit"/>
        <w:rPr>
          <w:noProof/>
        </w:rPr>
      </w:pPr>
      <w:r w:rsidRPr="000F6381">
        <w:rPr>
          <w:noProof/>
        </w:rPr>
        <w:t>EUROOPAN KOMISSIO, joka</w:t>
      </w:r>
    </w:p>
    <w:p w:rsidR="00430BC2" w:rsidRPr="000F6381" w:rsidRDefault="00430BC2" w:rsidP="004E1EF9">
      <w:pPr>
        <w:rPr>
          <w:noProof/>
        </w:rPr>
      </w:pPr>
      <w:r w:rsidRPr="000F6381">
        <w:rPr>
          <w:noProof/>
        </w:rPr>
        <w:t>ottaa huomioon luottolaitosten vakavaraisuusvaatimuksista ja asetuksen (EU) N:o 648/2012 muuttamisesta 26 päivänä kesäkuuta 2013 annetun Euroopan parlamentin ja neuvoston asetuksen (EU) N:o 575/2013</w:t>
      </w:r>
      <w:r w:rsidRPr="000F6381">
        <w:rPr>
          <w:rStyle w:val="FootnoteReference"/>
          <w:noProof/>
        </w:rPr>
        <w:footnoteReference w:id="1"/>
      </w:r>
      <w:r w:rsidRPr="000F6381">
        <w:rPr>
          <w:noProof/>
        </w:rPr>
        <w:t xml:space="preserve"> ja erityisesti sen 430 artiklan 7 kohdan viidennen alakohdan,</w:t>
      </w:r>
    </w:p>
    <w:p w:rsidR="00430BC2" w:rsidRPr="000F6381" w:rsidRDefault="00430BC2" w:rsidP="004E1EF9">
      <w:pPr>
        <w:rPr>
          <w:noProof/>
        </w:rPr>
      </w:pPr>
      <w:r w:rsidRPr="000F6381">
        <w:rPr>
          <w:noProof/>
        </w:rPr>
        <w:t>sekä katsoo seuraavaa:</w:t>
      </w:r>
    </w:p>
    <w:p w:rsidR="00430BC2" w:rsidRPr="000F6381" w:rsidRDefault="008044EC" w:rsidP="008044EC">
      <w:pPr>
        <w:pStyle w:val="ManualConsidrant"/>
        <w:rPr>
          <w:noProof/>
        </w:rPr>
      </w:pPr>
      <w:r w:rsidRPr="008044EC">
        <w:rPr>
          <w:noProof/>
        </w:rPr>
        <w:t>(1)</w:t>
      </w:r>
      <w:r w:rsidRPr="008044EC">
        <w:rPr>
          <w:noProof/>
        </w:rPr>
        <w:tab/>
      </w:r>
      <w:r w:rsidR="00430BC2" w:rsidRPr="000F6381">
        <w:rPr>
          <w:noProof/>
        </w:rPr>
        <w:t>Asetusta (EU) N:o 575/2013 muutettiin Euroopan parlamentin ja neuvoston asetuksella (EU) 2024/1623</w:t>
      </w:r>
      <w:r w:rsidR="00430BC2" w:rsidRPr="000F6381">
        <w:rPr>
          <w:rStyle w:val="FootnoteReference"/>
          <w:noProof/>
        </w:rPr>
        <w:footnoteReference w:id="2"/>
      </w:r>
      <w:r w:rsidR="00430BC2" w:rsidRPr="000F6381">
        <w:rPr>
          <w:noProof/>
        </w:rPr>
        <w:t xml:space="preserve"> Baselin pankkivalvontakomitean viimeisimpien kansainvälisten standardien (Basel III) täytäntöönpanemiseksi. Kyseisten standardien perusteella hyväksyttiin komission täytäntöönpanoasetus (EU) 2024/3117</w:t>
      </w:r>
      <w:r w:rsidR="00430BC2" w:rsidRPr="000F6381">
        <w:rPr>
          <w:rStyle w:val="FootnoteReference"/>
          <w:noProof/>
        </w:rPr>
        <w:footnoteReference w:id="3"/>
      </w:r>
      <w:r w:rsidR="00430BC2" w:rsidRPr="000F6381">
        <w:rPr>
          <w:noProof/>
        </w:rPr>
        <w:t>, jossa vahvistetaan tekniset täytäntöönpanostandardit asetuksen (EU) N:o 575/2013 soveltamiseksi laitosten vakavaraisuusvalvontaan liittyvän raportoinnin osalta.</w:t>
      </w:r>
    </w:p>
    <w:p w:rsidR="00430BC2" w:rsidRPr="000F6381" w:rsidRDefault="008044EC" w:rsidP="008044EC">
      <w:pPr>
        <w:pStyle w:val="ManualConsidrant"/>
        <w:rPr>
          <w:noProof/>
        </w:rPr>
      </w:pPr>
      <w:r w:rsidRPr="008044EC">
        <w:rPr>
          <w:noProof/>
        </w:rPr>
        <w:t>(2)</w:t>
      </w:r>
      <w:r w:rsidRPr="008044EC">
        <w:rPr>
          <w:noProof/>
        </w:rPr>
        <w:tab/>
      </w:r>
      <w:r w:rsidR="00430BC2" w:rsidRPr="000F6381">
        <w:rPr>
          <w:noProof/>
        </w:rPr>
        <w:t>Kun otetaan huomioon operatiivista riskiä koskeviin omien varojen vaatimuksiin sovellettavaan vakavaraisuuskehykseen tehdyt muutokset, oli tarpeen vahvistaa uudet raportointilomakkeet sen varmistamiseksi, että laitokset raportoivat voimassa olevan uuden kehyksen mukaisesti. Vaikka jotkin raportointilomakkeisiin tehtävistä muutoksista tehtiin jo asetuksella (EU) 2024/3117, useiden lomakkeiden päivittäminen edellytti operatiivista riskiä koskevien vaatimusten jatkokehittämistä, erityisesti liiketoimintaindikaattorikomponenttien määrittelyn, liiketoimintaindikaattorin ulkopuolelle jätettävien erien ja näiden lomakkeen asiaankuuluviin soluihin osoittamisen osalta.</w:t>
      </w:r>
    </w:p>
    <w:p w:rsidR="00430BC2" w:rsidRPr="000F6381" w:rsidRDefault="008044EC" w:rsidP="008044EC">
      <w:pPr>
        <w:pStyle w:val="ManualConsidrant"/>
        <w:rPr>
          <w:noProof/>
        </w:rPr>
      </w:pPr>
      <w:r w:rsidRPr="008044EC">
        <w:rPr>
          <w:noProof/>
        </w:rPr>
        <w:t>(3)</w:t>
      </w:r>
      <w:r w:rsidRPr="008044EC">
        <w:rPr>
          <w:noProof/>
        </w:rPr>
        <w:tab/>
      </w:r>
      <w:r w:rsidR="00430BC2" w:rsidRPr="000F6381">
        <w:rPr>
          <w:noProof/>
        </w:rPr>
        <w:t>Markkinariskiä koskevien omien varojen vaatimusten soveltamispäivää lykättiin komission delegoidulla asetuksella (EU) 2025/1496</w:t>
      </w:r>
      <w:r w:rsidR="00430BC2" w:rsidRPr="000F6381">
        <w:rPr>
          <w:rStyle w:val="FootnoteReference"/>
          <w:noProof/>
        </w:rPr>
        <w:footnoteReference w:id="4"/>
      </w:r>
      <w:r w:rsidR="00430BC2" w:rsidRPr="000F6381">
        <w:rPr>
          <w:noProof/>
        </w:rPr>
        <w:t xml:space="preserve"> 1 päivään tammikuuta 2027. Tämän vuoksi on tarpeen säilyttää muutoksitta nykyiset markkinariskiä koskevat raportointivaatimukset, joita sovelletaan 31 päivään joulukuuta 2026 saakka. Sen vuoksi asetuksen (EU) 2024/3117 siirtymäsäännösten voimassaoloa olisi jatkettava ja </w:t>
      </w:r>
      <w:r w:rsidR="00430BC2" w:rsidRPr="000F6381">
        <w:rPr>
          <w:noProof/>
        </w:rPr>
        <w:lastRenderedPageBreak/>
        <w:t>komission täytäntöönpanoasetuksen (EU) 2021/451</w:t>
      </w:r>
      <w:r w:rsidR="00430BC2" w:rsidRPr="000F6381">
        <w:rPr>
          <w:rStyle w:val="FootnoteReference"/>
          <w:noProof/>
        </w:rPr>
        <w:footnoteReference w:id="5"/>
      </w:r>
      <w:r w:rsidR="00430BC2" w:rsidRPr="000F6381">
        <w:rPr>
          <w:noProof/>
        </w:rPr>
        <w:t xml:space="preserve"> asiaankuuluvien säännösten kumoamista olisi lykättävä vuodella. </w:t>
      </w:r>
    </w:p>
    <w:p w:rsidR="00430BC2" w:rsidRPr="000F6381" w:rsidRDefault="008044EC" w:rsidP="008044EC">
      <w:pPr>
        <w:pStyle w:val="ManualConsidrant"/>
        <w:rPr>
          <w:noProof/>
        </w:rPr>
      </w:pPr>
      <w:r w:rsidRPr="008044EC">
        <w:rPr>
          <w:noProof/>
        </w:rPr>
        <w:t>(4)</w:t>
      </w:r>
      <w:r w:rsidRPr="008044EC">
        <w:rPr>
          <w:noProof/>
        </w:rPr>
        <w:tab/>
      </w:r>
      <w:r w:rsidR="00430BC2" w:rsidRPr="000F6381">
        <w:rPr>
          <w:noProof/>
        </w:rPr>
        <w:t>Sen vuoksi täytäntöönpanoasetusta (EU) 2024/3117 olisi muutettava.</w:t>
      </w:r>
    </w:p>
    <w:p w:rsidR="00430BC2" w:rsidRPr="000F6381" w:rsidRDefault="008044EC" w:rsidP="008044EC">
      <w:pPr>
        <w:pStyle w:val="ManualConsidrant"/>
        <w:rPr>
          <w:noProof/>
        </w:rPr>
      </w:pPr>
      <w:r w:rsidRPr="008044EC">
        <w:rPr>
          <w:noProof/>
        </w:rPr>
        <w:t>(5)</w:t>
      </w:r>
      <w:r w:rsidRPr="008044EC">
        <w:rPr>
          <w:noProof/>
        </w:rPr>
        <w:tab/>
      </w:r>
      <w:r w:rsidR="00430BC2" w:rsidRPr="000F6381">
        <w:rPr>
          <w:noProof/>
        </w:rPr>
        <w:t>Tämä asetus perustuu teknisten täytäntöönpanostandardien luonnoksiin, jotka Euroopan pankkiviranomainen, jäljempänä ’EPV’, on toimittanut komissiolle.</w:t>
      </w:r>
    </w:p>
    <w:p w:rsidR="00430BC2" w:rsidRPr="000F6381" w:rsidRDefault="008044EC" w:rsidP="008044EC">
      <w:pPr>
        <w:pStyle w:val="ManualConsidrant"/>
        <w:rPr>
          <w:noProof/>
        </w:rPr>
      </w:pPr>
      <w:r w:rsidRPr="008044EC">
        <w:rPr>
          <w:noProof/>
        </w:rPr>
        <w:t>(6)</w:t>
      </w:r>
      <w:r w:rsidRPr="008044EC">
        <w:rPr>
          <w:noProof/>
        </w:rPr>
        <w:tab/>
      </w:r>
      <w:r w:rsidR="00430BC2" w:rsidRPr="000F6381">
        <w:rPr>
          <w:noProof/>
        </w:rPr>
        <w:t>EPV on järjestänyt avoimia julkisia kuulemisia niistä teknisten täytäntöönpanostandardien luonnoksista, joihin tämä asetus perustuu, analysoinut niihin mahdollisesti liittyviä kustannuksia ja hyötyjä sekä pyytänyt lausuntoa Euroopan parlamentin ja neuvoston asetuksen (EU) N:o 1093/2010</w:t>
      </w:r>
      <w:r w:rsidR="00430BC2" w:rsidRPr="000F6381">
        <w:rPr>
          <w:rStyle w:val="FootnoteReference"/>
          <w:noProof/>
        </w:rPr>
        <w:footnoteReference w:id="6"/>
      </w:r>
      <w:r w:rsidR="00430BC2" w:rsidRPr="000F6381">
        <w:rPr>
          <w:noProof/>
        </w:rPr>
        <w:t xml:space="preserve"> 37 artiklan mukaisesti perustetulta pankkialan osallisryhmältä,</w:t>
      </w:r>
    </w:p>
    <w:p w:rsidR="00430BC2" w:rsidRPr="000F6381" w:rsidRDefault="00430BC2" w:rsidP="004E1EF9">
      <w:pPr>
        <w:pStyle w:val="Formuledadoption"/>
        <w:rPr>
          <w:noProof/>
        </w:rPr>
      </w:pPr>
      <w:r w:rsidRPr="000F6381">
        <w:rPr>
          <w:noProof/>
        </w:rPr>
        <w:t>ON HYVÄKSYNYT TÄMÄN ASETUKSEN:</w:t>
      </w:r>
    </w:p>
    <w:p w:rsidR="00430BC2" w:rsidRPr="000F6381" w:rsidRDefault="00430BC2" w:rsidP="004E1EF9">
      <w:pPr>
        <w:pStyle w:val="Titrearticle"/>
        <w:rPr>
          <w:noProof/>
        </w:rPr>
      </w:pPr>
      <w:r w:rsidRPr="000F6381">
        <w:rPr>
          <w:noProof/>
        </w:rPr>
        <w:t>1 artikla</w:t>
      </w:r>
    </w:p>
    <w:p w:rsidR="00430BC2" w:rsidRPr="000F6381" w:rsidRDefault="00430BC2" w:rsidP="00430BC2">
      <w:pPr>
        <w:rPr>
          <w:noProof/>
        </w:rPr>
      </w:pPr>
      <w:bookmarkStart w:id="4" w:name="_Hlk198544571"/>
      <w:r w:rsidRPr="000F6381">
        <w:rPr>
          <w:noProof/>
        </w:rPr>
        <w:t>Muutetaan täytäntöönpanoasetus (EU) 2024/3117</w:t>
      </w:r>
      <w:bookmarkEnd w:id="4"/>
      <w:r w:rsidRPr="000F6381">
        <w:rPr>
          <w:noProof/>
        </w:rPr>
        <w:t xml:space="preserve"> seuraavasti: </w:t>
      </w:r>
    </w:p>
    <w:p w:rsidR="00430BC2" w:rsidRPr="000F6381" w:rsidRDefault="00D03DAA" w:rsidP="00D03DAA">
      <w:pPr>
        <w:pStyle w:val="Point0"/>
        <w:rPr>
          <w:noProof/>
        </w:rPr>
      </w:pPr>
      <w:r>
        <w:rPr>
          <w:noProof/>
        </w:rPr>
        <w:t>1)</w:t>
      </w:r>
      <w:r>
        <w:rPr>
          <w:noProof/>
        </w:rPr>
        <w:tab/>
      </w:r>
      <w:r w:rsidR="00430BC2" w:rsidRPr="000F6381">
        <w:rPr>
          <w:noProof/>
        </w:rPr>
        <w:t>Korvataan 5 artiklan 4 kohta seuraavasti:</w:t>
      </w:r>
    </w:p>
    <w:p w:rsidR="00430BC2" w:rsidRPr="000F6381" w:rsidRDefault="00430BC2" w:rsidP="00430BC2">
      <w:pPr>
        <w:pStyle w:val="QuotedNumPar"/>
        <w:rPr>
          <w:noProof/>
        </w:rPr>
      </w:pPr>
      <w:r w:rsidRPr="000F6381">
        <w:rPr>
          <w:noProof/>
        </w:rPr>
        <w:t>”4. Asetuksen (EU) N:o 575/2013 92 artiklan 4 kohdan b alakohdan i alakohdassa ja c alakohdassa sekä 92 artiklan 5 kohdan b ja c alakohdassa tarkoitettujen omien varojen vaatimusten laskemiseksi laitosten on toimitettava 31 päivään joulukuuta 2026 saakka tiedot markkinariskiin liittyvistä omien varojen vaatimuksista täytäntöönpanoasetuksen (EU) 2021/451 5 artiklan 12 kohdan mukaisesti.”</w:t>
      </w:r>
    </w:p>
    <w:p w:rsidR="00430BC2" w:rsidRPr="000F6381" w:rsidRDefault="00D03DAA" w:rsidP="00D03DAA">
      <w:pPr>
        <w:pStyle w:val="Point0"/>
        <w:rPr>
          <w:noProof/>
        </w:rPr>
      </w:pPr>
      <w:r>
        <w:rPr>
          <w:noProof/>
        </w:rPr>
        <w:t>2)</w:t>
      </w:r>
      <w:r>
        <w:rPr>
          <w:noProof/>
        </w:rPr>
        <w:tab/>
      </w:r>
      <w:r w:rsidR="00430BC2" w:rsidRPr="000F6381">
        <w:rPr>
          <w:noProof/>
        </w:rPr>
        <w:t>Lisätään 7 artiklaan c alakohta seuraavasti:</w:t>
      </w:r>
    </w:p>
    <w:p w:rsidR="00430BC2" w:rsidRPr="000F6381" w:rsidRDefault="00430BC2" w:rsidP="00430BC2">
      <w:pPr>
        <w:pStyle w:val="QuotedNumPar"/>
        <w:rPr>
          <w:noProof/>
        </w:rPr>
      </w:pPr>
      <w:r w:rsidRPr="000F6381">
        <w:rPr>
          <w:noProof/>
        </w:rPr>
        <w:t>”c)</w:t>
      </w:r>
      <w:r w:rsidRPr="000F6381">
        <w:rPr>
          <w:noProof/>
        </w:rPr>
        <w:tab/>
        <w:t>EU:ssa emoyrityksenä toimivien laitosten on neljännesvuosittain ilmoitettava liitteessä I olevassa lomakkeessa C 16.04 vaaditut tiedot tytäryrityksistä, joihin sovelletaan asetuksen (EU) N:o 575/2013 314 artiklan 3 kohdassa säädettyä poikkeusta.”</w:t>
      </w:r>
    </w:p>
    <w:p w:rsidR="00430BC2" w:rsidRPr="000F6381" w:rsidRDefault="00D03DAA" w:rsidP="00D03DAA">
      <w:pPr>
        <w:pStyle w:val="Point0"/>
        <w:rPr>
          <w:noProof/>
        </w:rPr>
      </w:pPr>
      <w:r>
        <w:rPr>
          <w:noProof/>
        </w:rPr>
        <w:t>3)</w:t>
      </w:r>
      <w:r>
        <w:rPr>
          <w:noProof/>
        </w:rPr>
        <w:tab/>
      </w:r>
      <w:r w:rsidR="00430BC2" w:rsidRPr="000F6381">
        <w:rPr>
          <w:noProof/>
        </w:rPr>
        <w:t>Korvataan 25 artiklan 1 ja 2 kohta seuraavasti:</w:t>
      </w:r>
    </w:p>
    <w:p w:rsidR="00430BC2" w:rsidRPr="000F6381" w:rsidRDefault="00430BC2" w:rsidP="00430BC2">
      <w:pPr>
        <w:pStyle w:val="QuotedNumPar"/>
        <w:rPr>
          <w:noProof/>
        </w:rPr>
      </w:pPr>
      <w:r w:rsidRPr="000F6381">
        <w:rPr>
          <w:noProof/>
        </w:rPr>
        <w:t>”1. Täytäntöönpanoasetuksen (EU) 2021/451 soveltaminen lakkaa 1 päivästä tammikuuta 2025 lukuun ottamatta 5 artiklan 12 kohtaa ja liitettä I, lomakkeita 18–24 ja liitteessä II olevan II osan 5.1–5.7 kohtaa. Täytäntöönpanoasetuksen (EU) 2021/451 15 artiklaa sovelletaan 31 päivään joulukuuta 2026 asti ainoastaan tämän asetuksen 5 artiklan 4 kohdan soveltamiseksi.</w:t>
      </w:r>
    </w:p>
    <w:p w:rsidR="00430BC2" w:rsidRPr="000F6381" w:rsidRDefault="00430BC2" w:rsidP="00430BC2">
      <w:pPr>
        <w:pStyle w:val="QuotedNumPar"/>
        <w:rPr>
          <w:noProof/>
        </w:rPr>
      </w:pPr>
      <w:r w:rsidRPr="000F6381">
        <w:rPr>
          <w:noProof/>
        </w:rPr>
        <w:t>2 Kumotaan täytäntöönpanoasetus (EU) 2021/451 31 päivästä joulukuuta 2026.”</w:t>
      </w:r>
    </w:p>
    <w:p w:rsidR="00430BC2" w:rsidRPr="000F6381" w:rsidRDefault="00D03DAA" w:rsidP="00D03DAA">
      <w:pPr>
        <w:pStyle w:val="Point0"/>
        <w:rPr>
          <w:noProof/>
        </w:rPr>
      </w:pPr>
      <w:r>
        <w:rPr>
          <w:noProof/>
        </w:rPr>
        <w:t>4)</w:t>
      </w:r>
      <w:r>
        <w:rPr>
          <w:noProof/>
        </w:rPr>
        <w:tab/>
      </w:r>
      <w:r w:rsidR="00430BC2" w:rsidRPr="000F6381">
        <w:rPr>
          <w:noProof/>
        </w:rPr>
        <w:t xml:space="preserve">Muutetaan liitteessä I oleva 1 jakso ”Omien varojen ja omien varojen vaatimusten raportointi” seuraavasti: </w:t>
      </w:r>
    </w:p>
    <w:p w:rsidR="00430BC2" w:rsidRPr="000F6381" w:rsidRDefault="00D03DAA" w:rsidP="00D03DAA">
      <w:pPr>
        <w:pStyle w:val="Point1"/>
        <w:rPr>
          <w:noProof/>
        </w:rPr>
      </w:pPr>
      <w:r>
        <w:rPr>
          <w:noProof/>
        </w:rPr>
        <w:t>a)</w:t>
      </w:r>
      <w:r>
        <w:rPr>
          <w:noProof/>
        </w:rPr>
        <w:tab/>
      </w:r>
      <w:r w:rsidR="00430BC2" w:rsidRPr="000F6381">
        <w:rPr>
          <w:noProof/>
        </w:rPr>
        <w:t>korvataan lomake ”C 16.01 – OPERATIIVINEN RISKI – OMIEN VAROJEN VAATIMUKSET (OPR OF)” tämän asetuksen liitteessä olevalla lomakkeella ”C 16.01 – OPERATIIVINEN RISKI – OMIEN VAROJEN VAATIMUKSET (OPR OF);</w:t>
      </w:r>
    </w:p>
    <w:p w:rsidR="00430BC2" w:rsidRPr="000F6381" w:rsidRDefault="00D03DAA" w:rsidP="00D03DAA">
      <w:pPr>
        <w:pStyle w:val="Point1"/>
        <w:rPr>
          <w:noProof/>
        </w:rPr>
      </w:pPr>
      <w:r>
        <w:rPr>
          <w:noProof/>
        </w:rPr>
        <w:t>b)</w:t>
      </w:r>
      <w:r>
        <w:rPr>
          <w:noProof/>
        </w:rPr>
        <w:tab/>
      </w:r>
      <w:r w:rsidR="00430BC2" w:rsidRPr="000F6381">
        <w:rPr>
          <w:noProof/>
        </w:rPr>
        <w:t>lisätään lomakkeen ”C 16.01 – OPERATIIVINEN RISKI – OMIEN VAROJEN VAATIMUKSET (OPR OF)” jälkeen tämän asetuksen liitteessä oleva lomake ”C 16.02 – OPERATIIVINEN RISKI – LIIKETOIMINTAINDIKAATTORIKOMPONENTTI (OPR BIC)”, lomake ”C 16.03 – OPERATIIVISEN RISKIN JAOTTELU (OPR BD) – OPERATIIVISEN RISKIN AIHEUTTAVISTA TAPAHTUMISTA JOHTUVAT TAPPIOT, KULUT, VARAUKSET JA MUUT TALOUDELLISET VAIKUTUKSET” ja lomake ”C 16.04 – OPERATIIVINEN RISKI – TIEDOT VAKAVARAISUUSASETUKSEN 314 ARTIKLAN 3 KOHDAN SOVELTAMISALAAN KUULUVISTA TYTÄRYRITYKSISTÄ”.</w:t>
      </w:r>
    </w:p>
    <w:p w:rsidR="00430BC2" w:rsidRPr="000F6381" w:rsidRDefault="00430BC2" w:rsidP="004E1EF9">
      <w:pPr>
        <w:pStyle w:val="Titrearticle"/>
        <w:rPr>
          <w:noProof/>
        </w:rPr>
      </w:pPr>
      <w:r w:rsidRPr="000F6381">
        <w:rPr>
          <w:noProof/>
        </w:rPr>
        <w:t>2 artikla</w:t>
      </w:r>
    </w:p>
    <w:p w:rsidR="00430BC2" w:rsidRPr="000F6381" w:rsidRDefault="00430BC2" w:rsidP="004E1EF9">
      <w:pPr>
        <w:rPr>
          <w:noProof/>
        </w:rPr>
      </w:pPr>
      <w:r w:rsidRPr="000F6381">
        <w:rPr>
          <w:noProof/>
        </w:rPr>
        <w:t xml:space="preserve">Tämä asetus tulee voimaan kahdentenakymmenentenä päivänä sen jälkeen, kun se on julkaistu </w:t>
      </w:r>
      <w:r w:rsidRPr="000F6381">
        <w:rPr>
          <w:i/>
          <w:noProof/>
        </w:rPr>
        <w:t>Euroopan unionin virallisessa lehdessä</w:t>
      </w:r>
      <w:r w:rsidRPr="000F6381">
        <w:rPr>
          <w:noProof/>
        </w:rPr>
        <w:t>.</w:t>
      </w:r>
    </w:p>
    <w:p w:rsidR="00430BC2" w:rsidRPr="000F6381" w:rsidRDefault="00430BC2" w:rsidP="004E1EF9">
      <w:pPr>
        <w:pStyle w:val="Applicationdirecte"/>
        <w:rPr>
          <w:noProof/>
        </w:rPr>
      </w:pPr>
      <w:r w:rsidRPr="000F6381">
        <w:rPr>
          <w:noProof/>
        </w:rPr>
        <w:t>Tämä asetus on kaikilta osiltaan velvoittava, ja sitä sovelletaan sellaisenaan kaikissa jäsenvaltioissa.</w:t>
      </w:r>
    </w:p>
    <w:p w:rsidR="00430BC2" w:rsidRPr="000F6381" w:rsidRDefault="00236CBE" w:rsidP="003532DA">
      <w:pPr>
        <w:pStyle w:val="Fait"/>
        <w:rPr>
          <w:noProof/>
        </w:rPr>
      </w:pPr>
      <w:r>
        <w:rPr>
          <w:noProof/>
        </w:rPr>
        <w:t>Tehty Brysselissä 8.12.2025</w:t>
      </w:r>
    </w:p>
    <w:p w:rsidR="00430BC2" w:rsidRPr="000F6381" w:rsidRDefault="00430BC2" w:rsidP="003532DA">
      <w:pPr>
        <w:pStyle w:val="Institutionquisigne"/>
        <w:rPr>
          <w:noProof/>
        </w:rPr>
      </w:pPr>
      <w:r w:rsidRPr="000F6381">
        <w:rPr>
          <w:noProof/>
        </w:rPr>
        <w:tab/>
        <w:t>Komission puolesta</w:t>
      </w:r>
    </w:p>
    <w:p w:rsidR="00CE1BA2" w:rsidRPr="000F6381" w:rsidRDefault="000F34B4" w:rsidP="003532DA">
      <w:pPr>
        <w:pStyle w:val="Personnequisigne"/>
        <w:keepNext/>
        <w:rPr>
          <w:noProof/>
        </w:rPr>
      </w:pPr>
      <w:r>
        <w:rPr>
          <w:noProof/>
        </w:rPr>
        <w:tab/>
        <w:t>Puheenjohtaja</w:t>
      </w:r>
      <w:r>
        <w:rPr>
          <w:noProof/>
        </w:rPr>
        <w:br/>
      </w:r>
      <w:r>
        <w:rPr>
          <w:noProof/>
        </w:rPr>
        <w:tab/>
        <w:t>Ursula VON DER LEYEN</w:t>
      </w:r>
    </w:p>
    <w:p w:rsidR="00430BC2" w:rsidRPr="000F6381" w:rsidRDefault="00430BC2" w:rsidP="00430BC2">
      <w:pPr>
        <w:pStyle w:val="Personnequisigne"/>
        <w:rPr>
          <w:noProof/>
        </w:rPr>
      </w:pPr>
    </w:p>
    <w:sectPr w:rsidR="00430BC2" w:rsidRPr="000F6381" w:rsidSect="001E1385">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385" w:rsidRPr="001E1385" w:rsidRDefault="001E1385" w:rsidP="001E1385">
    <w:pPr>
      <w:pStyle w:val="Footer"/>
      <w:rPr>
        <w:rFonts w:ascii="Arial" w:hAnsi="Arial" w:cs="Arial"/>
        <w:b/>
        <w:sz w:val="48"/>
      </w:rPr>
    </w:pPr>
    <w:r w:rsidRPr="001E1385">
      <w:rPr>
        <w:rFonts w:ascii="Arial" w:hAnsi="Arial" w:cs="Arial"/>
        <w:b/>
        <w:sz w:val="48"/>
      </w:rPr>
      <w:t>FI</w:t>
    </w:r>
    <w:r w:rsidRPr="001E1385">
      <w:rPr>
        <w:rFonts w:ascii="Arial" w:hAnsi="Arial" w:cs="Arial"/>
        <w:b/>
        <w:sz w:val="48"/>
      </w:rPr>
      <w:tab/>
    </w:r>
    <w:r w:rsidRPr="001E1385">
      <w:rPr>
        <w:rFonts w:ascii="Arial" w:hAnsi="Arial" w:cs="Arial"/>
        <w:b/>
        <w:sz w:val="48"/>
      </w:rPr>
      <w:tab/>
    </w:r>
    <w:r w:rsidRPr="001E1385">
      <w:tab/>
    </w:r>
    <w:r w:rsidRPr="001E1385">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385" w:rsidRPr="001E1385" w:rsidRDefault="001E1385" w:rsidP="001E1385">
    <w:pPr>
      <w:pStyle w:val="Footer"/>
      <w:rPr>
        <w:rFonts w:ascii="Arial" w:hAnsi="Arial" w:cs="Arial"/>
        <w:b/>
        <w:sz w:val="48"/>
      </w:rPr>
    </w:pPr>
    <w:r w:rsidRPr="001E1385">
      <w:rPr>
        <w:rFonts w:ascii="Arial" w:hAnsi="Arial" w:cs="Arial"/>
        <w:b/>
        <w:sz w:val="48"/>
      </w:rPr>
      <w:t>FI</w:t>
    </w:r>
    <w:r w:rsidRPr="001E1385">
      <w:rPr>
        <w:rFonts w:ascii="Arial" w:hAnsi="Arial" w:cs="Arial"/>
        <w:b/>
        <w:sz w:val="48"/>
      </w:rPr>
      <w:tab/>
    </w:r>
    <w:r w:rsidRPr="001E1385">
      <w:rPr>
        <w:rFonts w:ascii="Arial" w:hAnsi="Arial" w:cs="Arial"/>
        <w:b/>
        <w:sz w:val="48"/>
      </w:rPr>
      <w:tab/>
    </w:r>
    <w:r w:rsidRPr="001E1385">
      <w:tab/>
    </w:r>
    <w:r w:rsidRPr="001E1385">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385" w:rsidRPr="001E1385" w:rsidRDefault="001E1385" w:rsidP="001E13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385" w:rsidRDefault="001E13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385" w:rsidRPr="001E1385" w:rsidRDefault="001E1385" w:rsidP="001E1385">
    <w:pPr>
      <w:pStyle w:val="Footer"/>
      <w:rPr>
        <w:rFonts w:ascii="Arial" w:hAnsi="Arial" w:cs="Arial"/>
        <w:b/>
        <w:sz w:val="48"/>
      </w:rPr>
    </w:pPr>
    <w:r w:rsidRPr="001E1385">
      <w:rPr>
        <w:rFonts w:ascii="Arial" w:hAnsi="Arial" w:cs="Arial"/>
        <w:b/>
        <w:sz w:val="48"/>
      </w:rPr>
      <w:t>FI</w:t>
    </w:r>
    <w:r w:rsidRPr="001E1385">
      <w:rPr>
        <w:rFonts w:ascii="Arial" w:hAnsi="Arial" w:cs="Arial"/>
        <w:b/>
        <w:sz w:val="48"/>
      </w:rPr>
      <w:tab/>
    </w:r>
    <w:r>
      <w:fldChar w:fldCharType="begin"/>
    </w:r>
    <w:r>
      <w:instrText xml:space="preserve"> PAGE  \* MERGEFORMAT </w:instrText>
    </w:r>
    <w:r>
      <w:fldChar w:fldCharType="separate"/>
    </w:r>
    <w:r w:rsidR="003532DA">
      <w:rPr>
        <w:noProof/>
      </w:rPr>
      <w:t>3</w:t>
    </w:r>
    <w:r>
      <w:fldChar w:fldCharType="end"/>
    </w:r>
    <w:r>
      <w:tab/>
    </w:r>
    <w:r w:rsidRPr="001E1385">
      <w:tab/>
    </w:r>
    <w:r w:rsidRPr="001E1385">
      <w:rPr>
        <w:rFonts w:ascii="Arial" w:hAnsi="Arial" w:cs="Arial"/>
        <w:b/>
        <w:sz w:val="48"/>
      </w:rPr>
      <w:t>FI</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385" w:rsidRDefault="001E1385" w:rsidP="001E1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980B82" w:rsidRDefault="00430BC2" w:rsidP="00430BC2">
      <w:pPr>
        <w:pStyle w:val="FootnoteText"/>
      </w:pPr>
      <w:r>
        <w:rPr>
          <w:rStyle w:val="FootnoteReference"/>
        </w:rPr>
        <w:footnoteRef/>
      </w:r>
      <w:r>
        <w:tab/>
        <w:t>EUVL L 176, 27.6.2013, s. 1, ELI: http://data.europa.eu/eli/reg/2013/575/oj.</w:t>
      </w:r>
    </w:p>
  </w:footnote>
  <w:footnote w:id="2">
    <w:p w:rsidR="00430BC2" w:rsidRPr="006510B1" w:rsidRDefault="00430BC2" w:rsidP="00430BC2">
      <w:pPr>
        <w:pStyle w:val="FootnoteText"/>
        <w:rPr>
          <w:rFonts w:eastAsiaTheme="minorEastAsia"/>
        </w:rPr>
      </w:pPr>
      <w:r>
        <w:rPr>
          <w:rStyle w:val="FootnoteReference"/>
        </w:rPr>
        <w:footnoteRef/>
      </w:r>
      <w:r>
        <w:tab/>
        <w:t xml:space="preserve">Euroopan parlamentin ja neuvoston asetus (EU) 2024/1623, annettu 31 päivänä toukokuuta 2024, asetuksen (EU) N:o 575/2013 muuttamisesta luottoriskiä, vastuun arvonoikaisuriskiä, operatiivista riskiä, markkinariskiä ja kokonaisriskipainolattiaa koskevien vaatimusten osalta (EUVL L, 19.6.2024, s. 1, ELI: </w:t>
      </w:r>
      <w:bookmarkStart w:id="1" w:name="_Hlk198544494"/>
      <w:r>
        <w:t>http://data.europa.eu/eli/reg/2024/1623/oj</w:t>
      </w:r>
      <w:bookmarkEnd w:id="1"/>
      <w:r>
        <w:t>).</w:t>
      </w:r>
    </w:p>
  </w:footnote>
  <w:footnote w:id="3">
    <w:p w:rsidR="00430BC2" w:rsidRPr="006510B1" w:rsidRDefault="00430BC2" w:rsidP="00430BC2">
      <w:pPr>
        <w:pStyle w:val="FootnoteText"/>
      </w:pPr>
      <w:r>
        <w:rPr>
          <w:rStyle w:val="FootnoteReference"/>
        </w:rPr>
        <w:footnoteRef/>
      </w:r>
      <w:r>
        <w:tab/>
        <w:t>Komission täytäntöönpanoasetus (EU) 2024/3117, annettu 29 päivänä marraskuuta 2024, teknisistä täytäntöönpanostandardeista Euroopan parlamentin ja neuvoston asetuksen (EU) N:o 575/2013 soveltamiseksi laitosten vakavaraisuusvalvontaan liittyvän raportoinnin osalta ja komission täytäntöönpanoasetuksen (EU) 2021/451 kumoamisesta (EUVL L, 2024/3117, 27.12.2024, s. 1, ELI: </w:t>
      </w:r>
      <w:bookmarkStart w:id="2" w:name="_Hlk198544532"/>
      <w:r>
        <w:fldChar w:fldCharType="begin"/>
      </w:r>
      <w:r>
        <w:instrText>HYPERLINK "http://data.europa.eu/eli/reg_impl/2024/3117/oj" \t "_blank" \o "Avaa asiakirjan ELI URI -osoitteen kautta."</w:instrText>
      </w:r>
      <w:r>
        <w:fldChar w:fldCharType="separate"/>
      </w:r>
      <w:r>
        <w:t>http://data.europa.eu/eli/reg_impl/2024/3117/oj</w:t>
      </w:r>
      <w:r>
        <w:fldChar w:fldCharType="end"/>
      </w:r>
      <w:bookmarkEnd w:id="2"/>
      <w:r>
        <w:t>).</w:t>
      </w:r>
    </w:p>
  </w:footnote>
  <w:footnote w:id="4">
    <w:p w:rsidR="00430BC2" w:rsidRPr="0029202E" w:rsidRDefault="00430BC2" w:rsidP="00430BC2">
      <w:pPr>
        <w:pStyle w:val="FootnoteText"/>
      </w:pPr>
      <w:r>
        <w:rPr>
          <w:rStyle w:val="FootnoteReference"/>
        </w:rPr>
        <w:footnoteRef/>
      </w:r>
      <w:r>
        <w:tab/>
        <w:t>Komission delegoitu asetus (EU) 2025/1496, annettu 12 päivänä kesäkuuta 2025, Euroopan parlamentin ja neuvoston asetuksen (EU) N:o 575/2013 muuttamisesta markkinariskiä koskevien omien varojen vaatimusten soveltamispäivän osalta (EUVL L, 2025/1496, 19.9.2025, ELI: http://data.europa.eu/eli/reg_del/2025/1496/oj).</w:t>
      </w:r>
    </w:p>
  </w:footnote>
  <w:footnote w:id="5">
    <w:p w:rsidR="00430BC2" w:rsidRDefault="00430BC2" w:rsidP="00430BC2">
      <w:pPr>
        <w:pStyle w:val="FootnoteText"/>
      </w:pPr>
      <w:r>
        <w:rPr>
          <w:rStyle w:val="FootnoteReference"/>
        </w:rPr>
        <w:footnoteRef/>
      </w:r>
      <w:r>
        <w:tab/>
        <w:t xml:space="preserve">Komission täytäntöönpanoasetus (EU) 2021/451, annettu 17 päivänä joulukuuta 2020, teknisistä täytäntöönpanostandardeista Euroopan parlamentin ja neuvoston asetuksen (EU) N:o 575/2013 soveltamiseksi laitosten vakavaraisuusvalvontaan liittyvän raportoinnin osalta ja täytäntöönpanoasetuksen (EU) N:o 680/2014 kumoamisesta (EUVL L 97, 19.3.2021, s. 1, ELI: </w:t>
      </w:r>
      <w:hyperlink r:id="rId1" w:history="1">
        <w:r>
          <w:rPr>
            <w:rStyle w:val="Hyperlink"/>
          </w:rPr>
          <w:t>http://data.europa.eu/eli/reg_impl/2021/451/oj</w:t>
        </w:r>
      </w:hyperlink>
      <w:r>
        <w:t>).</w:t>
      </w:r>
    </w:p>
  </w:footnote>
  <w:footnote w:id="6">
    <w:p w:rsidR="00430BC2" w:rsidRPr="006510B1" w:rsidRDefault="00430BC2" w:rsidP="00430BC2">
      <w:pPr>
        <w:pStyle w:val="FootnoteText"/>
      </w:pPr>
      <w:r>
        <w:rPr>
          <w:rStyle w:val="FootnoteReference"/>
        </w:rPr>
        <w:footnoteRef/>
      </w:r>
      <w:r>
        <w:tab/>
      </w:r>
      <w:bookmarkStart w:id="3" w:name="_Hlk198544390"/>
      <w:r>
        <w:t>Euroopan parlamentin ja neuvoston asetus (EU) N:o 1093/2010, annettu 24 päivänä marraskuuta 2010, Euroopan valvontaviranomaisen</w:t>
      </w:r>
      <w:bookmarkEnd w:id="3"/>
      <w:r>
        <w:t xml:space="preserve"> (Euroopan pankkiviranomainen) perustamisesta sekä päätöksen N:o 716/2009/EY muuttamisesta ja komission päätöksen 2009/78/EY kumoamisesta (EUVL L 331, 15.12.2010, s.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385" w:rsidRPr="001E1385" w:rsidRDefault="001E1385" w:rsidP="001E1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385" w:rsidRPr="001E1385" w:rsidRDefault="001E1385" w:rsidP="001E1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385" w:rsidRPr="001E1385" w:rsidRDefault="001E1385" w:rsidP="001E13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385" w:rsidRDefault="001E13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385" w:rsidRDefault="001E1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8"/>
    <w:lvlOverride w:ilvl="0">
      <w:startOverride w:val="1"/>
    </w:lvlOverride>
  </w:num>
  <w:num w:numId="3">
    <w:abstractNumId w:val="2"/>
  </w:num>
  <w:num w:numId="4">
    <w:abstractNumId w:val="1"/>
  </w:num>
  <w:num w:numId="5">
    <w:abstractNumId w:val="0"/>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05:4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95A2A36-A7CE-4FE5-917B-13387F1A34DC"/>
    <w:docVar w:name="LW_COVERPAGE_TYPE" w:val="1"/>
    <w:docVar w:name="LW_CreatedUtc" w:val="2025-10-08T14:24:25.1973363Z"/>
    <w:docVar w:name="LW_CROSSREFERENCE" w:val="&lt;UNUSED&gt;"/>
    <w:docVar w:name="LW_DATE.ADOPT.CP" w:val="annettu 8.12.2025,"/>
    <w:docVar w:name="LW_DATE.ADOPT.CP_DATEFORMAT" w:val="annettu %DATE%,"/>
    <w:docVar w:name="LW_DATE.ADOPT.CP_ISODATE" w:val="2025-12-08"/>
    <w:docVar w:name="LW_DocType" w:val="COM"/>
    <w:docVar w:name="LW_EMISSION" w:val="8.12.2025"/>
    <w:docVar w:name="LW_EMISSION_ISODATE" w:val="2025-12-08"/>
    <w:docVar w:name="LW_EMISSION_LOCATION" w:val="BRX"/>
    <w:docVar w:name="LW_EMISSION_PREFIX" w:val="Bryssel "/>
    <w:docVar w:name="LW_EMISSION_SUFFIX" w:val=" "/>
    <w:docVar w:name="LW_ID_DOCMODEL" w:val="SJ-004"/>
    <w:docVar w:name="LW_ID_DOCSIGNATURE" w:val="SJ-004"/>
    <w:docVar w:name="LW_ID_DOCSTRUCTURE" w:val="COM/AA"/>
    <w:docVar w:name="LW_ID_DOCTYPE" w:val="SJ-004"/>
    <w:docVar w:name="LW_INTERETEEE.CP" w:val="(ETA:n kannalta merkityksellinen teksti)"/>
    <w:docVar w:name="LW_LANGUE" w:val="FI"/>
    <w:docVar w:name="LW_LANGUESFAISANTFOI.CP" w:val="&lt;UNUSED&gt;"/>
    <w:docVar w:name="LW_LEVEL_OF_SENSITIVITY" w:val="Standard treatment"/>
    <w:docVar w:name="LW_NOM.INST" w:val="EUROOPAN KOMISSIO"/>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äytäntöönpanoasetuksessa (EU) 2024/3117 vahvistettujen teknisten täytäntöönpanostandardien muuttamisesta operatiivista riskiä koskevaan vakavaraisuusvalvontaan liittyvän raportoinnin osalta"/>
    <w:docVar w:name="LW_TYPE.DOC.CP" w:val="KOMISSION TÄYTÄNTÖÖNPANOASETUS (EU) \u8230?/\u8230?,"/>
    <w:docVar w:name="LwApiVersions" w:val="LW4CoDe 1.24.5.0; LW 9.2, Build 20251112"/>
  </w:docVars>
  <w:rsids>
    <w:rsidRoot w:val="00430BC2"/>
    <w:rsid w:val="00017C96"/>
    <w:rsid w:val="0004435A"/>
    <w:rsid w:val="00050CA3"/>
    <w:rsid w:val="000F34B4"/>
    <w:rsid w:val="000F6381"/>
    <w:rsid w:val="001065F5"/>
    <w:rsid w:val="001238EF"/>
    <w:rsid w:val="00133705"/>
    <w:rsid w:val="00151C13"/>
    <w:rsid w:val="00197613"/>
    <w:rsid w:val="001E1385"/>
    <w:rsid w:val="00233DC7"/>
    <w:rsid w:val="00236CBE"/>
    <w:rsid w:val="00247779"/>
    <w:rsid w:val="0024778A"/>
    <w:rsid w:val="00285BEE"/>
    <w:rsid w:val="00294FF0"/>
    <w:rsid w:val="0029533F"/>
    <w:rsid w:val="0029788A"/>
    <w:rsid w:val="002B30AF"/>
    <w:rsid w:val="002E5318"/>
    <w:rsid w:val="0033344A"/>
    <w:rsid w:val="003532DA"/>
    <w:rsid w:val="0038150A"/>
    <w:rsid w:val="00393BBE"/>
    <w:rsid w:val="0042648E"/>
    <w:rsid w:val="00430BC2"/>
    <w:rsid w:val="004404AB"/>
    <w:rsid w:val="00445072"/>
    <w:rsid w:val="00487D9D"/>
    <w:rsid w:val="004936D2"/>
    <w:rsid w:val="004C7C76"/>
    <w:rsid w:val="005152A4"/>
    <w:rsid w:val="0055312E"/>
    <w:rsid w:val="00561998"/>
    <w:rsid w:val="00562257"/>
    <w:rsid w:val="005B1EB6"/>
    <w:rsid w:val="00632BF1"/>
    <w:rsid w:val="00675E27"/>
    <w:rsid w:val="006A2494"/>
    <w:rsid w:val="006A3A74"/>
    <w:rsid w:val="006C7990"/>
    <w:rsid w:val="006F3E02"/>
    <w:rsid w:val="0076425B"/>
    <w:rsid w:val="00773331"/>
    <w:rsid w:val="007932EF"/>
    <w:rsid w:val="007C0795"/>
    <w:rsid w:val="007E05B0"/>
    <w:rsid w:val="008044EC"/>
    <w:rsid w:val="008113F8"/>
    <w:rsid w:val="00847BAB"/>
    <w:rsid w:val="00853BE1"/>
    <w:rsid w:val="00874D22"/>
    <w:rsid w:val="00883B63"/>
    <w:rsid w:val="0089317B"/>
    <w:rsid w:val="008A2914"/>
    <w:rsid w:val="008E4D8E"/>
    <w:rsid w:val="008F28E3"/>
    <w:rsid w:val="00920DCC"/>
    <w:rsid w:val="0092466B"/>
    <w:rsid w:val="00957BDE"/>
    <w:rsid w:val="009F2131"/>
    <w:rsid w:val="00A07D11"/>
    <w:rsid w:val="00A26B73"/>
    <w:rsid w:val="00A362F7"/>
    <w:rsid w:val="00A50C30"/>
    <w:rsid w:val="00A9563C"/>
    <w:rsid w:val="00AC2E30"/>
    <w:rsid w:val="00AC7881"/>
    <w:rsid w:val="00AD7C0F"/>
    <w:rsid w:val="00AE3DBA"/>
    <w:rsid w:val="00B40F1A"/>
    <w:rsid w:val="00B443FE"/>
    <w:rsid w:val="00C12301"/>
    <w:rsid w:val="00C84FA7"/>
    <w:rsid w:val="00C862B2"/>
    <w:rsid w:val="00C93048"/>
    <w:rsid w:val="00CE1BA2"/>
    <w:rsid w:val="00D03513"/>
    <w:rsid w:val="00D03DAA"/>
    <w:rsid w:val="00D17C8A"/>
    <w:rsid w:val="00D20381"/>
    <w:rsid w:val="00D60BD7"/>
    <w:rsid w:val="00D7726B"/>
    <w:rsid w:val="00E010E2"/>
    <w:rsid w:val="00E40A5F"/>
    <w:rsid w:val="00E62772"/>
    <w:rsid w:val="00EA1354"/>
    <w:rsid w:val="00F47C85"/>
    <w:rsid w:val="00F6073B"/>
    <w:rsid w:val="00F752CF"/>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ListBullet2">
    <w:name w:val="List Bullet 2"/>
    <w:basedOn w:val="Normal"/>
    <w:uiPriority w:val="99"/>
    <w:semiHidden/>
    <w:unhideWhenUsed/>
    <w:rsid w:val="0004435A"/>
    <w:pPr>
      <w:numPr>
        <w:numId w:val="3"/>
      </w:numPr>
      <w:contextualSpacing/>
    </w:pPr>
  </w:style>
  <w:style w:type="paragraph" w:styleId="ListBullet3">
    <w:name w:val="List Bullet 3"/>
    <w:basedOn w:val="Normal"/>
    <w:uiPriority w:val="99"/>
    <w:semiHidden/>
    <w:unhideWhenUsed/>
    <w:rsid w:val="0004435A"/>
    <w:pPr>
      <w:numPr>
        <w:numId w:val="4"/>
      </w:numPr>
      <w:contextualSpacing/>
    </w:pPr>
  </w:style>
  <w:style w:type="paragraph" w:styleId="ListBullet4">
    <w:name w:val="List Bullet 4"/>
    <w:basedOn w:val="Normal"/>
    <w:uiPriority w:val="99"/>
    <w:semiHidden/>
    <w:unhideWhenUsed/>
    <w:rsid w:val="0004435A"/>
    <w:pPr>
      <w:numPr>
        <w:numId w:val="5"/>
      </w:numPr>
      <w:contextualSpacing/>
    </w:pPr>
  </w:style>
  <w:style w:type="paragraph" w:styleId="CommentSubject">
    <w:name w:val="annotation subject"/>
    <w:basedOn w:val="CommentText"/>
    <w:next w:val="CommentText"/>
    <w:link w:val="CommentSubjectChar"/>
    <w:uiPriority w:val="99"/>
    <w:semiHidden/>
    <w:unhideWhenUsed/>
    <w:rsid w:val="00D03DAA"/>
    <w:rPr>
      <w:b/>
      <w:bCs/>
    </w:rPr>
  </w:style>
  <w:style w:type="character" w:customStyle="1" w:styleId="CommentSubjectChar">
    <w:name w:val="Comment Subject Char"/>
    <w:basedOn w:val="CommentTextChar"/>
    <w:link w:val="CommentSubject"/>
    <w:uiPriority w:val="99"/>
    <w:semiHidden/>
    <w:rsid w:val="00D03DAA"/>
    <w:rPr>
      <w:rFonts w:ascii="Times New Roman" w:hAnsi="Times New Roman" w:cs="Times New Roman"/>
      <w:b/>
      <w:bCs/>
      <w:sz w:val="20"/>
      <w:szCs w:val="20"/>
      <w:lang w:val="fi-FI"/>
    </w:rPr>
  </w:style>
  <w:style w:type="character" w:customStyle="1" w:styleId="HeaderChar">
    <w:name w:val="Header Char"/>
    <w:basedOn w:val="DefaultParagraphFont"/>
    <w:link w:val="Header"/>
    <w:uiPriority w:val="99"/>
    <w:rsid w:val="001E1385"/>
    <w:rPr>
      <w:rFonts w:ascii="Times New Roman" w:hAnsi="Times New Roman" w:cs="Times New Roman"/>
      <w:sz w:val="24"/>
      <w:lang w:val="fi-FI"/>
    </w:rPr>
  </w:style>
  <w:style w:type="character" w:customStyle="1" w:styleId="FooterChar">
    <w:name w:val="Footer Char"/>
    <w:basedOn w:val="DefaultParagraphFont"/>
    <w:link w:val="Footer"/>
    <w:uiPriority w:val="99"/>
    <w:rsid w:val="001E1385"/>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E138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E1385"/>
    <w:pPr>
      <w:spacing w:before="0"/>
      <w:jc w:val="right"/>
    </w:pPr>
    <w:rPr>
      <w:sz w:val="28"/>
    </w:rPr>
  </w:style>
  <w:style w:type="paragraph" w:customStyle="1" w:styleId="FooterSensitivity">
    <w:name w:val="Footer Sensitivity"/>
    <w:basedOn w:val="Normal"/>
    <w:rsid w:val="001E138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1E1385"/>
    <w:pPr>
      <w:tabs>
        <w:tab w:val="center" w:pos="4535"/>
        <w:tab w:val="right" w:pos="9071"/>
      </w:tabs>
      <w:spacing w:before="0"/>
    </w:pPr>
  </w:style>
  <w:style w:type="paragraph" w:customStyle="1" w:styleId="HeaderLandscape">
    <w:name w:val="HeaderLandscape"/>
    <w:basedOn w:val="Normal"/>
    <w:rsid w:val="001E1385"/>
    <w:pPr>
      <w:tabs>
        <w:tab w:val="center" w:pos="7285"/>
        <w:tab w:val="right" w:pos="14003"/>
      </w:tabs>
      <w:spacing w:before="0"/>
    </w:pPr>
  </w:style>
  <w:style w:type="paragraph" w:styleId="Footer">
    <w:name w:val="footer"/>
    <w:basedOn w:val="Normal"/>
    <w:link w:val="FooterChar"/>
    <w:uiPriority w:val="99"/>
    <w:unhideWhenUsed/>
    <w:rsid w:val="001E138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E138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F1C9D-532B-4096-967F-5333FFF240DB}"/>
</file>

<file path=customXml/itemProps2.xml><?xml version="1.0" encoding="utf-8"?>
<ds:datastoreItem xmlns:ds="http://schemas.openxmlformats.org/officeDocument/2006/customXml" ds:itemID="{7D2FDB2E-ECC8-41E5-A5A2-3F49B9216CA5}"/>
</file>

<file path=customXml/itemProps3.xml><?xml version="1.0" encoding="utf-8"?>
<ds:datastoreItem xmlns:ds="http://schemas.openxmlformats.org/officeDocument/2006/customXml" ds:itemID="{BA591D55-4F61-40A4-B981-946FB2CCA331}"/>
</file>

<file path=docProps/app.xml><?xml version="1.0" encoding="utf-8"?>
<Properties xmlns="http://schemas.openxmlformats.org/officeDocument/2006/extended-properties" xmlns:vt="http://schemas.openxmlformats.org/officeDocument/2006/docPropsVTypes">
  <Template>COM.dotm</Template>
  <TotalTime>7</TotalTime>
  <Pages>4</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dcterms:created xsi:type="dcterms:W3CDTF">2025-11-19T12:59:00Z</dcterms:created>
  <dcterms:modified xsi:type="dcterms:W3CDTF">2025-12-02T09:05:00Z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