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9A7E18" w:rsidRDefault="007570E3" w:rsidP="007570E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185FF2E-BAC7-4113-9DA7-986CA9733B77" style="width:455.25pt;height:345.75pt">
            <v:imagedata r:id="rId7" o:title=""/>
          </v:shape>
        </w:pict>
      </w:r>
    </w:p>
    <w:p w:rsidR="00430BC2" w:rsidRPr="009A7E18" w:rsidRDefault="00430BC2">
      <w:pPr>
        <w:rPr>
          <w:noProof/>
        </w:rPr>
        <w:sectPr w:rsidR="00430BC2" w:rsidRPr="009A7E18" w:rsidSect="007570E3">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9A7E18" w:rsidRDefault="009A7E18" w:rsidP="009A7E18">
      <w:pPr>
        <w:pStyle w:val="Typedudocument"/>
        <w:rPr>
          <w:noProof/>
        </w:rPr>
      </w:pPr>
      <w:bookmarkStart w:id="0" w:name="_GoBack"/>
      <w:bookmarkEnd w:id="0"/>
      <w:r w:rsidRPr="009A7E18">
        <w:rPr>
          <w:noProof/>
        </w:rPr>
        <w:lastRenderedPageBreak/>
        <w:t>KOMMISSIONENS GENNEMFØRELSESFORORDNING (EU) …/…</w:t>
      </w:r>
    </w:p>
    <w:p w:rsidR="00430BC2" w:rsidRPr="009A7E18" w:rsidRDefault="00E12D38" w:rsidP="009A7E18">
      <w:pPr>
        <w:pStyle w:val="Datedadoption"/>
        <w:rPr>
          <w:noProof/>
        </w:rPr>
      </w:pPr>
      <w:r>
        <w:rPr>
          <w:noProof/>
        </w:rPr>
        <w:t>af 8.12.2025</w:t>
      </w:r>
    </w:p>
    <w:p w:rsidR="00430BC2" w:rsidRPr="009A7E18" w:rsidRDefault="009A7E18" w:rsidP="009A7E18">
      <w:pPr>
        <w:pStyle w:val="Titreobjet"/>
        <w:rPr>
          <w:noProof/>
        </w:rPr>
      </w:pPr>
      <w:r w:rsidRPr="009A7E18">
        <w:rPr>
          <w:noProof/>
        </w:rPr>
        <w:t>om ændring af de gennemførelsesmæssige tekniske standarder i gennemførelsesforordning (EU) 2024/3117 for så vidt angår institutters indberetning af operationel risiko med henblik på tilsyn</w:t>
      </w:r>
    </w:p>
    <w:p w:rsidR="00430BC2" w:rsidRPr="009A7E18" w:rsidRDefault="009A7E18" w:rsidP="009A7E18">
      <w:pPr>
        <w:pStyle w:val="IntrtEEE"/>
        <w:rPr>
          <w:noProof/>
        </w:rPr>
      </w:pPr>
      <w:r w:rsidRPr="009A7E18">
        <w:rPr>
          <w:noProof/>
        </w:rPr>
        <w:t>(EØS-relevant tekst)</w:t>
      </w:r>
    </w:p>
    <w:p w:rsidR="00430BC2" w:rsidRPr="009A7E18" w:rsidRDefault="00430BC2" w:rsidP="004E1EF9">
      <w:pPr>
        <w:pStyle w:val="Institutionquiagit"/>
        <w:rPr>
          <w:noProof/>
        </w:rPr>
      </w:pPr>
      <w:r w:rsidRPr="009A7E18">
        <w:rPr>
          <w:noProof/>
        </w:rPr>
        <w:t>EUROPA-KOMMISSIONEN HAR –</w:t>
      </w:r>
    </w:p>
    <w:p w:rsidR="00430BC2" w:rsidRPr="009A7E18" w:rsidRDefault="00430BC2" w:rsidP="004E1EF9">
      <w:pPr>
        <w:rPr>
          <w:noProof/>
        </w:rPr>
      </w:pPr>
      <w:r w:rsidRPr="009A7E18">
        <w:rPr>
          <w:noProof/>
        </w:rPr>
        <w:t>under henvisning til Europa-Parlamentets og Rådets forordning (EU) nr. 575/2013 af 26. juni 2013 om tilsynsmæssige krav til kreditinstitutter og investeringsselskaber og om ændring af forordning (EU) nr. 648/2012</w:t>
      </w:r>
      <w:r w:rsidRPr="009A7E18">
        <w:rPr>
          <w:rStyle w:val="FootnoteReference"/>
          <w:noProof/>
        </w:rPr>
        <w:footnoteReference w:id="1"/>
      </w:r>
      <w:r w:rsidRPr="009A7E18">
        <w:rPr>
          <w:noProof/>
        </w:rPr>
        <w:t>, særlig artikel 430, stk. 7, femte afsnit, og</w:t>
      </w:r>
    </w:p>
    <w:p w:rsidR="00430BC2" w:rsidRPr="009A7E18" w:rsidRDefault="00430BC2" w:rsidP="004E1EF9">
      <w:pPr>
        <w:rPr>
          <w:noProof/>
        </w:rPr>
      </w:pPr>
      <w:r w:rsidRPr="009A7E18">
        <w:rPr>
          <w:noProof/>
        </w:rPr>
        <w:t>ud fra følgende betragtninger:</w:t>
      </w:r>
    </w:p>
    <w:p w:rsidR="00430BC2" w:rsidRPr="009A7E18" w:rsidRDefault="00114EBE" w:rsidP="00114EBE">
      <w:pPr>
        <w:pStyle w:val="ManualConsidrant"/>
        <w:rPr>
          <w:noProof/>
        </w:rPr>
      </w:pPr>
      <w:r w:rsidRPr="00114EBE">
        <w:rPr>
          <w:noProof/>
        </w:rPr>
        <w:t>(1)</w:t>
      </w:r>
      <w:r w:rsidRPr="00114EBE">
        <w:rPr>
          <w:noProof/>
        </w:rPr>
        <w:tab/>
      </w:r>
      <w:r w:rsidR="00430BC2" w:rsidRPr="009A7E18">
        <w:rPr>
          <w:noProof/>
        </w:rPr>
        <w:t>Forordning (EU) nr. 575/2013 blev ændret ved Europa-Parlamentets og Rådets forordning (EU) 2024/1623</w:t>
      </w:r>
      <w:r w:rsidR="00430BC2" w:rsidRPr="009A7E18">
        <w:rPr>
          <w:rStyle w:val="FootnoteReference"/>
          <w:noProof/>
        </w:rPr>
        <w:footnoteReference w:id="2"/>
      </w:r>
      <w:r w:rsidR="00430BC2" w:rsidRPr="009A7E18">
        <w:rPr>
          <w:noProof/>
        </w:rPr>
        <w:t xml:space="preserve"> for at gennemføre det seneste sæt internationale standarder fra Baselkomitéen for Banktilsyn (Basel III). Disse standarder førte til vedtagelsen af Kommissionens gennemførelsesforordning (EU) 2024/3117</w:t>
      </w:r>
      <w:r w:rsidR="00430BC2" w:rsidRPr="009A7E18">
        <w:rPr>
          <w:rStyle w:val="FootnoteReference"/>
          <w:noProof/>
        </w:rPr>
        <w:footnoteReference w:id="3"/>
      </w:r>
      <w:r w:rsidR="00430BC2" w:rsidRPr="009A7E18">
        <w:rPr>
          <w:noProof/>
        </w:rPr>
        <w:t>, som fastsætter gennemførelsesmæssige tekniske standarder for anvendelsen af forordning (EU) nr. 575/2013 for så vidt angår institutters indberetning med henblik på tilsyn.</w:t>
      </w:r>
    </w:p>
    <w:p w:rsidR="00430BC2" w:rsidRPr="009A7E18" w:rsidRDefault="00114EBE" w:rsidP="00114EBE">
      <w:pPr>
        <w:pStyle w:val="ManualConsidrant"/>
        <w:rPr>
          <w:noProof/>
        </w:rPr>
      </w:pPr>
      <w:r w:rsidRPr="00114EBE">
        <w:rPr>
          <w:noProof/>
        </w:rPr>
        <w:t>(2)</w:t>
      </w:r>
      <w:r w:rsidRPr="00114EBE">
        <w:rPr>
          <w:noProof/>
        </w:rPr>
        <w:tab/>
      </w:r>
      <w:r w:rsidR="00430BC2" w:rsidRPr="009A7E18">
        <w:rPr>
          <w:noProof/>
        </w:rPr>
        <w:t>I betragtning af ændringerne af tilsynsrammen for kapitalgrundlagskrav vedrørende operationel risiko var det nødvendigt med nye indberetningsskemaer for at sikre, at institutterne indberetter i overensstemmelse med den nye ramme. Selv om nogle af disse ændringer af indberetningsskemaerne allerede blev indført ved forordning (EU) 2024/3117, var det kun muligt at ajourføre flere andre skemaer efter yderligere teknisk udvikling af kravene vedrørende operationel risiko, navnlig med hensyn til specifikationen af komponenterne i forretningsindikatoren, de poster, der skal udelukkes fra forretningsindikatoren, og deres konvertering til de tilsvarende indberetningsfelter.</w:t>
      </w:r>
    </w:p>
    <w:p w:rsidR="00430BC2" w:rsidRPr="009A7E18" w:rsidRDefault="00114EBE" w:rsidP="00114EBE">
      <w:pPr>
        <w:pStyle w:val="ManualConsidrant"/>
        <w:rPr>
          <w:noProof/>
        </w:rPr>
      </w:pPr>
      <w:r w:rsidRPr="00114EBE">
        <w:rPr>
          <w:noProof/>
        </w:rPr>
        <w:t>(3)</w:t>
      </w:r>
      <w:r w:rsidRPr="00114EBE">
        <w:rPr>
          <w:noProof/>
        </w:rPr>
        <w:tab/>
      </w:r>
      <w:r w:rsidR="00430BC2" w:rsidRPr="009A7E18">
        <w:rPr>
          <w:noProof/>
        </w:rPr>
        <w:t>Ved Kommissionens delegerede forordning (EU) 2025/1496</w:t>
      </w:r>
      <w:r w:rsidR="00430BC2" w:rsidRPr="009A7E18">
        <w:rPr>
          <w:rStyle w:val="FootnoteReference"/>
          <w:noProof/>
        </w:rPr>
        <w:footnoteReference w:id="4"/>
      </w:r>
      <w:r w:rsidR="00430BC2" w:rsidRPr="009A7E18">
        <w:rPr>
          <w:noProof/>
        </w:rPr>
        <w:t xml:space="preserve"> blev anvendelsesdatoen for kapitalgrundlagskravene vedrørende markedsrisiko udsat til den 1. januar 2027. Som følge heraf er det nødvendigt at bevare de eksisterende krav om indberetning af markedsrisici, der gælder indtil den 31. december 2026, uden ændringer. Overgangsbestemmelserne i forordning (EU) 2024/3117 bør derfor forlænges, og ophævelsen af de relevante bestemmelser i Kommissionens gennemførelsesforordning (EU) 2021/451</w:t>
      </w:r>
      <w:r w:rsidR="00430BC2" w:rsidRPr="009A7E18">
        <w:rPr>
          <w:rStyle w:val="FootnoteReference"/>
          <w:noProof/>
        </w:rPr>
        <w:footnoteReference w:id="5"/>
      </w:r>
      <w:r w:rsidR="00430BC2" w:rsidRPr="009A7E18">
        <w:rPr>
          <w:noProof/>
        </w:rPr>
        <w:t xml:space="preserve"> bør udsættes med endnu et år. </w:t>
      </w:r>
    </w:p>
    <w:p w:rsidR="00430BC2" w:rsidRPr="009A7E18" w:rsidRDefault="00114EBE" w:rsidP="00114EBE">
      <w:pPr>
        <w:pStyle w:val="ManualConsidrant"/>
        <w:rPr>
          <w:noProof/>
        </w:rPr>
      </w:pPr>
      <w:r w:rsidRPr="00114EBE">
        <w:rPr>
          <w:noProof/>
        </w:rPr>
        <w:t>(4)</w:t>
      </w:r>
      <w:r w:rsidRPr="00114EBE">
        <w:rPr>
          <w:noProof/>
        </w:rPr>
        <w:tab/>
      </w:r>
      <w:r w:rsidR="00430BC2" w:rsidRPr="009A7E18">
        <w:rPr>
          <w:noProof/>
        </w:rPr>
        <w:t>Gennemførelsesforordning (EU) 2024/3117 bør derfor ændres.</w:t>
      </w:r>
    </w:p>
    <w:p w:rsidR="00430BC2" w:rsidRPr="009A7E18" w:rsidRDefault="00114EBE" w:rsidP="00114EBE">
      <w:pPr>
        <w:pStyle w:val="ManualConsidrant"/>
        <w:rPr>
          <w:noProof/>
        </w:rPr>
      </w:pPr>
      <w:r w:rsidRPr="00114EBE">
        <w:rPr>
          <w:noProof/>
        </w:rPr>
        <w:t>(5)</w:t>
      </w:r>
      <w:r w:rsidRPr="00114EBE">
        <w:rPr>
          <w:noProof/>
        </w:rPr>
        <w:tab/>
      </w:r>
      <w:r w:rsidR="00430BC2" w:rsidRPr="009A7E18">
        <w:rPr>
          <w:noProof/>
        </w:rPr>
        <w:t>Denne forordning er baseret på det udkast til gennemførelsesmæssige tekniske standarder, som Den Europæiske Banktilsynsmyndighed (EBA) har forelagt Kommissionen.</w:t>
      </w:r>
    </w:p>
    <w:p w:rsidR="00430BC2" w:rsidRPr="009A7E18" w:rsidRDefault="00114EBE" w:rsidP="00114EBE">
      <w:pPr>
        <w:pStyle w:val="ManualConsidrant"/>
        <w:rPr>
          <w:noProof/>
        </w:rPr>
      </w:pPr>
      <w:r w:rsidRPr="00114EBE">
        <w:rPr>
          <w:noProof/>
        </w:rPr>
        <w:t>(6)</w:t>
      </w:r>
      <w:r w:rsidRPr="00114EBE">
        <w:rPr>
          <w:noProof/>
        </w:rPr>
        <w:tab/>
      </w:r>
      <w:r w:rsidR="00430BC2" w:rsidRPr="009A7E18">
        <w:rPr>
          <w:noProof/>
        </w:rPr>
        <w:t>EBA har gennemført åbne offentlige høringer om udkastene til gennemførelsesmæssige tekniske standarder, som ligger til grund for denne forordning, analyseret de potentielle omkostninger og fordele samt anmodet interessentgruppen for banker, som er nedsat i henhold til artikel 37 i Europa-Parlamentets og Rådets forordning (EU) nr. 1093/2010</w:t>
      </w:r>
      <w:r w:rsidR="00430BC2" w:rsidRPr="009A7E18">
        <w:rPr>
          <w:rStyle w:val="FootnoteReference"/>
          <w:noProof/>
        </w:rPr>
        <w:footnoteReference w:id="6"/>
      </w:r>
      <w:r w:rsidR="00430BC2" w:rsidRPr="009A7E18">
        <w:rPr>
          <w:noProof/>
        </w:rPr>
        <w:t>, om en udtalelse —</w:t>
      </w:r>
    </w:p>
    <w:p w:rsidR="00430BC2" w:rsidRPr="009A7E18" w:rsidRDefault="00430BC2" w:rsidP="004E1EF9">
      <w:pPr>
        <w:pStyle w:val="Formuledadoption"/>
        <w:rPr>
          <w:noProof/>
        </w:rPr>
      </w:pPr>
      <w:r w:rsidRPr="009A7E18">
        <w:rPr>
          <w:noProof/>
        </w:rPr>
        <w:t>VEDTAGET DENNE FORORDNING:</w:t>
      </w:r>
    </w:p>
    <w:p w:rsidR="00430BC2" w:rsidRPr="009A7E18" w:rsidRDefault="00430BC2" w:rsidP="004E1EF9">
      <w:pPr>
        <w:pStyle w:val="Titrearticle"/>
        <w:rPr>
          <w:noProof/>
        </w:rPr>
      </w:pPr>
      <w:r w:rsidRPr="009A7E18">
        <w:rPr>
          <w:noProof/>
        </w:rPr>
        <w:t>Artikel 1</w:t>
      </w:r>
    </w:p>
    <w:p w:rsidR="00430BC2" w:rsidRPr="009A7E18" w:rsidRDefault="00430BC2" w:rsidP="00430BC2">
      <w:pPr>
        <w:rPr>
          <w:noProof/>
        </w:rPr>
      </w:pPr>
      <w:bookmarkStart w:id="4" w:name="_Hlk198544571"/>
      <w:r w:rsidRPr="009A7E18">
        <w:rPr>
          <w:noProof/>
        </w:rPr>
        <w:t xml:space="preserve">I Kommissionens gennemførelsesforordning (EU) 2024/3117 </w:t>
      </w:r>
      <w:bookmarkEnd w:id="4"/>
      <w:r w:rsidRPr="009A7E18">
        <w:rPr>
          <w:noProof/>
        </w:rPr>
        <w:t xml:space="preserve">foretages følgende ændringer: </w:t>
      </w:r>
    </w:p>
    <w:p w:rsidR="00430BC2" w:rsidRPr="009A7E18" w:rsidRDefault="00FB7A51" w:rsidP="00FB7A51">
      <w:pPr>
        <w:pStyle w:val="Point0"/>
        <w:rPr>
          <w:noProof/>
        </w:rPr>
      </w:pPr>
      <w:r>
        <w:rPr>
          <w:noProof/>
        </w:rPr>
        <w:t>1)</w:t>
      </w:r>
      <w:r>
        <w:rPr>
          <w:noProof/>
        </w:rPr>
        <w:tab/>
      </w:r>
      <w:r w:rsidR="00430BC2" w:rsidRPr="009A7E18">
        <w:rPr>
          <w:noProof/>
        </w:rPr>
        <w:t>Artikel 5, stk. 4, affattes således:</w:t>
      </w:r>
    </w:p>
    <w:p w:rsidR="00430BC2" w:rsidRPr="009A7E18" w:rsidRDefault="00430BC2" w:rsidP="00430BC2">
      <w:pPr>
        <w:pStyle w:val="QuotedNumPar"/>
        <w:rPr>
          <w:noProof/>
        </w:rPr>
      </w:pPr>
      <w:r w:rsidRPr="009A7E18">
        <w:rPr>
          <w:noProof/>
        </w:rPr>
        <w:t>"4. Med henblik på beregning af kapitalgrundlagskravene som omhandlet i artikel 92, stk. 4, litra b), nr. i), og litra c), og artikel 92, stk. 5, litra b) og c), i forordning (EU) nr. 575/2013 indsender institutterne indtil den 31. december 2026 oplysninger om kapitalgrundlagskrav, som vedrører markedsrisici, i overensstemmelse med artikel 5, stk. 12, i gennemførelsesforordning (EU) 2021/451."</w:t>
      </w:r>
    </w:p>
    <w:p w:rsidR="00430BC2" w:rsidRPr="009A7E18" w:rsidRDefault="00FB7A51" w:rsidP="00FB7A51">
      <w:pPr>
        <w:pStyle w:val="Point0"/>
        <w:rPr>
          <w:noProof/>
        </w:rPr>
      </w:pPr>
      <w:r>
        <w:rPr>
          <w:noProof/>
        </w:rPr>
        <w:t>2)</w:t>
      </w:r>
      <w:r>
        <w:rPr>
          <w:noProof/>
        </w:rPr>
        <w:tab/>
      </w:r>
      <w:r w:rsidR="00430BC2" w:rsidRPr="009A7E18">
        <w:rPr>
          <w:noProof/>
        </w:rPr>
        <w:t>I artikel 7 indsættes som litra c):</w:t>
      </w:r>
    </w:p>
    <w:p w:rsidR="00430BC2" w:rsidRPr="009A7E18" w:rsidRDefault="00430BC2" w:rsidP="00430BC2">
      <w:pPr>
        <w:pStyle w:val="QuotedNumPar"/>
        <w:rPr>
          <w:noProof/>
        </w:rPr>
      </w:pPr>
      <w:r w:rsidRPr="009A7E18">
        <w:rPr>
          <w:noProof/>
        </w:rPr>
        <w:t>"c)</w:t>
      </w:r>
      <w:r w:rsidRPr="009A7E18">
        <w:rPr>
          <w:noProof/>
        </w:rPr>
        <w:tab/>
        <w:t>Moderinstitutter i Unionen indberetter hvert kvartal de oplysninger, der kræves i bilag I, skema C 16.04, vedrørende oplysninger om datterselskaber, der er omfattet af undtagelsen i artikel 314, stk. 3, i forordning (EU) nr. 575/2013."</w:t>
      </w:r>
    </w:p>
    <w:p w:rsidR="00430BC2" w:rsidRPr="009A7E18" w:rsidRDefault="00FB7A51" w:rsidP="00FB7A51">
      <w:pPr>
        <w:pStyle w:val="Point0"/>
        <w:rPr>
          <w:noProof/>
        </w:rPr>
      </w:pPr>
      <w:r>
        <w:rPr>
          <w:noProof/>
        </w:rPr>
        <w:t>3)</w:t>
      </w:r>
      <w:r>
        <w:rPr>
          <w:noProof/>
        </w:rPr>
        <w:tab/>
      </w:r>
      <w:r w:rsidR="00430BC2" w:rsidRPr="009A7E18">
        <w:rPr>
          <w:noProof/>
        </w:rPr>
        <w:t>Artikel 25, stk. 1 og 2, affattes således:</w:t>
      </w:r>
    </w:p>
    <w:p w:rsidR="00430BC2" w:rsidRPr="009A7E18" w:rsidRDefault="00430BC2" w:rsidP="00430BC2">
      <w:pPr>
        <w:pStyle w:val="QuotedNumPar"/>
        <w:rPr>
          <w:noProof/>
        </w:rPr>
      </w:pPr>
      <w:r w:rsidRPr="009A7E18">
        <w:rPr>
          <w:noProof/>
        </w:rPr>
        <w:t>"1. Gennemførelsesforordning (EU) 2021/451 ophører med at finde anvendelse fra den 1. januar 2025, bortset fra artikel 5, stk. 12, og bilag I, skema 18-24, og bilag II, del II, punkt 5.1-5.7. Artikel 15 i gennemførelsesforordning (EU) 2021/451 finder anvendelse indtil den 31. december 2026 udelukkende med henblik på nærværende forordnings artikel 5, stk. 4.</w:t>
      </w:r>
    </w:p>
    <w:p w:rsidR="00430BC2" w:rsidRPr="009A7E18" w:rsidRDefault="00430BC2" w:rsidP="00430BC2">
      <w:pPr>
        <w:pStyle w:val="QuotedNumPar"/>
        <w:rPr>
          <w:noProof/>
        </w:rPr>
      </w:pPr>
      <w:r w:rsidRPr="009A7E18">
        <w:rPr>
          <w:noProof/>
        </w:rPr>
        <w:t>2. Gennemførelsesforordning (EU) 2021/451 ophæves med virkning fra den 31. december 2026."</w:t>
      </w:r>
    </w:p>
    <w:p w:rsidR="00430BC2" w:rsidRPr="009A7E18" w:rsidRDefault="00FB7A51" w:rsidP="00FB7A51">
      <w:pPr>
        <w:pStyle w:val="Point0"/>
        <w:rPr>
          <w:noProof/>
        </w:rPr>
      </w:pPr>
      <w:r>
        <w:rPr>
          <w:noProof/>
        </w:rPr>
        <w:t>4)</w:t>
      </w:r>
      <w:r>
        <w:rPr>
          <w:noProof/>
        </w:rPr>
        <w:tab/>
      </w:r>
      <w:r w:rsidR="00430BC2" w:rsidRPr="009A7E18">
        <w:rPr>
          <w:noProof/>
        </w:rPr>
        <w:t xml:space="preserve">I bilag I, afsnit 1 — "Indberetning om kapitalgrundlag og kapitalgrundlagskrav", foretages følgende ændringer: </w:t>
      </w:r>
    </w:p>
    <w:p w:rsidR="00430BC2" w:rsidRPr="009A7E18" w:rsidRDefault="00FB7A51" w:rsidP="00FB7A51">
      <w:pPr>
        <w:pStyle w:val="Point1"/>
        <w:rPr>
          <w:noProof/>
        </w:rPr>
      </w:pPr>
      <w:r>
        <w:rPr>
          <w:noProof/>
        </w:rPr>
        <w:t>a)</w:t>
      </w:r>
      <w:r>
        <w:rPr>
          <w:noProof/>
        </w:rPr>
        <w:tab/>
      </w:r>
      <w:r w:rsidR="00430BC2" w:rsidRPr="009A7E18">
        <w:rPr>
          <w:noProof/>
        </w:rPr>
        <w:t>Skema "C 16.01 - OPERATIONEL RISIKO - KAPITALGRUNDLAGSKRAV (OPR OF)" erstattes af skemaet "C 16.01 - OPERATIONEL RISIKO - KAPITALGRUNDLAGSKRAV (OPR OF)" i bilaget til nærværende forordning.</w:t>
      </w:r>
    </w:p>
    <w:p w:rsidR="00430BC2" w:rsidRPr="009A7E18" w:rsidRDefault="00FB7A51" w:rsidP="00FB7A51">
      <w:pPr>
        <w:pStyle w:val="Point1"/>
        <w:rPr>
          <w:noProof/>
        </w:rPr>
      </w:pPr>
      <w:r>
        <w:rPr>
          <w:noProof/>
        </w:rPr>
        <w:t>b)</w:t>
      </w:r>
      <w:r>
        <w:rPr>
          <w:noProof/>
        </w:rPr>
        <w:tab/>
      </w:r>
      <w:r w:rsidR="00430BC2" w:rsidRPr="009A7E18">
        <w:rPr>
          <w:noProof/>
        </w:rPr>
        <w:t>Skema "C 16.02 - OPERATIONEL RISIKO - Forretningsindikatorkomponent (OPR BIC)", skema "C 16.03 - OPDELING AF OPERATIONEL RISIKO (OPR BD) - Tab, omkostninger, hensættelser og andre finansielle virkninger som følge af hændelser knyttet til operationel risiko" og skema "C 16.04 - OPERATIONEL RISIKO - Oplysninger om datterselskaber omfattet af artikel 314, stk. 3, i CRR" i bilaget til nærværende forordning tilføjes efter skema "C 16.01 - OPERATIONEL RISIKO — KAPITALGRUNDLAGSKRAV (OPR OF)".</w:t>
      </w:r>
    </w:p>
    <w:p w:rsidR="00430BC2" w:rsidRPr="009A7E18" w:rsidRDefault="00430BC2" w:rsidP="004E1EF9">
      <w:pPr>
        <w:pStyle w:val="Titrearticle"/>
        <w:rPr>
          <w:noProof/>
        </w:rPr>
      </w:pPr>
      <w:r w:rsidRPr="009A7E18">
        <w:rPr>
          <w:noProof/>
        </w:rPr>
        <w:t>Artikel 2</w:t>
      </w:r>
    </w:p>
    <w:p w:rsidR="00430BC2" w:rsidRPr="009A7E18" w:rsidRDefault="00430BC2" w:rsidP="004E1EF9">
      <w:pPr>
        <w:rPr>
          <w:noProof/>
        </w:rPr>
      </w:pPr>
      <w:r w:rsidRPr="009A7E18">
        <w:rPr>
          <w:noProof/>
        </w:rPr>
        <w:t xml:space="preserve">Denne forordning træder i kraft på tyvendedagen efter offentliggørelsen i </w:t>
      </w:r>
      <w:r w:rsidRPr="009A7E18">
        <w:rPr>
          <w:i/>
          <w:noProof/>
        </w:rPr>
        <w:t>Den Europæiske Unions Tidende</w:t>
      </w:r>
      <w:r w:rsidRPr="009A7E18">
        <w:rPr>
          <w:noProof/>
        </w:rPr>
        <w:t>.</w:t>
      </w:r>
    </w:p>
    <w:p w:rsidR="00430BC2" w:rsidRPr="009A7E18" w:rsidRDefault="00430BC2" w:rsidP="004E1EF9">
      <w:pPr>
        <w:pStyle w:val="Applicationdirecte"/>
        <w:rPr>
          <w:noProof/>
        </w:rPr>
      </w:pPr>
      <w:r w:rsidRPr="009A7E18">
        <w:rPr>
          <w:noProof/>
        </w:rPr>
        <w:t>Denne forordning er bindende i alle enkeltheder og gælder umiddelbart i hver medlemsstat.</w:t>
      </w:r>
    </w:p>
    <w:p w:rsidR="00430BC2" w:rsidRPr="009A7E18" w:rsidRDefault="00E12D38" w:rsidP="003168A4">
      <w:pPr>
        <w:pStyle w:val="Fait"/>
        <w:rPr>
          <w:noProof/>
        </w:rPr>
      </w:pPr>
      <w:r>
        <w:rPr>
          <w:noProof/>
        </w:rPr>
        <w:t>Udfærdiget i Bruxelles, den 8.12.2025.</w:t>
      </w:r>
    </w:p>
    <w:p w:rsidR="00430BC2" w:rsidRPr="009A7E18" w:rsidRDefault="00430BC2" w:rsidP="003168A4">
      <w:pPr>
        <w:pStyle w:val="Institutionquisigne"/>
        <w:rPr>
          <w:noProof/>
        </w:rPr>
      </w:pPr>
      <w:r w:rsidRPr="009A7E18">
        <w:rPr>
          <w:noProof/>
        </w:rPr>
        <w:tab/>
        <w:t>På Kommissionens vegne</w:t>
      </w:r>
    </w:p>
    <w:p w:rsidR="00CE1BA2" w:rsidRPr="009A7E18" w:rsidRDefault="00595FC9" w:rsidP="003168A4">
      <w:pPr>
        <w:pStyle w:val="Personnequisigne"/>
        <w:keepNext/>
        <w:rPr>
          <w:noProof/>
        </w:rPr>
      </w:pPr>
      <w:r>
        <w:rPr>
          <w:noProof/>
        </w:rPr>
        <w:tab/>
        <w:t>Formand</w:t>
      </w:r>
      <w:r>
        <w:rPr>
          <w:noProof/>
        </w:rPr>
        <w:br/>
      </w:r>
      <w:r>
        <w:rPr>
          <w:noProof/>
        </w:rPr>
        <w:tab/>
        <w:t>Ursula VON DER LEYEN</w:t>
      </w:r>
    </w:p>
    <w:p w:rsidR="00430BC2" w:rsidRPr="009A7E18" w:rsidRDefault="00430BC2" w:rsidP="00430BC2">
      <w:pPr>
        <w:pStyle w:val="Personnequisigne"/>
        <w:rPr>
          <w:noProof/>
        </w:rPr>
      </w:pPr>
    </w:p>
    <w:sectPr w:rsidR="00430BC2" w:rsidRPr="009A7E18" w:rsidSect="007570E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Footer"/>
      <w:rPr>
        <w:rFonts w:ascii="Arial" w:hAnsi="Arial" w:cs="Arial"/>
        <w:b/>
        <w:sz w:val="48"/>
      </w:rPr>
    </w:pPr>
    <w:r w:rsidRPr="007570E3">
      <w:rPr>
        <w:rFonts w:ascii="Arial" w:hAnsi="Arial" w:cs="Arial"/>
        <w:b/>
        <w:sz w:val="48"/>
      </w:rPr>
      <w:t>DA</w:t>
    </w:r>
    <w:r w:rsidRPr="007570E3">
      <w:rPr>
        <w:rFonts w:ascii="Arial" w:hAnsi="Arial" w:cs="Arial"/>
        <w:b/>
        <w:sz w:val="48"/>
      </w:rPr>
      <w:tab/>
    </w:r>
    <w:r w:rsidRPr="007570E3">
      <w:rPr>
        <w:rFonts w:ascii="Arial" w:hAnsi="Arial" w:cs="Arial"/>
        <w:b/>
        <w:sz w:val="48"/>
      </w:rPr>
      <w:tab/>
    </w:r>
    <w:r w:rsidRPr="007570E3">
      <w:tab/>
    </w:r>
    <w:r w:rsidRPr="007570E3">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Footer"/>
      <w:rPr>
        <w:rFonts w:ascii="Arial" w:hAnsi="Arial" w:cs="Arial"/>
        <w:b/>
        <w:sz w:val="48"/>
      </w:rPr>
    </w:pPr>
    <w:r w:rsidRPr="007570E3">
      <w:rPr>
        <w:rFonts w:ascii="Arial" w:hAnsi="Arial" w:cs="Arial"/>
        <w:b/>
        <w:sz w:val="48"/>
      </w:rPr>
      <w:t>DA</w:t>
    </w:r>
    <w:r w:rsidRPr="007570E3">
      <w:rPr>
        <w:rFonts w:ascii="Arial" w:hAnsi="Arial" w:cs="Arial"/>
        <w:b/>
        <w:sz w:val="48"/>
      </w:rPr>
      <w:tab/>
    </w:r>
    <w:r w:rsidRPr="007570E3">
      <w:rPr>
        <w:rFonts w:ascii="Arial" w:hAnsi="Arial" w:cs="Arial"/>
        <w:b/>
        <w:sz w:val="48"/>
      </w:rPr>
      <w:tab/>
    </w:r>
    <w:r w:rsidRPr="007570E3">
      <w:tab/>
    </w:r>
    <w:r w:rsidRPr="007570E3">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Default="007570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Footer"/>
      <w:rPr>
        <w:rFonts w:ascii="Arial" w:hAnsi="Arial" w:cs="Arial"/>
        <w:b/>
        <w:sz w:val="48"/>
      </w:rPr>
    </w:pPr>
    <w:r w:rsidRPr="007570E3">
      <w:rPr>
        <w:rFonts w:ascii="Arial" w:hAnsi="Arial" w:cs="Arial"/>
        <w:b/>
        <w:sz w:val="48"/>
      </w:rPr>
      <w:t>DA</w:t>
    </w:r>
    <w:r w:rsidRPr="007570E3">
      <w:rPr>
        <w:rFonts w:ascii="Arial" w:hAnsi="Arial" w:cs="Arial"/>
        <w:b/>
        <w:sz w:val="48"/>
      </w:rPr>
      <w:tab/>
    </w:r>
    <w:r>
      <w:fldChar w:fldCharType="begin"/>
    </w:r>
    <w:r>
      <w:instrText xml:space="preserve"> PAGE  \* MERGEFORMAT </w:instrText>
    </w:r>
    <w:r>
      <w:fldChar w:fldCharType="separate"/>
    </w:r>
    <w:r w:rsidR="003168A4">
      <w:rPr>
        <w:noProof/>
      </w:rPr>
      <w:t>3</w:t>
    </w:r>
    <w:r>
      <w:fldChar w:fldCharType="end"/>
    </w:r>
    <w:r>
      <w:tab/>
    </w:r>
    <w:r w:rsidRPr="007570E3">
      <w:tab/>
    </w:r>
    <w:r w:rsidRPr="007570E3">
      <w:rPr>
        <w:rFonts w:ascii="Arial" w:hAnsi="Arial" w:cs="Arial"/>
        <w:b/>
        <w:sz w:val="48"/>
      </w:rPr>
      <w:t>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Default="007570E3" w:rsidP="0075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A7E18" w:rsidRDefault="00430BC2" w:rsidP="00430BC2">
      <w:pPr>
        <w:pStyle w:val="FootnoteText"/>
      </w:pPr>
      <w:r w:rsidRPr="003E7815">
        <w:rPr>
          <w:rStyle w:val="FootnoteReference"/>
        </w:rPr>
        <w:footnoteRef/>
      </w:r>
      <w:r w:rsidR="003E7815">
        <w:tab/>
      </w:r>
      <w:r w:rsidRPr="009A7E18">
        <w:t>EUT L 176 af 27.6.2013, s. 1, ELI: http://data.europa.eu/eli/reg/2013/575/oj.</w:t>
      </w:r>
    </w:p>
  </w:footnote>
  <w:footnote w:id="2">
    <w:p w:rsidR="00430BC2" w:rsidRPr="009A7E18" w:rsidRDefault="00430BC2" w:rsidP="00430BC2">
      <w:pPr>
        <w:pStyle w:val="FootnoteText"/>
        <w:rPr>
          <w:rFonts w:eastAsiaTheme="minorEastAsia"/>
        </w:rPr>
      </w:pPr>
      <w:r>
        <w:rPr>
          <w:rStyle w:val="FootnoteReference"/>
        </w:rPr>
        <w:footnoteRef/>
      </w:r>
      <w:r w:rsidRPr="009A7E18">
        <w:tab/>
        <w:t xml:space="preserve">Europa-Parlamentets og Rådets forordning (EU) 2024/1623 af 31. maj 2024 om ændring af forordning (EU) nr. 575/2013 for så vidt angår krav vedrørende kreditrisiko, kreditværdijusteringsrisiko, operationel risiko, markedsrisiko og outputgulvet (EUT L, 19.6.2024, s. 1, ELI: </w:t>
      </w:r>
      <w:bookmarkStart w:id="1" w:name="_Hlk198544494"/>
      <w:r w:rsidRPr="009A7E18">
        <w:t>http://data.europa.eu/eli/reg/2024/1623/oj</w:t>
      </w:r>
      <w:bookmarkEnd w:id="1"/>
      <w:r w:rsidRPr="009A7E18">
        <w:t>).</w:t>
      </w:r>
    </w:p>
  </w:footnote>
  <w:footnote w:id="3">
    <w:p w:rsidR="00430BC2" w:rsidRPr="009A7E18" w:rsidRDefault="00430BC2" w:rsidP="00430BC2">
      <w:pPr>
        <w:pStyle w:val="FootnoteText"/>
      </w:pPr>
      <w:r>
        <w:rPr>
          <w:rStyle w:val="FootnoteReference"/>
        </w:rPr>
        <w:footnoteRef/>
      </w:r>
      <w:r w:rsidRPr="009A7E18">
        <w:tab/>
        <w:t>Kommissionens gennemførelsesforordning (EU) 2024/3117 af 29. november 2024 om gennemførelsesmæssige tekniske standarder for anvendelsen af Europa-Parlamentets og Rådets forordning (EU) nr. 575/2013 for så vidt angår institutters indberetning med henblik på tilsyn og om ophævelse af Kommissionens gennemførelsesforordning (EU) 2021/451 (EUT L, 2024/3117, 27.12.2024, s. 1, ELI: </w:t>
      </w:r>
      <w:bookmarkStart w:id="2" w:name="_Hlk198544532"/>
      <w:r>
        <w:fldChar w:fldCharType="begin"/>
      </w:r>
      <w:r w:rsidRPr="009A7E18">
        <w:instrText>HYPERLINK "http://data.europa.eu/eli/reg_impl/2024/3117/oj" \t "_blank" \o "Giver adgang til dokumentet via dets ELI-URI."</w:instrText>
      </w:r>
      <w:r>
        <w:fldChar w:fldCharType="separate"/>
      </w:r>
      <w:r w:rsidRPr="009A7E18">
        <w:t>http://data.europa.eu/eli/reg_impl/2024/3117/oj</w:t>
      </w:r>
      <w:r>
        <w:fldChar w:fldCharType="end"/>
      </w:r>
      <w:bookmarkEnd w:id="2"/>
      <w:r w:rsidRPr="009A7E18">
        <w:t>).</w:t>
      </w:r>
    </w:p>
  </w:footnote>
  <w:footnote w:id="4">
    <w:p w:rsidR="00430BC2" w:rsidRPr="009A7E18" w:rsidRDefault="00430BC2" w:rsidP="00430BC2">
      <w:pPr>
        <w:pStyle w:val="FootnoteText"/>
      </w:pPr>
      <w:r>
        <w:rPr>
          <w:rStyle w:val="FootnoteReference"/>
        </w:rPr>
        <w:footnoteRef/>
      </w:r>
      <w:r w:rsidRPr="009A7E18">
        <w:tab/>
        <w:t>Kommissionens delegerede forordning (EU) 2025/1496 af 12. juni 2025 om ændring af Europa-Parlamentets og Rådets forordning (EU) nr. 575/2013 for så vidt angår anvendelsesdatoen for kapitalgrundlagskravene vedrørende markedsrisiko (EUT L, 2025/1496, 19.9.2025, ELI: http://data.europa.eu/eli/reg_del/2025/1496/oj).</w:t>
      </w:r>
    </w:p>
  </w:footnote>
  <w:footnote w:id="5">
    <w:p w:rsidR="00430BC2" w:rsidRPr="009A7E18" w:rsidRDefault="00430BC2" w:rsidP="00430BC2">
      <w:pPr>
        <w:pStyle w:val="FootnoteText"/>
      </w:pPr>
      <w:r>
        <w:rPr>
          <w:rStyle w:val="FootnoteReference"/>
        </w:rPr>
        <w:footnoteRef/>
      </w:r>
      <w:r w:rsidRPr="009A7E18">
        <w:tab/>
        <w:t xml:space="preserve">Kommissionens gennemførelsesforordning (EU) 2021/451 af 17. december 2020 om gennemførelsesmæssige tekniske standarder for anvendelsen af Europa-Parlamentets og Rådets forordning (EU) nr. 575/2013 for så vidt angår institutters indberetning med henblik på tilsyn og om ophævelse af Kommissionens gennemførelsesforordning (EU) nr. 680/2014 (EUT L 97 af 19.3.2021, s. 1, ELI: </w:t>
      </w:r>
      <w:hyperlink r:id="rId1" w:history="1">
        <w:r w:rsidRPr="009A7E18">
          <w:rPr>
            <w:rStyle w:val="Hyperlink"/>
          </w:rPr>
          <w:t>http://data.europa.eu/eli/reg_impl/2021/451/oj</w:t>
        </w:r>
      </w:hyperlink>
      <w:r w:rsidRPr="009A7E18">
        <w:t>).</w:t>
      </w:r>
    </w:p>
  </w:footnote>
  <w:footnote w:id="6">
    <w:p w:rsidR="00430BC2" w:rsidRPr="009A7E18" w:rsidRDefault="00430BC2" w:rsidP="00430BC2">
      <w:pPr>
        <w:pStyle w:val="FootnoteText"/>
      </w:pPr>
      <w:r>
        <w:rPr>
          <w:rStyle w:val="FootnoteReference"/>
        </w:rPr>
        <w:footnoteRef/>
      </w:r>
      <w:r w:rsidRPr="009A7E18">
        <w:tab/>
      </w:r>
      <w:bookmarkStart w:id="3" w:name="_Hlk198544390"/>
      <w:r w:rsidRPr="009A7E18">
        <w:t xml:space="preserve">Europa-Parlamentets og Rådets forordning (EU) nr. 1093/2010 af 24. november 2010 om oprettelse af en europæisk tilsynsmyndighed </w:t>
      </w:r>
      <w:bookmarkEnd w:id="3"/>
      <w:r w:rsidRPr="009A7E18">
        <w:t>(Den Europæiske Banktilsynsmyndighed), om ændring af afgørelse nr. 716/2009/EF og om ophævelse af Kommissionens afgørelse 2009/78/EF (EUT L 331 af 15.12.2010, s.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Pr="007570E3" w:rsidRDefault="007570E3" w:rsidP="00757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Default="007570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E3" w:rsidRDefault="00757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185FF2E-BAC7-4113-9DA7-986CA9733B77"/>
    <w:docVar w:name="LW_COVERPAGE_TYPE" w:val="1"/>
    <w:docVar w:name="LW_CreatedUtc" w:val="2025-10-08T14:24:25.1973363Z"/>
    <w:docVar w:name="LW_CROSSREFERENCE" w:val="&lt;UNUSED&gt;"/>
    <w:docVar w:name="LW_DATE.ADOPT.CP" w:val="af 8.12.2025"/>
    <w:docVar w:name="LW_DATE.ADOPT.CP_DATEFORMAT" w:val="af %DATE%"/>
    <w:docVar w:name="LW_DATE.ADOPT.CP_ISODATE" w:val="2025-12-08"/>
    <w:docVar w:name="LW_DocType" w:val="COM"/>
    <w:docVar w:name="LW_EMISSION" w:val="8.12.2025"/>
    <w:docVar w:name="LW_EMISSION_ISODATE" w:val="2025-12-08"/>
    <w:docVar w:name="LW_EMISSION_LOCATION" w:val="BRX"/>
    <w:docVar w:name="LW_EMISSION_PREFIX" w:val="Bruxelles, den "/>
    <w:docVar w:name="LW_EMISSION_SUFFIX" w:val=" "/>
    <w:docVar w:name="LW_ID_DOCMODEL" w:val="SJ-004"/>
    <w:docVar w:name="LW_ID_DOCSIGNATURE" w:val="SJ-004"/>
    <w:docVar w:name="LW_ID_DOCSTRUCTURE" w:val="COM/AA"/>
    <w:docVar w:name="LW_ID_DOCTYPE" w:val="SJ-004"/>
    <w:docVar w:name="LW_INTERETEEE.CP" w:val="(EØS-relevant tekst)"/>
    <w:docVar w:name="LW_LANGUE" w:val="DA"/>
    <w:docVar w:name="LW_LANGUESFAISANTFOI.CP" w:val="&lt;UNUSED&gt;"/>
    <w:docVar w:name="LW_LEVEL_OF_SENSITIVITY" w:val="Standard treatment"/>
    <w:docVar w:name="LW_NOM.INST" w:val="EUROPA-KOMMISSIONEN"/>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ændring af de gennemførelsesmæssige tekniske standarder i gennemførelsesforordning (EU) 2024/3117 for så vidt angår institutters indberetning af operationel risiko med henblik på tilsyn"/>
    <w:docVar w:name="LW_TYPE.DOC.CP" w:val="KOMMISSIONENS GENNEMFØRELSESFORORDNING (EU) \u8230?/\u8230?"/>
    <w:docVar w:name="LwApiVersions" w:val="LW4CoDe 1.24.5.0; LW 9.2, Build 20251112"/>
  </w:docVars>
  <w:rsids>
    <w:rsidRoot w:val="00430BC2"/>
    <w:rsid w:val="00017C96"/>
    <w:rsid w:val="0002689E"/>
    <w:rsid w:val="0004435A"/>
    <w:rsid w:val="00050CA3"/>
    <w:rsid w:val="00101344"/>
    <w:rsid w:val="001065F5"/>
    <w:rsid w:val="00114EBE"/>
    <w:rsid w:val="001238EF"/>
    <w:rsid w:val="00133705"/>
    <w:rsid w:val="00151C13"/>
    <w:rsid w:val="001577E2"/>
    <w:rsid w:val="00197613"/>
    <w:rsid w:val="001E0F3B"/>
    <w:rsid w:val="00233DC7"/>
    <w:rsid w:val="00233E4A"/>
    <w:rsid w:val="00247779"/>
    <w:rsid w:val="00285BEE"/>
    <w:rsid w:val="0029533F"/>
    <w:rsid w:val="002B30AF"/>
    <w:rsid w:val="002B5007"/>
    <w:rsid w:val="002C00AB"/>
    <w:rsid w:val="002E5318"/>
    <w:rsid w:val="003168A4"/>
    <w:rsid w:val="0033344A"/>
    <w:rsid w:val="0038150A"/>
    <w:rsid w:val="003E7815"/>
    <w:rsid w:val="004042A9"/>
    <w:rsid w:val="0042648E"/>
    <w:rsid w:val="00430BC2"/>
    <w:rsid w:val="00434243"/>
    <w:rsid w:val="004404AB"/>
    <w:rsid w:val="004936D2"/>
    <w:rsid w:val="00521EF2"/>
    <w:rsid w:val="00523271"/>
    <w:rsid w:val="0055312E"/>
    <w:rsid w:val="0055321A"/>
    <w:rsid w:val="00561998"/>
    <w:rsid w:val="00562257"/>
    <w:rsid w:val="00595FC9"/>
    <w:rsid w:val="005A0C97"/>
    <w:rsid w:val="005B1EB6"/>
    <w:rsid w:val="005E1F84"/>
    <w:rsid w:val="006261AE"/>
    <w:rsid w:val="006903B1"/>
    <w:rsid w:val="006A3A74"/>
    <w:rsid w:val="006E1103"/>
    <w:rsid w:val="006F3E02"/>
    <w:rsid w:val="007570E3"/>
    <w:rsid w:val="0076425B"/>
    <w:rsid w:val="00773331"/>
    <w:rsid w:val="007932EF"/>
    <w:rsid w:val="00796A42"/>
    <w:rsid w:val="007E05B0"/>
    <w:rsid w:val="00847731"/>
    <w:rsid w:val="00864486"/>
    <w:rsid w:val="00874D22"/>
    <w:rsid w:val="0089317B"/>
    <w:rsid w:val="008A2914"/>
    <w:rsid w:val="008E4D8E"/>
    <w:rsid w:val="00957BDE"/>
    <w:rsid w:val="00964D3C"/>
    <w:rsid w:val="009A7E18"/>
    <w:rsid w:val="009F2131"/>
    <w:rsid w:val="009F69D7"/>
    <w:rsid w:val="00A362F7"/>
    <w:rsid w:val="00A66BF5"/>
    <w:rsid w:val="00A765E7"/>
    <w:rsid w:val="00A9563C"/>
    <w:rsid w:val="00AD7C0F"/>
    <w:rsid w:val="00AE14E6"/>
    <w:rsid w:val="00AE3DBA"/>
    <w:rsid w:val="00B40F1A"/>
    <w:rsid w:val="00B443FE"/>
    <w:rsid w:val="00BA7BF8"/>
    <w:rsid w:val="00BB668C"/>
    <w:rsid w:val="00C12301"/>
    <w:rsid w:val="00C44E22"/>
    <w:rsid w:val="00C7328A"/>
    <w:rsid w:val="00C862B2"/>
    <w:rsid w:val="00CB3988"/>
    <w:rsid w:val="00CE1BA2"/>
    <w:rsid w:val="00CE2836"/>
    <w:rsid w:val="00D03513"/>
    <w:rsid w:val="00D20381"/>
    <w:rsid w:val="00DE181C"/>
    <w:rsid w:val="00E10A0E"/>
    <w:rsid w:val="00E12D38"/>
    <w:rsid w:val="00E7699C"/>
    <w:rsid w:val="00ED7848"/>
    <w:rsid w:val="00EE623C"/>
    <w:rsid w:val="00F14540"/>
    <w:rsid w:val="00F47C85"/>
    <w:rsid w:val="00FB7A51"/>
    <w:rsid w:val="00FC38F8"/>
    <w:rsid w:val="00FC59EC"/>
    <w:rsid w:val="00FE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ListBullet2">
    <w:name w:val="List Bullet 2"/>
    <w:basedOn w:val="Normal"/>
    <w:uiPriority w:val="99"/>
    <w:semiHidden/>
    <w:unhideWhenUsed/>
    <w:rsid w:val="0004435A"/>
    <w:pPr>
      <w:numPr>
        <w:numId w:val="3"/>
      </w:numPr>
      <w:contextualSpacing/>
    </w:pPr>
  </w:style>
  <w:style w:type="paragraph" w:styleId="ListBullet3">
    <w:name w:val="List Bullet 3"/>
    <w:basedOn w:val="Normal"/>
    <w:uiPriority w:val="99"/>
    <w:semiHidden/>
    <w:unhideWhenUsed/>
    <w:rsid w:val="0004435A"/>
    <w:pPr>
      <w:numPr>
        <w:numId w:val="4"/>
      </w:numPr>
      <w:contextualSpacing/>
    </w:pPr>
  </w:style>
  <w:style w:type="paragraph" w:styleId="ListBullet4">
    <w:name w:val="List Bullet 4"/>
    <w:basedOn w:val="Normal"/>
    <w:uiPriority w:val="99"/>
    <w:semiHidden/>
    <w:unhideWhenUsed/>
    <w:rsid w:val="0004435A"/>
    <w:pPr>
      <w:numPr>
        <w:numId w:val="5"/>
      </w:numPr>
      <w:contextualSpacing/>
    </w:pPr>
  </w:style>
  <w:style w:type="paragraph" w:styleId="CommentSubject">
    <w:name w:val="annotation subject"/>
    <w:basedOn w:val="CommentText"/>
    <w:next w:val="CommentText"/>
    <w:link w:val="CommentSubjectChar"/>
    <w:uiPriority w:val="99"/>
    <w:semiHidden/>
    <w:unhideWhenUsed/>
    <w:rsid w:val="003E7815"/>
    <w:rPr>
      <w:b/>
      <w:bCs/>
    </w:rPr>
  </w:style>
  <w:style w:type="character" w:customStyle="1" w:styleId="CommentSubjectChar">
    <w:name w:val="Comment Subject Char"/>
    <w:basedOn w:val="CommentTextChar"/>
    <w:link w:val="CommentSubject"/>
    <w:uiPriority w:val="99"/>
    <w:semiHidden/>
    <w:rsid w:val="003E7815"/>
    <w:rPr>
      <w:rFonts w:ascii="Times New Roman" w:hAnsi="Times New Roman" w:cs="Times New Roman"/>
      <w:b/>
      <w:bCs/>
      <w:sz w:val="20"/>
      <w:szCs w:val="20"/>
      <w:lang w:val="da-DK"/>
    </w:rPr>
  </w:style>
  <w:style w:type="character" w:customStyle="1" w:styleId="UnresolvedMention">
    <w:name w:val="Unresolved Mention"/>
    <w:basedOn w:val="DefaultParagraphFont"/>
    <w:uiPriority w:val="99"/>
    <w:semiHidden/>
    <w:unhideWhenUsed/>
    <w:rsid w:val="003E7815"/>
    <w:rPr>
      <w:color w:val="605E5C"/>
      <w:shd w:val="clear" w:color="auto" w:fill="E1DFDD"/>
    </w:rPr>
  </w:style>
  <w:style w:type="character" w:customStyle="1" w:styleId="HeaderChar">
    <w:name w:val="Header Char"/>
    <w:basedOn w:val="DefaultParagraphFont"/>
    <w:link w:val="Header"/>
    <w:uiPriority w:val="99"/>
    <w:rsid w:val="007570E3"/>
    <w:rPr>
      <w:rFonts w:ascii="Times New Roman" w:hAnsi="Times New Roman" w:cs="Times New Roman"/>
      <w:sz w:val="24"/>
      <w:lang w:val="da-DK"/>
    </w:rPr>
  </w:style>
  <w:style w:type="character" w:customStyle="1" w:styleId="FooterChar">
    <w:name w:val="Footer Char"/>
    <w:basedOn w:val="DefaultParagraphFont"/>
    <w:link w:val="Footer"/>
    <w:uiPriority w:val="99"/>
    <w:rsid w:val="007570E3"/>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570E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570E3"/>
    <w:pPr>
      <w:spacing w:before="0"/>
      <w:jc w:val="right"/>
    </w:pPr>
    <w:rPr>
      <w:sz w:val="28"/>
    </w:rPr>
  </w:style>
  <w:style w:type="paragraph" w:customStyle="1" w:styleId="FooterSensitivity">
    <w:name w:val="Footer Sensitivity"/>
    <w:basedOn w:val="Normal"/>
    <w:rsid w:val="007570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7570E3"/>
    <w:pPr>
      <w:tabs>
        <w:tab w:val="center" w:pos="4535"/>
        <w:tab w:val="right" w:pos="9071"/>
      </w:tabs>
      <w:spacing w:before="0"/>
    </w:pPr>
  </w:style>
  <w:style w:type="paragraph" w:customStyle="1" w:styleId="HeaderLandscape">
    <w:name w:val="HeaderLandscape"/>
    <w:basedOn w:val="Normal"/>
    <w:rsid w:val="007570E3"/>
    <w:pPr>
      <w:tabs>
        <w:tab w:val="center" w:pos="7285"/>
        <w:tab w:val="right" w:pos="14003"/>
      </w:tabs>
      <w:spacing w:before="0"/>
    </w:pPr>
  </w:style>
  <w:style w:type="paragraph" w:styleId="Footer">
    <w:name w:val="footer"/>
    <w:basedOn w:val="Normal"/>
    <w:link w:val="FooterChar"/>
    <w:uiPriority w:val="99"/>
    <w:unhideWhenUsed/>
    <w:rsid w:val="007570E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570E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ABFD8-95A6-490D-B22C-C9E0D4A78093}"/>
</file>

<file path=customXml/itemProps2.xml><?xml version="1.0" encoding="utf-8"?>
<ds:datastoreItem xmlns:ds="http://schemas.openxmlformats.org/officeDocument/2006/customXml" ds:itemID="{D9B40CDD-055C-477C-9529-8A3C54E883B5}"/>
</file>

<file path=customXml/itemProps3.xml><?xml version="1.0" encoding="utf-8"?>
<ds:datastoreItem xmlns:ds="http://schemas.openxmlformats.org/officeDocument/2006/customXml" ds:itemID="{B4173968-D9D7-4218-8DAD-7C7C61BD864E}"/>
</file>

<file path=docProps/app.xml><?xml version="1.0" encoding="utf-8"?>
<Properties xmlns="http://schemas.openxmlformats.org/officeDocument/2006/extended-properties" xmlns:vt="http://schemas.openxmlformats.org/officeDocument/2006/docPropsVTypes">
  <Template>COM.dotm</Template>
  <TotalTime>22</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46</cp:revision>
  <dcterms:created xsi:type="dcterms:W3CDTF">2025-10-21T09:59:00Z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