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3F" w:rsidRPr="00CE03A5" w:rsidRDefault="00D95830" w:rsidP="00D95830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498089E3-456F-43E5-BBBB-60920C1CAAA1" style="width:455.25pt;height:345.75pt">
            <v:imagedata r:id="rId7" o:title=""/>
          </v:shape>
        </w:pict>
      </w:r>
    </w:p>
    <w:p w:rsidR="00430BC2" w:rsidRPr="00CE03A5" w:rsidRDefault="00430BC2">
      <w:pPr>
        <w:rPr>
          <w:noProof/>
        </w:rPr>
        <w:sectPr w:rsidR="00430BC2" w:rsidRPr="00CE03A5" w:rsidSect="00D958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430BC2" w:rsidRPr="00CE03A5" w:rsidRDefault="00CE03A5" w:rsidP="00CE03A5">
      <w:pPr>
        <w:pStyle w:val="Typedudocument"/>
        <w:rPr>
          <w:noProof/>
        </w:rPr>
      </w:pPr>
      <w:bookmarkStart w:id="0" w:name="_GoBack"/>
      <w:bookmarkEnd w:id="0"/>
      <w:r w:rsidRPr="00CE03A5">
        <w:rPr>
          <w:noProof/>
        </w:rPr>
        <w:lastRenderedPageBreak/>
        <w:t>PROVÁDĚCÍ NAŘÍZENÍ KOMISE (EU) …/...</w:t>
      </w:r>
    </w:p>
    <w:p w:rsidR="00430BC2" w:rsidRPr="00CE03A5" w:rsidRDefault="00A452E0" w:rsidP="00CE03A5">
      <w:pPr>
        <w:pStyle w:val="Datedadoption"/>
        <w:rPr>
          <w:noProof/>
        </w:rPr>
      </w:pPr>
      <w:r>
        <w:rPr>
          <w:noProof/>
        </w:rPr>
        <w:t>ze dne 8.12.2025,</w:t>
      </w:r>
    </w:p>
    <w:p w:rsidR="00430BC2" w:rsidRPr="00CE03A5" w:rsidRDefault="00CE03A5" w:rsidP="00CE03A5">
      <w:pPr>
        <w:pStyle w:val="Titreobjet"/>
        <w:rPr>
          <w:noProof/>
        </w:rPr>
      </w:pPr>
      <w:r w:rsidRPr="00CE03A5">
        <w:rPr>
          <w:noProof/>
        </w:rPr>
        <w:t>kterým se mění prováděcí technické normy stanovené v prováděcím nařízení (EU) 2024/3117, pokud jde o podávání zpráv institucí pro účely dohledu v souvislosti s operačním rizikem</w:t>
      </w:r>
    </w:p>
    <w:p w:rsidR="00430BC2" w:rsidRPr="00CE03A5" w:rsidRDefault="00CE03A5" w:rsidP="00CE03A5">
      <w:pPr>
        <w:pStyle w:val="IntrtEEE"/>
        <w:rPr>
          <w:noProof/>
        </w:rPr>
      </w:pPr>
      <w:r w:rsidRPr="00CE03A5">
        <w:rPr>
          <w:noProof/>
        </w:rPr>
        <w:t>(Text s významem pro EHP)</w:t>
      </w:r>
    </w:p>
    <w:p w:rsidR="00430BC2" w:rsidRPr="00CE03A5" w:rsidRDefault="00430BC2" w:rsidP="004E1EF9">
      <w:pPr>
        <w:pStyle w:val="Institutionquiagit"/>
        <w:rPr>
          <w:noProof/>
        </w:rPr>
      </w:pPr>
      <w:r w:rsidRPr="00CE03A5">
        <w:rPr>
          <w:noProof/>
        </w:rPr>
        <w:t>EVROPSKÁ KOMISE,</w:t>
      </w:r>
    </w:p>
    <w:p w:rsidR="00430BC2" w:rsidRPr="00CE03A5" w:rsidRDefault="00430BC2" w:rsidP="004E1EF9">
      <w:pPr>
        <w:rPr>
          <w:noProof/>
        </w:rPr>
      </w:pPr>
      <w:r w:rsidRPr="00CE03A5">
        <w:rPr>
          <w:noProof/>
        </w:rPr>
        <w:t>s ohledem na nařízení Evropského parlamentu a Rady (EU) č. 575/2013 ze dne 26. června 2013 o obezřetnostních požadavcích na úvěrové instituce a o změně nařízení (EU) č. 648/2012</w:t>
      </w:r>
      <w:r w:rsidRPr="00CE03A5">
        <w:rPr>
          <w:rStyle w:val="FootnoteReference"/>
          <w:noProof/>
        </w:rPr>
        <w:footnoteReference w:id="1"/>
      </w:r>
      <w:r w:rsidRPr="00CE03A5">
        <w:rPr>
          <w:noProof/>
        </w:rPr>
        <w:t>, a zejména na čl. 430 odst. 7 pátý pododstavec uvedeného nařízení,</w:t>
      </w:r>
    </w:p>
    <w:p w:rsidR="00430BC2" w:rsidRPr="00CE03A5" w:rsidRDefault="00430BC2" w:rsidP="004E1EF9">
      <w:pPr>
        <w:rPr>
          <w:noProof/>
        </w:rPr>
      </w:pPr>
      <w:r w:rsidRPr="00CE03A5">
        <w:rPr>
          <w:noProof/>
        </w:rPr>
        <w:t>vzhledem k těmto důvodům:</w:t>
      </w:r>
    </w:p>
    <w:p w:rsidR="00430BC2" w:rsidRPr="00CE03A5" w:rsidRDefault="00075093" w:rsidP="00075093">
      <w:pPr>
        <w:pStyle w:val="ManualConsidrant"/>
        <w:rPr>
          <w:noProof/>
        </w:rPr>
      </w:pPr>
      <w:r w:rsidRPr="00075093">
        <w:rPr>
          <w:noProof/>
        </w:rPr>
        <w:t>(1)</w:t>
      </w:r>
      <w:r w:rsidRPr="00075093">
        <w:rPr>
          <w:noProof/>
        </w:rPr>
        <w:tab/>
      </w:r>
      <w:r w:rsidR="00430BC2" w:rsidRPr="00CE03A5">
        <w:rPr>
          <w:noProof/>
        </w:rPr>
        <w:t>Nařízení (EU) č. 575/2013 bylo změněno nařízením Evropského parlamentu a Rady (EU) 2024/1623</w:t>
      </w:r>
      <w:r w:rsidR="00430BC2" w:rsidRPr="00CE03A5">
        <w:rPr>
          <w:rStyle w:val="FootnoteReference"/>
          <w:noProof/>
        </w:rPr>
        <w:footnoteReference w:id="2"/>
      </w:r>
      <w:r w:rsidR="00430BC2" w:rsidRPr="00CE03A5">
        <w:rPr>
          <w:noProof/>
        </w:rPr>
        <w:t xml:space="preserve"> za účelem provedení nejnovějšího souboru mezinárodních standardů Basilejského výboru pro bankovní dohled (Basel III). Tyto standardy vedly k přijetí prováděcího nařízení Komise (EU) 2024/3117</w:t>
      </w:r>
      <w:r w:rsidR="00430BC2" w:rsidRPr="00CE03A5">
        <w:rPr>
          <w:rStyle w:val="FootnoteReference"/>
          <w:noProof/>
        </w:rPr>
        <w:footnoteReference w:id="3"/>
      </w:r>
      <w:r w:rsidR="00430BC2" w:rsidRPr="00CE03A5">
        <w:rPr>
          <w:noProof/>
        </w:rPr>
        <w:t>, které stanoví prováděcí technické normy pro uplatňování nařízení (EU) č. 575/2013, pokud jde o podávání zpráv institucí pro účely dohledu.</w:t>
      </w:r>
    </w:p>
    <w:p w:rsidR="00430BC2" w:rsidRPr="00CE03A5" w:rsidRDefault="00075093" w:rsidP="00075093">
      <w:pPr>
        <w:pStyle w:val="ManualConsidrant"/>
        <w:rPr>
          <w:noProof/>
        </w:rPr>
      </w:pPr>
      <w:r w:rsidRPr="00075093">
        <w:rPr>
          <w:noProof/>
        </w:rPr>
        <w:t>(2)</w:t>
      </w:r>
      <w:r w:rsidRPr="00075093">
        <w:rPr>
          <w:noProof/>
        </w:rPr>
        <w:tab/>
      </w:r>
      <w:r w:rsidR="00430BC2" w:rsidRPr="00CE03A5">
        <w:rPr>
          <w:noProof/>
        </w:rPr>
        <w:t>Vzhledem ke změnám v obezřetnostním rámci pro kapitálové požadavky k operačnímu riziku byly nezbytné nové šablony pro podávání zpráv, aby se zajistilo, že instituce budou podávat zprávy v souladu s novým rámcem. Některé ze zmiňovaných změn v šablonách pro podávání zpráv již byly zavedeny nařízením (EU) 2024/3117, ale aktualizace několika dalších šablon byla možná až po dalším technickém rozpracování požadavků k operačnímu riziku, zejména pokud jde o specifikaci složek obchodního ukazatele, položky, které mají být vyloučeny z obchodního ukazatele, a jejich přiřazení k odpovídajícím buňkám pro podávání zpráv.</w:t>
      </w:r>
    </w:p>
    <w:p w:rsidR="00430BC2" w:rsidRPr="00CE03A5" w:rsidRDefault="00075093" w:rsidP="00075093">
      <w:pPr>
        <w:pStyle w:val="ManualConsidrant"/>
        <w:rPr>
          <w:noProof/>
        </w:rPr>
      </w:pPr>
      <w:r w:rsidRPr="00075093">
        <w:rPr>
          <w:noProof/>
        </w:rPr>
        <w:t>(3)</w:t>
      </w:r>
      <w:r w:rsidRPr="00075093">
        <w:rPr>
          <w:noProof/>
        </w:rPr>
        <w:tab/>
      </w:r>
      <w:r w:rsidR="00430BC2" w:rsidRPr="00CE03A5">
        <w:rPr>
          <w:noProof/>
        </w:rPr>
        <w:t>Nařízením Komise v přenesené pravomoci (EU) 2025/1496</w:t>
      </w:r>
      <w:r w:rsidR="00430BC2" w:rsidRPr="00CE03A5">
        <w:rPr>
          <w:rStyle w:val="FootnoteReference"/>
          <w:noProof/>
        </w:rPr>
        <w:footnoteReference w:id="4"/>
      </w:r>
      <w:r w:rsidR="00430BC2" w:rsidRPr="00CE03A5">
        <w:rPr>
          <w:noProof/>
        </w:rPr>
        <w:t xml:space="preserve"> bylo odloženo datum použitelnosti kapitálových požadavků k tržnímu riziku na 1. ledna 2027. Je tudíž nezbytné beze změn zachovat stávající podávání zpráv o požadavcích k tržnímu riziku, které platí až do 31. prosince 2026. Přechodná ustanovení nařízení (EU) 2024/3117 by </w:t>
      </w:r>
      <w:r w:rsidR="00430BC2" w:rsidRPr="00CE03A5">
        <w:rPr>
          <w:noProof/>
        </w:rPr>
        <w:lastRenderedPageBreak/>
        <w:t>tedy měla být prodloužena a zrušení příslušných ustanovení prováděcího nařízení Komise (EU) 2021/451</w:t>
      </w:r>
      <w:r w:rsidR="00430BC2" w:rsidRPr="00CE03A5">
        <w:rPr>
          <w:rStyle w:val="FootnoteReference"/>
          <w:noProof/>
        </w:rPr>
        <w:footnoteReference w:id="5"/>
      </w:r>
      <w:r w:rsidR="00430BC2" w:rsidRPr="00CE03A5">
        <w:rPr>
          <w:noProof/>
        </w:rPr>
        <w:t xml:space="preserve"> by mělo být odloženo o další rok. </w:t>
      </w:r>
    </w:p>
    <w:p w:rsidR="00430BC2" w:rsidRPr="00CE03A5" w:rsidRDefault="00075093" w:rsidP="00075093">
      <w:pPr>
        <w:pStyle w:val="ManualConsidrant"/>
        <w:rPr>
          <w:noProof/>
        </w:rPr>
      </w:pPr>
      <w:r w:rsidRPr="00075093">
        <w:rPr>
          <w:noProof/>
        </w:rPr>
        <w:t>(4)</w:t>
      </w:r>
      <w:r w:rsidRPr="00075093">
        <w:rPr>
          <w:noProof/>
        </w:rPr>
        <w:tab/>
      </w:r>
      <w:r w:rsidR="00430BC2" w:rsidRPr="00CE03A5">
        <w:rPr>
          <w:noProof/>
        </w:rPr>
        <w:t>Prováděcí nařízení (EU) 2024/3117 by proto mělo být odpovídajícím způsobem změněno.</w:t>
      </w:r>
    </w:p>
    <w:p w:rsidR="00430BC2" w:rsidRPr="00CE03A5" w:rsidRDefault="00075093" w:rsidP="00075093">
      <w:pPr>
        <w:pStyle w:val="ManualConsidrant"/>
        <w:rPr>
          <w:noProof/>
        </w:rPr>
      </w:pPr>
      <w:r w:rsidRPr="00075093">
        <w:rPr>
          <w:noProof/>
        </w:rPr>
        <w:t>(5)</w:t>
      </w:r>
      <w:r w:rsidRPr="00075093">
        <w:rPr>
          <w:noProof/>
        </w:rPr>
        <w:tab/>
      </w:r>
      <w:r w:rsidR="00430BC2" w:rsidRPr="00CE03A5">
        <w:rPr>
          <w:noProof/>
        </w:rPr>
        <w:t>Toto nařízení vychází z návrhů prováděcích technických norem předložených Komisi Evropským orgánem pro bankovnictví (EBA).</w:t>
      </w:r>
    </w:p>
    <w:p w:rsidR="00430BC2" w:rsidRPr="00CE03A5" w:rsidRDefault="00075093" w:rsidP="00075093">
      <w:pPr>
        <w:pStyle w:val="ManualConsidrant"/>
        <w:rPr>
          <w:noProof/>
        </w:rPr>
      </w:pPr>
      <w:r w:rsidRPr="00075093">
        <w:rPr>
          <w:noProof/>
        </w:rPr>
        <w:t>(6)</w:t>
      </w:r>
      <w:r w:rsidRPr="00075093">
        <w:rPr>
          <w:noProof/>
        </w:rPr>
        <w:tab/>
      </w:r>
      <w:r w:rsidR="00430BC2" w:rsidRPr="00CE03A5">
        <w:rPr>
          <w:noProof/>
        </w:rPr>
        <w:t>EBA uskutečnil k návrhům prováděcích technických norem, z nichž toto nařízení vychází, otevřené veřejné konzultace, analyzoval potenciální související náklady a přínosy a požádal o stanovisko skupinu subjektů působících v bankovnictví zřízenou v souladu s článkem 37 nařízení Evropského parlamentu a Rady (EU) č. 1093/2010</w:t>
      </w:r>
      <w:r w:rsidR="00430BC2" w:rsidRPr="00CE03A5">
        <w:rPr>
          <w:rStyle w:val="FootnoteReference"/>
          <w:noProof/>
        </w:rPr>
        <w:footnoteReference w:id="6"/>
      </w:r>
      <w:r w:rsidR="00430BC2" w:rsidRPr="00CE03A5">
        <w:rPr>
          <w:noProof/>
        </w:rPr>
        <w:t>,</w:t>
      </w:r>
    </w:p>
    <w:p w:rsidR="00430BC2" w:rsidRPr="00CE03A5" w:rsidRDefault="00430BC2" w:rsidP="004E1EF9">
      <w:pPr>
        <w:pStyle w:val="Formuledadoption"/>
        <w:rPr>
          <w:noProof/>
        </w:rPr>
      </w:pPr>
      <w:r w:rsidRPr="00CE03A5">
        <w:rPr>
          <w:noProof/>
        </w:rPr>
        <w:t>PŘIJALA TOTO NAŘÍZENÍ:</w:t>
      </w:r>
    </w:p>
    <w:p w:rsidR="00430BC2" w:rsidRPr="00CE03A5" w:rsidRDefault="00430BC2" w:rsidP="004E1EF9">
      <w:pPr>
        <w:pStyle w:val="Titrearticle"/>
        <w:rPr>
          <w:noProof/>
        </w:rPr>
      </w:pPr>
      <w:r w:rsidRPr="00CE03A5">
        <w:rPr>
          <w:noProof/>
        </w:rPr>
        <w:t>Článek 1</w:t>
      </w:r>
    </w:p>
    <w:p w:rsidR="00430BC2" w:rsidRPr="00CE03A5" w:rsidRDefault="00430BC2" w:rsidP="00430BC2">
      <w:pPr>
        <w:rPr>
          <w:noProof/>
        </w:rPr>
      </w:pPr>
      <w:bookmarkStart w:id="4" w:name="_Hlk198544571"/>
      <w:r w:rsidRPr="00CE03A5">
        <w:rPr>
          <w:noProof/>
        </w:rPr>
        <w:t>Prováděcí nařízení (EU) 2024/3117</w:t>
      </w:r>
      <w:bookmarkEnd w:id="4"/>
      <w:r w:rsidRPr="00CE03A5">
        <w:rPr>
          <w:noProof/>
        </w:rPr>
        <w:t xml:space="preserve"> se mění takto: </w:t>
      </w:r>
    </w:p>
    <w:p w:rsidR="00430BC2" w:rsidRPr="00CE03A5" w:rsidRDefault="0046627D" w:rsidP="0046627D">
      <w:pPr>
        <w:pStyle w:val="Point0"/>
        <w:rPr>
          <w:noProof/>
        </w:rPr>
      </w:pPr>
      <w:r>
        <w:rPr>
          <w:noProof/>
        </w:rPr>
        <w:t>1)</w:t>
      </w:r>
      <w:r>
        <w:rPr>
          <w:noProof/>
        </w:rPr>
        <w:tab/>
      </w:r>
      <w:r w:rsidR="00430BC2" w:rsidRPr="00CE03A5">
        <w:rPr>
          <w:noProof/>
        </w:rPr>
        <w:t>v článku 5 se odstavec 4 nahrazuje tímto:</w:t>
      </w:r>
    </w:p>
    <w:p w:rsidR="00430BC2" w:rsidRPr="00CE03A5" w:rsidRDefault="00430BC2" w:rsidP="00430BC2">
      <w:pPr>
        <w:pStyle w:val="QuotedNumPar"/>
        <w:rPr>
          <w:noProof/>
        </w:rPr>
      </w:pPr>
      <w:r w:rsidRPr="00CE03A5">
        <w:rPr>
          <w:noProof/>
        </w:rPr>
        <w:t>„4. Pro účely výpočtu kapitálových požadavků podle čl. 92 odst. 4 písm. b) bodu i) a písm. c) a čl. 92 odst. 5 písm. b) a c) nařízení (EU) č. 575/2013 předkládají instituce informace týkající se kapitálových požadavků v souvislosti s tržním rizikem do 31. prosince 2026 v souladu s čl. 5 odst. 12 prováděcího nařízení (EU) 2021/451.“;</w:t>
      </w:r>
    </w:p>
    <w:p w:rsidR="00430BC2" w:rsidRPr="00CE03A5" w:rsidRDefault="0046627D" w:rsidP="0046627D">
      <w:pPr>
        <w:pStyle w:val="Point0"/>
        <w:rPr>
          <w:noProof/>
        </w:rPr>
      </w:pPr>
      <w:r>
        <w:rPr>
          <w:noProof/>
        </w:rPr>
        <w:t>2)</w:t>
      </w:r>
      <w:r>
        <w:rPr>
          <w:noProof/>
        </w:rPr>
        <w:tab/>
      </w:r>
      <w:r w:rsidR="00430BC2" w:rsidRPr="00CE03A5">
        <w:rPr>
          <w:noProof/>
        </w:rPr>
        <w:t>v článku 7 se doplňuje nové písmeno c), které zní:</w:t>
      </w:r>
    </w:p>
    <w:p w:rsidR="00430BC2" w:rsidRPr="00CE03A5" w:rsidRDefault="00430BC2" w:rsidP="00430BC2">
      <w:pPr>
        <w:pStyle w:val="QuotedNumPar"/>
        <w:rPr>
          <w:noProof/>
        </w:rPr>
      </w:pPr>
      <w:r w:rsidRPr="00CE03A5">
        <w:rPr>
          <w:noProof/>
        </w:rPr>
        <w:t>„c)</w:t>
      </w:r>
      <w:r w:rsidRPr="00CE03A5">
        <w:rPr>
          <w:noProof/>
        </w:rPr>
        <w:tab/>
        <w:t>mateřské instituce v EU podávají informace, které jsou požadovány v příloze I šabloně C 16.04 týkající se informací o dceřiných společnostech, na něž se vztahuje odchylka stanovená v čl. 314 odst. 3 nařízení (EU) č. 575/2013, čtvrtletně.“;</w:t>
      </w:r>
    </w:p>
    <w:p w:rsidR="00430BC2" w:rsidRPr="00CE03A5" w:rsidRDefault="0046627D" w:rsidP="0046627D">
      <w:pPr>
        <w:pStyle w:val="Point0"/>
        <w:rPr>
          <w:noProof/>
        </w:rPr>
      </w:pPr>
      <w:r>
        <w:rPr>
          <w:noProof/>
        </w:rPr>
        <w:t>3)</w:t>
      </w:r>
      <w:r>
        <w:rPr>
          <w:noProof/>
        </w:rPr>
        <w:tab/>
      </w:r>
      <w:r w:rsidR="00430BC2" w:rsidRPr="00CE03A5">
        <w:rPr>
          <w:noProof/>
        </w:rPr>
        <w:t>v článku 25 se odstavce 1 a 2 nahrazují tímto:</w:t>
      </w:r>
    </w:p>
    <w:p w:rsidR="00430BC2" w:rsidRPr="00CE03A5" w:rsidRDefault="00430BC2" w:rsidP="00430BC2">
      <w:pPr>
        <w:pStyle w:val="QuotedNumPar"/>
        <w:rPr>
          <w:noProof/>
        </w:rPr>
      </w:pPr>
      <w:r w:rsidRPr="00CE03A5">
        <w:rPr>
          <w:noProof/>
        </w:rPr>
        <w:t>„1. Použitelnost prováděcího nařízení (EU) 2021/451 končí dnem 1. ledna 2025, s výjimkou čl. 5 odst. 12 a přílohy I šablon 18 až 24 a přílohy II části II bodů 5.1 až 5.7. Článek 15 prováděcího nařízení (EU) 2021/451 se nadále použije do 31. prosince 2026 pouze pro účely čl. 5 odst. 4 tohoto nařízení.</w:t>
      </w:r>
    </w:p>
    <w:p w:rsidR="00430BC2" w:rsidRPr="00CE03A5" w:rsidRDefault="00430BC2" w:rsidP="00430BC2">
      <w:pPr>
        <w:pStyle w:val="QuotedNumPar"/>
        <w:rPr>
          <w:noProof/>
        </w:rPr>
      </w:pPr>
      <w:r w:rsidRPr="00CE03A5">
        <w:rPr>
          <w:noProof/>
        </w:rPr>
        <w:t>2. Prováděcí nařízení (EU) 2021/451 se zrušuje s účinkem ode dne 31. prosince 2026.“;</w:t>
      </w:r>
    </w:p>
    <w:p w:rsidR="00430BC2" w:rsidRPr="00CE03A5" w:rsidRDefault="0046627D" w:rsidP="0046627D">
      <w:pPr>
        <w:pStyle w:val="Point0"/>
        <w:rPr>
          <w:noProof/>
        </w:rPr>
      </w:pPr>
      <w:r>
        <w:rPr>
          <w:noProof/>
        </w:rPr>
        <w:t>4)</w:t>
      </w:r>
      <w:r>
        <w:rPr>
          <w:noProof/>
        </w:rPr>
        <w:tab/>
      </w:r>
      <w:r w:rsidR="00430BC2" w:rsidRPr="00CE03A5">
        <w:rPr>
          <w:noProof/>
        </w:rPr>
        <w:t xml:space="preserve">v příloze I se oddíl 1 „Podávání zpráv o kapitálu a kapitálových požadavcích“ mění takto: </w:t>
      </w:r>
    </w:p>
    <w:p w:rsidR="00430BC2" w:rsidRPr="00CE03A5" w:rsidRDefault="0046627D" w:rsidP="0046627D"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="00430BC2" w:rsidRPr="00CE03A5">
        <w:rPr>
          <w:noProof/>
        </w:rPr>
        <w:t>šablona „C 16.01 – OPERAČNÍ RIZIKO – KAPITÁLOVÉ POŽADAVKY (OPR OF)“ se nahrazuje šablonou „C 16.01 – OPERAČNÍ RIZIKO – Kapitálové požadavky (OPR OF)“ uvedenou v příloze tohoto nařízení;</w:t>
      </w:r>
    </w:p>
    <w:p w:rsidR="00430BC2" w:rsidRPr="00CE03A5" w:rsidRDefault="0046627D" w:rsidP="0046627D"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="00430BC2" w:rsidRPr="00CE03A5">
        <w:rPr>
          <w:noProof/>
        </w:rPr>
        <w:t>za šablonu „C 16.01 – OPERAČNÍ RIZIKO – KAPITÁLOVÉ POŽADAVKY (OPR OF)“ se vkládají nové šablony „C 16.02 – OPERAČNÍ RIZIKO – Složka obchodního ukazatele (OPR BIC)“, „C 16.03 – ROZDĚLENÍ OPERAČNÍHO RIZIKA (OPR BD) – Ztráty, náklady, rezervy a jiné finanční dopady vyplývající z událostí operačního rizika“ a „C 16.04 – OPERAČNÍ RIZIKO – Informace o dceřiných společnostech, na něž se vztahuje čl. 314 odst. 3 nařízení o kapitálových požadavcích“ uvedené v příloze tohoto nařízení.</w:t>
      </w:r>
    </w:p>
    <w:p w:rsidR="00430BC2" w:rsidRPr="00CE03A5" w:rsidRDefault="00430BC2" w:rsidP="004E1EF9">
      <w:pPr>
        <w:pStyle w:val="Titrearticle"/>
        <w:rPr>
          <w:noProof/>
        </w:rPr>
      </w:pPr>
      <w:r w:rsidRPr="00CE03A5">
        <w:rPr>
          <w:noProof/>
        </w:rPr>
        <w:t>Článek 2</w:t>
      </w:r>
    </w:p>
    <w:p w:rsidR="00430BC2" w:rsidRPr="00CE03A5" w:rsidRDefault="00430BC2" w:rsidP="004E1EF9">
      <w:pPr>
        <w:rPr>
          <w:noProof/>
        </w:rPr>
      </w:pPr>
      <w:r w:rsidRPr="00CE03A5">
        <w:rPr>
          <w:noProof/>
        </w:rPr>
        <w:t xml:space="preserve">Toto nařízení vstupuje v platnost dvacátým dnem po vyhlášení v </w:t>
      </w:r>
      <w:r w:rsidRPr="00CE03A5">
        <w:rPr>
          <w:i/>
          <w:noProof/>
        </w:rPr>
        <w:t>Úředním věstníku Evropské unie</w:t>
      </w:r>
      <w:r w:rsidRPr="00CE03A5">
        <w:rPr>
          <w:noProof/>
        </w:rPr>
        <w:t>.</w:t>
      </w:r>
    </w:p>
    <w:p w:rsidR="00430BC2" w:rsidRPr="00CE03A5" w:rsidRDefault="00430BC2" w:rsidP="004E1EF9">
      <w:pPr>
        <w:pStyle w:val="Applicationdirecte"/>
        <w:rPr>
          <w:noProof/>
        </w:rPr>
      </w:pPr>
      <w:r w:rsidRPr="00CE03A5">
        <w:rPr>
          <w:noProof/>
        </w:rPr>
        <w:t>Toto nařízení je závazné v celém rozsahu a přímo použitelné ve všech členských státech.</w:t>
      </w:r>
    </w:p>
    <w:p w:rsidR="00430BC2" w:rsidRPr="00CE03A5" w:rsidRDefault="00A452E0" w:rsidP="006B0ED3">
      <w:pPr>
        <w:pStyle w:val="Fait"/>
        <w:rPr>
          <w:noProof/>
        </w:rPr>
      </w:pPr>
      <w:r>
        <w:rPr>
          <w:noProof/>
        </w:rPr>
        <w:t>V Bruselu dne 8.12.2025</w:t>
      </w:r>
    </w:p>
    <w:p w:rsidR="00430BC2" w:rsidRPr="00CE03A5" w:rsidRDefault="00430BC2" w:rsidP="006B0ED3">
      <w:pPr>
        <w:pStyle w:val="Institutionquisigne"/>
        <w:rPr>
          <w:noProof/>
        </w:rPr>
      </w:pPr>
      <w:r w:rsidRPr="00CE03A5">
        <w:rPr>
          <w:noProof/>
        </w:rPr>
        <w:tab/>
        <w:t>Za Komisi</w:t>
      </w:r>
    </w:p>
    <w:p w:rsidR="00CE1BA2" w:rsidRPr="00CE03A5" w:rsidRDefault="007468B5" w:rsidP="006B0ED3">
      <w:pPr>
        <w:pStyle w:val="Personnequisigne"/>
        <w:keepNext/>
        <w:rPr>
          <w:noProof/>
        </w:rPr>
      </w:pPr>
      <w:r>
        <w:rPr>
          <w:noProof/>
        </w:rPr>
        <w:tab/>
        <w:t>předsedkyně</w:t>
      </w:r>
      <w:r>
        <w:rPr>
          <w:noProof/>
        </w:rPr>
        <w:br/>
      </w:r>
      <w:r>
        <w:rPr>
          <w:noProof/>
        </w:rPr>
        <w:tab/>
        <w:t>Ursula VON DER LEYEN</w:t>
      </w:r>
    </w:p>
    <w:p w:rsidR="00430BC2" w:rsidRPr="00CE03A5" w:rsidRDefault="00430BC2" w:rsidP="00430BC2">
      <w:pPr>
        <w:pStyle w:val="Personnequisigne"/>
        <w:rPr>
          <w:noProof/>
        </w:rPr>
      </w:pPr>
    </w:p>
    <w:sectPr w:rsidR="00430BC2" w:rsidRPr="00CE03A5" w:rsidSect="00D95830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BC2" w:rsidRDefault="00430BC2" w:rsidP="00430BC2">
      <w:pPr>
        <w:spacing w:before="0" w:after="0"/>
      </w:pPr>
      <w:r>
        <w:separator/>
      </w:r>
    </w:p>
  </w:endnote>
  <w:endnote w:type="continuationSeparator" w:id="0">
    <w:p w:rsidR="00430BC2" w:rsidRDefault="00430BC2" w:rsidP="00430B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830" w:rsidRPr="00D95830" w:rsidRDefault="00D95830" w:rsidP="00D95830">
    <w:pPr>
      <w:pStyle w:val="Footer"/>
      <w:rPr>
        <w:rFonts w:ascii="Arial" w:hAnsi="Arial" w:cs="Arial"/>
        <w:b/>
        <w:sz w:val="48"/>
      </w:rPr>
    </w:pPr>
    <w:r w:rsidRPr="00D95830">
      <w:rPr>
        <w:rFonts w:ascii="Arial" w:hAnsi="Arial" w:cs="Arial"/>
        <w:b/>
        <w:sz w:val="48"/>
      </w:rPr>
      <w:t>CS</w:t>
    </w:r>
    <w:r w:rsidRPr="00D95830">
      <w:rPr>
        <w:rFonts w:ascii="Arial" w:hAnsi="Arial" w:cs="Arial"/>
        <w:b/>
        <w:sz w:val="48"/>
      </w:rPr>
      <w:tab/>
    </w:r>
    <w:r w:rsidRPr="00D95830">
      <w:rPr>
        <w:rFonts w:ascii="Arial" w:hAnsi="Arial" w:cs="Arial"/>
        <w:b/>
        <w:sz w:val="48"/>
      </w:rPr>
      <w:tab/>
    </w:r>
    <w:r w:rsidRPr="00D95830">
      <w:tab/>
    </w:r>
    <w:r w:rsidRPr="00D95830">
      <w:rPr>
        <w:rFonts w:ascii="Arial" w:hAnsi="Arial" w:cs="Arial"/>
        <w:b/>
        <w:sz w:val="48"/>
      </w:rPr>
      <w:t>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830" w:rsidRPr="00D95830" w:rsidRDefault="00D95830" w:rsidP="00D95830">
    <w:pPr>
      <w:pStyle w:val="Footer"/>
      <w:rPr>
        <w:rFonts w:ascii="Arial" w:hAnsi="Arial" w:cs="Arial"/>
        <w:b/>
        <w:sz w:val="48"/>
      </w:rPr>
    </w:pPr>
    <w:r w:rsidRPr="00D95830">
      <w:rPr>
        <w:rFonts w:ascii="Arial" w:hAnsi="Arial" w:cs="Arial"/>
        <w:b/>
        <w:sz w:val="48"/>
      </w:rPr>
      <w:t>CS</w:t>
    </w:r>
    <w:r w:rsidRPr="00D95830">
      <w:rPr>
        <w:rFonts w:ascii="Arial" w:hAnsi="Arial" w:cs="Arial"/>
        <w:b/>
        <w:sz w:val="48"/>
      </w:rPr>
      <w:tab/>
    </w:r>
    <w:r w:rsidRPr="00D95830">
      <w:rPr>
        <w:rFonts w:ascii="Arial" w:hAnsi="Arial" w:cs="Arial"/>
        <w:b/>
        <w:sz w:val="48"/>
      </w:rPr>
      <w:tab/>
    </w:r>
    <w:r w:rsidRPr="00D95830">
      <w:tab/>
    </w:r>
    <w:r w:rsidRPr="00D95830">
      <w:rPr>
        <w:rFonts w:ascii="Arial" w:hAnsi="Arial" w:cs="Arial"/>
        <w:b/>
        <w:sz w:val="48"/>
      </w:rPr>
      <w:t>CS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830" w:rsidRPr="00D95830" w:rsidRDefault="00D95830" w:rsidP="00D9583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830" w:rsidRDefault="00D9583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830" w:rsidRPr="00D95830" w:rsidRDefault="00D95830" w:rsidP="00D95830">
    <w:pPr>
      <w:pStyle w:val="Footer"/>
      <w:rPr>
        <w:rFonts w:ascii="Arial" w:hAnsi="Arial" w:cs="Arial"/>
        <w:b/>
        <w:sz w:val="48"/>
      </w:rPr>
    </w:pPr>
    <w:r w:rsidRPr="00D95830">
      <w:rPr>
        <w:rFonts w:ascii="Arial" w:hAnsi="Arial" w:cs="Arial"/>
        <w:b/>
        <w:sz w:val="48"/>
      </w:rPr>
      <w:t>CS</w:t>
    </w:r>
    <w:r w:rsidRPr="00D95830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D77F3A">
      <w:rPr>
        <w:noProof/>
      </w:rPr>
      <w:t>1</w:t>
    </w:r>
    <w:r>
      <w:fldChar w:fldCharType="end"/>
    </w:r>
    <w:r>
      <w:tab/>
    </w:r>
    <w:r w:rsidRPr="00D95830">
      <w:tab/>
    </w:r>
    <w:r w:rsidRPr="00D95830">
      <w:rPr>
        <w:rFonts w:ascii="Arial" w:hAnsi="Arial" w:cs="Arial"/>
        <w:b/>
        <w:sz w:val="48"/>
      </w:rPr>
      <w:t>CS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830" w:rsidRDefault="00D95830" w:rsidP="00D95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BC2" w:rsidRDefault="00430BC2" w:rsidP="00430BC2">
      <w:pPr>
        <w:spacing w:before="0" w:after="0"/>
      </w:pPr>
      <w:r>
        <w:separator/>
      </w:r>
    </w:p>
  </w:footnote>
  <w:footnote w:type="continuationSeparator" w:id="0">
    <w:p w:rsidR="00430BC2" w:rsidRDefault="00430BC2" w:rsidP="00430BC2">
      <w:pPr>
        <w:spacing w:before="0" w:after="0"/>
      </w:pPr>
      <w:r>
        <w:continuationSeparator/>
      </w:r>
    </w:p>
  </w:footnote>
  <w:footnote w:id="1">
    <w:p w:rsidR="00430BC2" w:rsidRPr="00980B82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>Úř. věst. L 176, 27.6.2013, s. 1,</w:t>
      </w:r>
      <w:r>
        <w:rPr>
          <w:color w:val="000000"/>
        </w:rPr>
        <w:t xml:space="preserve"> </w:t>
      </w:r>
      <w:r>
        <w:t>ELI: http://data.europa.eu/eli/reg/2013/575/oj.</w:t>
      </w:r>
    </w:p>
  </w:footnote>
  <w:footnote w:id="2">
    <w:p w:rsidR="00430BC2" w:rsidRPr="006510B1" w:rsidRDefault="00430BC2" w:rsidP="00430BC2">
      <w:pPr>
        <w:pStyle w:val="FootnoteText"/>
        <w:rPr>
          <w:rFonts w:eastAsiaTheme="minorEastAsia"/>
        </w:rPr>
      </w:pPr>
      <w:r>
        <w:rPr>
          <w:rStyle w:val="FootnoteReference"/>
        </w:rPr>
        <w:footnoteRef/>
      </w:r>
      <w:r>
        <w:tab/>
        <w:t xml:space="preserve">Nařízení Evropského parlamentu a Rady (EU) 2024/1623 ze dne 31. května 2024, kterým se mění nařízení (EU) č. 575/2013, pokud jde o požadavky týkající se úvěrového rizika, rizika úvěrové úpravy v ocenění, operačního rizika, tržního rizika a minimální výstupní prahy (Úř. věst. L, 19.6.2024, s. 1, ELI: </w:t>
      </w:r>
      <w:bookmarkStart w:id="1" w:name="_Hlk198544494"/>
      <w:r>
        <w:t>http://data.europa.eu/eli/reg/2024/1623/oj</w:t>
      </w:r>
      <w:bookmarkEnd w:id="1"/>
      <w:r>
        <w:t>).</w:t>
      </w:r>
    </w:p>
  </w:footnote>
  <w:footnote w:id="3">
    <w:p w:rsidR="00430BC2" w:rsidRPr="006510B1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>Prováděcí nařízení Komise (EU) 2024/3117 ze dne 29. listopadu 2024, kterým se stanoví prováděcí technické normy pro uplatňování nařízení Evropského parlamentu a Rady (EU) č. 575/2013, pokud jde o podávání zpráv institucí pro účely dohledu, a kterým se zrušuje prováděcí nařízení Komise (EU) 2021/451 (Úř. věst. L, 2024/3117, 27.12.2024, s. 1, ELI: </w:t>
      </w:r>
      <w:bookmarkStart w:id="2" w:name="_Hlk198544532"/>
      <w:r>
        <w:fldChar w:fldCharType="begin"/>
      </w:r>
      <w:r>
        <w:instrText>HYPERLINK "http://data.europa.eu/eli/reg_impl/2024/3117/oj" \t "_blank" \o "Umožňuje přístup k tomuto dokumentu prostřednictvím jeho identifikátoru ELI URI."</w:instrText>
      </w:r>
      <w:r>
        <w:fldChar w:fldCharType="separate"/>
      </w:r>
      <w:r>
        <w:t>http://data.europa.eu/eli/reg_impl/2024/3117/oj</w:t>
      </w:r>
      <w:r>
        <w:fldChar w:fldCharType="end"/>
      </w:r>
      <w:bookmarkEnd w:id="2"/>
      <w:r>
        <w:t>).</w:t>
      </w:r>
    </w:p>
  </w:footnote>
  <w:footnote w:id="4">
    <w:p w:rsidR="00430BC2" w:rsidRPr="0029202E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>Nařízení Komise v přenesené pravomoci (EU) 2025/1496 ze dne 12. června 2025, kterým se mění nařízení Evropského parlamentu a Rady (EU) č. 575/2013, pokud jde o datum použitelnosti kapitálových požadavků k tržnímu riziku (Úř. věst. L, 2025/1496, 19.9.2025, ELI: http://data.europa.eu/eli/reg_del/2025/1496/oj).</w:t>
      </w:r>
    </w:p>
  </w:footnote>
  <w:footnote w:id="5">
    <w:p w:rsidR="00430BC2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 xml:space="preserve">Prováděcí nařízení Komise (EU) 2021/451 ze dne 17. prosince 2020, kterým se stanoví prováděcí technické normy pro uplatňování nařízení Evropského parlamentu a Rady (EU) č. 575/2013, pokud jde o podávání zpráv institucí pro účely dohledu, a kterým se zrušuje prováděcí nařízení (EU) č. 680/2014 (Úř. věst. L 97, 19.3.2021, s. 1, ELI: </w:t>
      </w:r>
      <w:hyperlink r:id="rId1" w:history="1">
        <w:r>
          <w:rPr>
            <w:rStyle w:val="Hyperlink"/>
          </w:rPr>
          <w:t>http://data.europa.eu/eli/reg_impl/2021/451/oj</w:t>
        </w:r>
      </w:hyperlink>
      <w:r>
        <w:t>).</w:t>
      </w:r>
    </w:p>
  </w:footnote>
  <w:footnote w:id="6">
    <w:p w:rsidR="00430BC2" w:rsidRPr="006510B1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</w:r>
      <w:bookmarkStart w:id="3" w:name="_Hlk198544390"/>
      <w:r>
        <w:t xml:space="preserve">Nařízení Evropského parlamentu a Rady (EU) č. 1093/2010 ze dne 24. listopadu 2010 o zřízení Evropského orgánu dohledu </w:t>
      </w:r>
      <w:bookmarkEnd w:id="3"/>
      <w:r>
        <w:t>(Evropského orgánu pro bankovnictví), o změně rozhodnutí č. 716/2009/ES a o zrušení rozhodnutí Komise 2009/78/ES (Úř. věst. L 331, 15.12.2010, s. 12, ELI: http://data.europa.eu/eli/reg/2010/1093/oj).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830" w:rsidRPr="00D95830" w:rsidRDefault="00D95830" w:rsidP="00D958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830" w:rsidRPr="00D95830" w:rsidRDefault="00D95830" w:rsidP="00D958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830" w:rsidRPr="00D95830" w:rsidRDefault="00D95830" w:rsidP="00D9583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830" w:rsidRDefault="00D9583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830" w:rsidRDefault="00D95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77CF1F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C8823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D8E583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54F0E18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0F4E84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F825B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9E610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7B7A92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22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19"/>
  </w:num>
  <w:num w:numId="8">
    <w:abstractNumId w:val="12"/>
  </w:num>
  <w:num w:numId="9">
    <w:abstractNumId w:val="21"/>
  </w:num>
  <w:num w:numId="10">
    <w:abstractNumId w:val="11"/>
  </w:num>
  <w:num w:numId="11">
    <w:abstractNumId w:val="13"/>
  </w:num>
  <w:num w:numId="12">
    <w:abstractNumId w:val="14"/>
  </w:num>
  <w:num w:numId="13">
    <w:abstractNumId w:val="9"/>
  </w:num>
  <w:num w:numId="14">
    <w:abstractNumId w:val="20"/>
  </w:num>
  <w:num w:numId="15">
    <w:abstractNumId w:val="8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16"/>
  </w:num>
  <w:num w:numId="21">
    <w:abstractNumId w:val="22"/>
  </w:num>
  <w:num w:numId="22">
    <w:abstractNumId w:val="19"/>
  </w:num>
  <w:num w:numId="23">
    <w:abstractNumId w:val="12"/>
  </w:num>
  <w:num w:numId="24">
    <w:abstractNumId w:val="21"/>
  </w:num>
  <w:num w:numId="25">
    <w:abstractNumId w:val="11"/>
  </w:num>
  <w:num w:numId="26">
    <w:abstractNumId w:val="13"/>
  </w:num>
  <w:num w:numId="27">
    <w:abstractNumId w:val="14"/>
  </w:num>
  <w:num w:numId="28">
    <w:abstractNumId w:val="9"/>
  </w:num>
  <w:num w:numId="29">
    <w:abstractNumId w:val="20"/>
  </w:num>
  <w:num w:numId="30">
    <w:abstractNumId w:val="8"/>
  </w:num>
  <w:num w:numId="31">
    <w:abstractNumId w:val="15"/>
  </w:num>
  <w:num w:numId="32">
    <w:abstractNumId w:val="17"/>
  </w:num>
  <w:num w:numId="33">
    <w:abstractNumId w:val="18"/>
  </w:num>
  <w:num w:numId="34">
    <w:abstractNumId w:val="10"/>
  </w:num>
  <w:num w:numId="35">
    <w:abstractNumId w:val="16"/>
  </w:num>
  <w:num w:numId="36">
    <w:abstractNumId w:val="22"/>
  </w:num>
  <w:num w:numId="37">
    <w:abstractNumId w:val="6"/>
  </w:num>
  <w:num w:numId="38">
    <w:abstractNumId w:val="2"/>
  </w:num>
  <w:num w:numId="39">
    <w:abstractNumId w:val="1"/>
  </w:num>
  <w:num w:numId="40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5-12-02 10:08:20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498089E3-456F-43E5-BBBB-60920C1CAAA1"/>
    <w:docVar w:name="LW_COVERPAGE_TYPE" w:val="1"/>
    <w:docVar w:name="LW_CreatedUtc" w:val="2025-10-08T14:24:25.1973363Z"/>
    <w:docVar w:name="LW_CROSSREFERENCE" w:val="&lt;UNUSED&gt;"/>
    <w:docVar w:name="LW_DATE.ADOPT.CP" w:val="ze dne 8.12.2025,"/>
    <w:docVar w:name="LW_DATE.ADOPT.CP_DATEFORMAT" w:val="ze dne %DATE%,"/>
    <w:docVar w:name="LW_DATE.ADOPT.CP_ISODATE" w:val="2025-12-08"/>
    <w:docVar w:name="LW_DocType" w:val="COM"/>
    <w:docVar w:name="LW_EMISSION" w:val="8.12.2025"/>
    <w:docVar w:name="LW_EMISSION_ISODATE" w:val="2025-12-08"/>
    <w:docVar w:name="LW_EMISSION_LOCATION" w:val="BRX"/>
    <w:docVar w:name="LW_EMISSION_PREFIX" w:val="V Bruselu dne "/>
    <w:docVar w:name="LW_EMISSION_SUFFIX" w:val=" "/>
    <w:docVar w:name="LW_ID_DOCMODEL" w:val="SJ-004"/>
    <w:docVar w:name="LW_ID_DOCSIGNATURE" w:val="SJ-004"/>
    <w:docVar w:name="LW_ID_DOCSTRUCTURE" w:val="COM/AA"/>
    <w:docVar w:name="LW_ID_DOCTYPE" w:val="SJ-004"/>
    <w:docVar w:name="LW_INTERETEEE.CP" w:val="(Text s významem pro EHP)"/>
    <w:docVar w:name="LW_LANGUE" w:val="CS"/>
    <w:docVar w:name="LW_LANGUESFAISANTFOI.CP" w:val="&lt;UNUSED&gt;"/>
    <w:docVar w:name="LW_LEVEL_OF_SENSITIVITY" w:val="Standard treatment"/>
    <w:docVar w:name="LW_NOM.INST" w:val="EVROPSKÁ KOMISE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25) 8378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kterým se m\u283?ní provád\u283?cí technické normy stanovené v provád\u283?cím na\u345?ízení (EU) 2024/3117, pokud jde o podávání zpráv institucí pro ú\u269?ely dohledu v souvislosti s opera\u269?ním rizikem"/>
    <w:docVar w:name="LW_TYPE.DOC.CP" w:val="PROVÁD\u282?CÍ NA\u344?ÍZENÍ KOMISE (EU) \u8230?/..."/>
    <w:docVar w:name="LwApiVersions" w:val="LW4CoDe 1.24.5.0; LW 9.2, Build 20251112"/>
  </w:docVars>
  <w:rsids>
    <w:rsidRoot w:val="00430BC2"/>
    <w:rsid w:val="00017C96"/>
    <w:rsid w:val="0004435A"/>
    <w:rsid w:val="00050CA3"/>
    <w:rsid w:val="00075093"/>
    <w:rsid w:val="000C3632"/>
    <w:rsid w:val="000D0F6C"/>
    <w:rsid w:val="001065F5"/>
    <w:rsid w:val="001238EF"/>
    <w:rsid w:val="00133705"/>
    <w:rsid w:val="00151C13"/>
    <w:rsid w:val="00197613"/>
    <w:rsid w:val="001E1BB5"/>
    <w:rsid w:val="00233DC7"/>
    <w:rsid w:val="00247779"/>
    <w:rsid w:val="002654E4"/>
    <w:rsid w:val="00285BEE"/>
    <w:rsid w:val="0029533F"/>
    <w:rsid w:val="002B30AF"/>
    <w:rsid w:val="002C6CC3"/>
    <w:rsid w:val="002E5318"/>
    <w:rsid w:val="0033344A"/>
    <w:rsid w:val="0038150A"/>
    <w:rsid w:val="003A0B4A"/>
    <w:rsid w:val="0042648E"/>
    <w:rsid w:val="00430BC2"/>
    <w:rsid w:val="004404AB"/>
    <w:rsid w:val="00445072"/>
    <w:rsid w:val="0046627D"/>
    <w:rsid w:val="00487D9D"/>
    <w:rsid w:val="004936D2"/>
    <w:rsid w:val="005152A4"/>
    <w:rsid w:val="0055312E"/>
    <w:rsid w:val="00561998"/>
    <w:rsid w:val="00562257"/>
    <w:rsid w:val="005B1EB6"/>
    <w:rsid w:val="006A3A74"/>
    <w:rsid w:val="006B0ED3"/>
    <w:rsid w:val="006F3E02"/>
    <w:rsid w:val="007468B5"/>
    <w:rsid w:val="00751FF6"/>
    <w:rsid w:val="0076425B"/>
    <w:rsid w:val="00773331"/>
    <w:rsid w:val="007932EF"/>
    <w:rsid w:val="007E05B0"/>
    <w:rsid w:val="00847BAB"/>
    <w:rsid w:val="00874D22"/>
    <w:rsid w:val="0088304E"/>
    <w:rsid w:val="00883B63"/>
    <w:rsid w:val="0089317B"/>
    <w:rsid w:val="008A2914"/>
    <w:rsid w:val="008E4D8E"/>
    <w:rsid w:val="0090396F"/>
    <w:rsid w:val="009132D3"/>
    <w:rsid w:val="00957BDE"/>
    <w:rsid w:val="00963915"/>
    <w:rsid w:val="009F2131"/>
    <w:rsid w:val="00A362F7"/>
    <w:rsid w:val="00A452E0"/>
    <w:rsid w:val="00A50C30"/>
    <w:rsid w:val="00A919C2"/>
    <w:rsid w:val="00A9563C"/>
    <w:rsid w:val="00AC2E30"/>
    <w:rsid w:val="00AD7C0F"/>
    <w:rsid w:val="00AE3DBA"/>
    <w:rsid w:val="00B27119"/>
    <w:rsid w:val="00B40F1A"/>
    <w:rsid w:val="00B443FE"/>
    <w:rsid w:val="00C12301"/>
    <w:rsid w:val="00C40A48"/>
    <w:rsid w:val="00C84FA7"/>
    <w:rsid w:val="00C862B2"/>
    <w:rsid w:val="00CE03A5"/>
    <w:rsid w:val="00CE1BA2"/>
    <w:rsid w:val="00D03513"/>
    <w:rsid w:val="00D0599E"/>
    <w:rsid w:val="00D20381"/>
    <w:rsid w:val="00D77F3A"/>
    <w:rsid w:val="00D95830"/>
    <w:rsid w:val="00E16EF8"/>
    <w:rsid w:val="00E2526E"/>
    <w:rsid w:val="00F47C85"/>
    <w:rsid w:val="00FB7D5E"/>
    <w:rsid w:val="00FC38F8"/>
    <w:rsid w:val="00FF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9BDB1EF0-7C92-4C1A-8025-16837D32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cs-CZ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29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29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29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430BC2"/>
    <w:pPr>
      <w:numPr>
        <w:numId w:val="1"/>
      </w:numPr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30BC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0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cs-CZ"/>
    </w:rPr>
  </w:style>
  <w:style w:type="paragraph" w:styleId="ListBullet2">
    <w:name w:val="List Bullet 2"/>
    <w:basedOn w:val="Normal"/>
    <w:uiPriority w:val="99"/>
    <w:semiHidden/>
    <w:unhideWhenUsed/>
    <w:rsid w:val="0004435A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435A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435A"/>
    <w:pPr>
      <w:numPr>
        <w:numId w:val="6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95830"/>
    <w:rPr>
      <w:rFonts w:ascii="Times New Roman" w:hAnsi="Times New Roman" w:cs="Times New Roman"/>
      <w:sz w:val="24"/>
      <w:lang w:val="cs-CZ"/>
    </w:rPr>
  </w:style>
  <w:style w:type="character" w:customStyle="1" w:styleId="FooterChar">
    <w:name w:val="Footer Char"/>
    <w:basedOn w:val="DefaultParagraphFont"/>
    <w:link w:val="Footer"/>
    <w:uiPriority w:val="99"/>
    <w:rsid w:val="00D95830"/>
    <w:rPr>
      <w:rFonts w:ascii="Times New Roman" w:hAnsi="Times New Roman" w:cs="Times New Roman"/>
      <w:sz w:val="24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D9583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D95830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D9583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2"/>
      </w:numPr>
    </w:pPr>
  </w:style>
  <w:style w:type="paragraph" w:customStyle="1" w:styleId="Tiret1">
    <w:name w:val="Tiret 1"/>
    <w:basedOn w:val="Point1"/>
    <w:pPr>
      <w:numPr>
        <w:numId w:val="23"/>
      </w:numPr>
    </w:pPr>
  </w:style>
  <w:style w:type="paragraph" w:customStyle="1" w:styleId="Tiret2">
    <w:name w:val="Tiret 2"/>
    <w:basedOn w:val="Point2"/>
    <w:pPr>
      <w:numPr>
        <w:numId w:val="24"/>
      </w:numPr>
    </w:pPr>
  </w:style>
  <w:style w:type="paragraph" w:customStyle="1" w:styleId="Tiret3">
    <w:name w:val="Tiret 3"/>
    <w:basedOn w:val="Point3"/>
    <w:pPr>
      <w:numPr>
        <w:numId w:val="25"/>
      </w:numPr>
    </w:pPr>
  </w:style>
  <w:style w:type="paragraph" w:customStyle="1" w:styleId="Tiret4">
    <w:name w:val="Tiret 4"/>
    <w:basedOn w:val="Point4"/>
    <w:pPr>
      <w:numPr>
        <w:numId w:val="26"/>
      </w:numPr>
    </w:pPr>
  </w:style>
  <w:style w:type="paragraph" w:customStyle="1" w:styleId="Tiret5">
    <w:name w:val="Tiret 5"/>
    <w:basedOn w:val="Point5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28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28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E664ED"/>
    <w:pPr>
      <w:spacing w:before="360" w:after="24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E664ED"/>
    <w:pPr>
      <w:spacing w:after="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Normal"/>
    <w:rsid w:val="00E664ED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Rfrencecroise"/>
    <w:rsid w:val="00E664ED"/>
    <w:pPr>
      <w:spacing w:before="360" w:after="240"/>
      <w:jc w:val="center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C40A48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40A48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C40A48"/>
    <w:pPr>
      <w:numPr>
        <w:numId w:val="3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40A48"/>
    <w:pPr>
      <w:numPr>
        <w:numId w:val="3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40A48"/>
    <w:pPr>
      <w:numPr>
        <w:numId w:val="3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40A48"/>
    <w:pPr>
      <w:numPr>
        <w:numId w:val="4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830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D95830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D95830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D95830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ata.europa.eu/eli/reg_impl/2021/451/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0DC13EB184F4EBE5AA21BE9F247DB" ma:contentTypeVersion="4" ma:contentTypeDescription="Create a new document." ma:contentTypeScope="" ma:versionID="10be360f5c62a8d3a4e267eb14d21e0e">
  <xsd:schema xmlns:xsd="http://www.w3.org/2001/XMLSchema" xmlns:xs="http://www.w3.org/2001/XMLSchema" xmlns:p="http://schemas.microsoft.com/office/2006/metadata/properties" xmlns:ns2="00b59672-fe45-4cd1-beac-f346117953eb" targetNamespace="http://schemas.microsoft.com/office/2006/metadata/properties" ma:root="true" ma:fieldsID="172bd27ebbff65573fbd17f85c504c71" ns2:_="">
    <xsd:import namespace="00b59672-fe45-4cd1-beac-f34611795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59672-fe45-4cd1-beac-f34611795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AE2645-3512-4D73-A417-BBD0B04B009C}"/>
</file>

<file path=customXml/itemProps2.xml><?xml version="1.0" encoding="utf-8"?>
<ds:datastoreItem xmlns:ds="http://schemas.openxmlformats.org/officeDocument/2006/customXml" ds:itemID="{F7E4FA7B-1F8D-4EE9-BBFC-EB5716FEF3D6}"/>
</file>

<file path=customXml/itemProps3.xml><?xml version="1.0" encoding="utf-8"?>
<ds:datastoreItem xmlns:ds="http://schemas.openxmlformats.org/officeDocument/2006/customXml" ds:itemID="{290BA006-5A98-422A-A68B-F12B5C4E0D3C}"/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5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30</cp:revision>
  <dcterms:created xsi:type="dcterms:W3CDTF">2025-11-19T12:59:00Z</dcterms:created>
  <dcterms:modified xsi:type="dcterms:W3CDTF">2025-12-02T09:08:00Z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8.0.25.0</vt:lpwstr>
  </property>
  <property fmtid="{D5CDD505-2E9C-101B-9397-08002B2CF9AE}" pid="4" name="Last edited using">
    <vt:lpwstr>LW 9.2, Build 20250828</vt:lpwstr>
  </property>
  <property fmtid="{D5CDD505-2E9C-101B-9397-08002B2CF9AE}" pid="5" name="Created using">
    <vt:lpwstr>LW 9.1, Build 20240808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SJ-004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2025-10-08T14:35:46Z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9612d0f4-a765-4411-b663-a2b3981f03de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MSIP_Label_6bd9ddd1-4d20-43f6-abfa-fc3c07406f94_Tag">
    <vt:lpwstr>10, 3, 0, 1</vt:lpwstr>
  </property>
  <property fmtid="{D5CDD505-2E9C-101B-9397-08002B2CF9AE}" pid="18" name="DQCStatus">
    <vt:lpwstr>Green (DQC version 03)</vt:lpwstr>
  </property>
  <property fmtid="{D5CDD505-2E9C-101B-9397-08002B2CF9AE}" pid="19" name="ContentTypeId">
    <vt:lpwstr>0x010100A640DC13EB184F4EBE5AA21BE9F247DB</vt:lpwstr>
  </property>
</Properties>
</file>