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33F" w:rsidRPr="00B60219" w:rsidRDefault="00500001" w:rsidP="00500001">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5B7D5304-3403-4DC4-8E49-4D6BD6C7D34D" style="width:455.25pt;height:383.25pt">
            <v:imagedata r:id="rId11" o:title=""/>
          </v:shape>
        </w:pict>
      </w:r>
    </w:p>
    <w:p w:rsidR="00FE7FED" w:rsidRPr="00B60219" w:rsidRDefault="00FE7FED">
      <w:pPr>
        <w:rPr>
          <w:noProof/>
        </w:rPr>
        <w:sectPr w:rsidR="00FE7FED" w:rsidRPr="00B60219" w:rsidSect="00500001">
          <w:footerReference w:type="even" r:id="rId12"/>
          <w:footerReference w:type="default" r:id="rId13"/>
          <w:pgSz w:w="11907" w:h="16839"/>
          <w:pgMar w:top="1134" w:right="1417" w:bottom="1134" w:left="1417" w:header="709" w:footer="709" w:gutter="0"/>
          <w:pgNumType w:start="0"/>
          <w:cols w:space="720"/>
          <w:docGrid w:linePitch="360"/>
        </w:sectPr>
      </w:pPr>
    </w:p>
    <w:p w:rsidR="009713B0" w:rsidRPr="00B60219" w:rsidRDefault="00B60219" w:rsidP="00B60219">
      <w:pPr>
        <w:pStyle w:val="Typedudocument"/>
        <w:rPr>
          <w:noProof/>
        </w:rPr>
      </w:pPr>
      <w:bookmarkStart w:id="0" w:name="_GoBack"/>
      <w:bookmarkEnd w:id="0"/>
      <w:r w:rsidRPr="00B60219">
        <w:rPr>
          <w:noProof/>
        </w:rPr>
        <w:lastRenderedPageBreak/>
        <w:t>KOMMISSIONENS GENOMFÖRANDEFÖRORDNING (EU) …/…</w:t>
      </w:r>
    </w:p>
    <w:p w:rsidR="009713B0" w:rsidRPr="00B60219" w:rsidRDefault="000E6B2C" w:rsidP="00B60219">
      <w:pPr>
        <w:pStyle w:val="Datedadoption"/>
        <w:rPr>
          <w:noProof/>
        </w:rPr>
      </w:pPr>
      <w:r>
        <w:rPr>
          <w:noProof/>
        </w:rPr>
        <w:t>av den 1.10.2025</w:t>
      </w:r>
    </w:p>
    <w:p w:rsidR="009713B0" w:rsidRPr="00B60219" w:rsidRDefault="00B60219" w:rsidP="00B60219">
      <w:pPr>
        <w:pStyle w:val="Titreobjet"/>
        <w:rPr>
          <w:noProof/>
        </w:rPr>
      </w:pPr>
      <w:r w:rsidRPr="00B60219">
        <w:rPr>
          <w:noProof/>
        </w:rPr>
        <w:t>om fastställande av tekniska genomförandestandarder för tillämpningen av Europaparlamentets och rådets förordning (EU) nr 260/2012 vad gäller enhetliga rapporteringsmallar, instruktioner och metoder för rapportering av avgiftsnivån för betalningar, omedelbara betalningar och betalkonton samt andelen avvisade transaktioner</w:t>
      </w:r>
    </w:p>
    <w:p w:rsidR="009713B0" w:rsidRPr="00B60219" w:rsidRDefault="009713B0" w:rsidP="009713B0">
      <w:pPr>
        <w:pStyle w:val="Institutionquiagit"/>
        <w:rPr>
          <w:noProof/>
        </w:rPr>
      </w:pPr>
      <w:r w:rsidRPr="00B60219">
        <w:rPr>
          <w:noProof/>
        </w:rPr>
        <w:t>EUROPEISKA KOMMISSIONEN HAR ANTAGIT DENNA FÖRORDNING</w:t>
      </w:r>
    </w:p>
    <w:p w:rsidR="009713B0" w:rsidRPr="00B60219" w:rsidRDefault="009713B0" w:rsidP="009713B0">
      <w:pPr>
        <w:rPr>
          <w:noProof/>
          <w:color w:val="000000"/>
        </w:rPr>
      </w:pPr>
      <w:r w:rsidRPr="00B60219">
        <w:rPr>
          <w:noProof/>
          <w:color w:val="000000"/>
        </w:rPr>
        <w:t>med beaktande av fördraget om Europeiska unionens funktionssätt,</w:t>
      </w:r>
    </w:p>
    <w:p w:rsidR="009713B0" w:rsidRPr="00B60219" w:rsidRDefault="009713B0" w:rsidP="009713B0">
      <w:pPr>
        <w:rPr>
          <w:noProof/>
          <w:color w:val="000000"/>
        </w:rPr>
      </w:pPr>
      <w:r w:rsidRPr="00B60219">
        <w:rPr>
          <w:noProof/>
          <w:color w:val="000000"/>
        </w:rPr>
        <w:t>med beaktande av Europaparlamentets och rådets förordning (EU) nr 260/2012 av den 14 mars 2012 om antagande av tekniska och affärsmässiga krav för betalningar och autogireringar i euro och om ändring av förordning (EG) nr 924/2009</w:t>
      </w:r>
      <w:r w:rsidR="00A8350B" w:rsidRPr="00B60219">
        <w:rPr>
          <w:rStyle w:val="FootnoteReference"/>
          <w:noProof/>
          <w:color w:val="000000"/>
        </w:rPr>
        <w:footnoteReference w:id="2"/>
      </w:r>
      <w:r w:rsidRPr="00B60219">
        <w:rPr>
          <w:noProof/>
          <w:color w:val="000000"/>
        </w:rPr>
        <w:t xml:space="preserve">, särskilt artikel 15.5 tredje stycket, och </w:t>
      </w:r>
    </w:p>
    <w:p w:rsidR="009713B0" w:rsidRPr="00B60219" w:rsidRDefault="009713B0" w:rsidP="009713B0">
      <w:pPr>
        <w:rPr>
          <w:noProof/>
        </w:rPr>
      </w:pPr>
      <w:r w:rsidRPr="00B60219">
        <w:rPr>
          <w:noProof/>
        </w:rPr>
        <w:t>av följande skäl:</w:t>
      </w:r>
    </w:p>
    <w:p w:rsidR="00AC0006" w:rsidRPr="00B60219" w:rsidRDefault="00A35B9E" w:rsidP="00A35B9E">
      <w:pPr>
        <w:pStyle w:val="ManualConsidrant"/>
        <w:rPr>
          <w:noProof/>
        </w:rPr>
      </w:pPr>
      <w:r w:rsidRPr="00A35B9E">
        <w:rPr>
          <w:noProof/>
        </w:rPr>
        <w:t>(1)</w:t>
      </w:r>
      <w:r w:rsidRPr="00A35B9E">
        <w:rPr>
          <w:noProof/>
        </w:rPr>
        <w:tab/>
      </w:r>
      <w:r w:rsidR="00925CEE" w:rsidRPr="00B60219">
        <w:rPr>
          <w:noProof/>
        </w:rPr>
        <w:t xml:space="preserve">Rapporteringen om avgiftsnivån i enlighet med artikel 15.3 i förordning (EU) nr 260/2012 bör göra det möjligt för kommissionen att bedöma hur bestämmelsen om uttag av avgifter för omedelbara betalningar, som fastställs i artikel 5b.1 i den förordningen, påverkar avgifterna för betalkonton, både för nationella och gränsöverskridande betalningar, och för omedelbara betalningar i euro och i den nationella valutan i de medlemsstater som inte har euron som valuta. De avgifter som tas ut av betaltjänstleverantörer för betalningar, inklusive omedelbara betalningar, varierar vanligtvis beroende på särdragen hos den berörda betalningen. Sådana särdrag kan vara om betaltjänstanvändaren är betalaren eller betalningsmottagaren, en konsument eller inte, eller typen av betalningsinitieringskanal. Rapporteringen om betalningar som sänts bör därför omfatta en uppdelning efter inhemska och gränsöverskridande överföringar, typ av betaltjänstanvändare och betalningsinitieringskanal. </w:t>
      </w:r>
    </w:p>
    <w:p w:rsidR="00F133B9" w:rsidRPr="00B60219" w:rsidRDefault="00A35B9E" w:rsidP="00A35B9E">
      <w:pPr>
        <w:pStyle w:val="ManualConsidrant"/>
        <w:rPr>
          <w:noProof/>
        </w:rPr>
      </w:pPr>
      <w:r w:rsidRPr="00A35B9E">
        <w:rPr>
          <w:noProof/>
        </w:rPr>
        <w:t>(2)</w:t>
      </w:r>
      <w:r w:rsidRPr="00A35B9E">
        <w:rPr>
          <w:noProof/>
        </w:rPr>
        <w:tab/>
      </w:r>
      <w:r w:rsidR="00914C54" w:rsidRPr="00B60219">
        <w:rPr>
          <w:noProof/>
        </w:rPr>
        <w:t xml:space="preserve">Betaltjänstleverantörerna kan välja att fastställa avgifter per transaktion antingen i nominella termer eller som en procentandel av transaktionens värde. Betaltjänstleverantörerna kan också välja alternativa avgiftsstrukturer, inbegripet differentierad prissättning baserad på olika intervall av transaktionsvärdet eller tillvägagångssätt med ett visst antal transaktioner per månad utan avgift varefter en avgift per transaktion tillämpas. Det vore inte önskvärt att sådana heterogena affärsmetoder leder till att syftet med bestämmelsen om avgifter för omedelbara betalningar i artikel 5b.1 i förordning (EU) nr 260/2012 kringgås. Metoden för att rapportera information om avgiftsnivån för regelbundna betalningar och omedelbara betalningar bör göra det möjligt för kommissionen att utvärdera den information som tillhandahålls av betaltjänstleverantörer på ett enhetligt och jämförbart sätt på betaltjänstleverantörsnivå över tid och mellan olika betaltjänstleverantörer vid en viss tidpunkt, trots de olika avgiftsmetoder som betaltjänstleverantörerna använder. Rapporteringen bör därför innehålla information om de totala aggregerade avgifterna, volymen och värdet av betalningarna, inklusive de omedelbara betalningarna, i den </w:t>
      </w:r>
      <w:r w:rsidR="00914C54" w:rsidRPr="00B60219">
        <w:rPr>
          <w:noProof/>
        </w:rPr>
        <w:lastRenderedPageBreak/>
        <w:t>nationella valuta. Rapporteringen om betalningar, både skickade och mottagna, bör också innehålla en uppdelning efter gratis och avgiftsbelagda betalningar.</w:t>
      </w:r>
    </w:p>
    <w:p w:rsidR="009713B0" w:rsidRPr="00B60219" w:rsidRDefault="00A35B9E" w:rsidP="00A35B9E">
      <w:pPr>
        <w:pStyle w:val="ManualConsidrant"/>
        <w:rPr>
          <w:noProof/>
        </w:rPr>
      </w:pPr>
      <w:r w:rsidRPr="00A35B9E">
        <w:rPr>
          <w:noProof/>
        </w:rPr>
        <w:t>(3)</w:t>
      </w:r>
      <w:r w:rsidRPr="00A35B9E">
        <w:rPr>
          <w:noProof/>
        </w:rPr>
        <w:tab/>
      </w:r>
      <w:r w:rsidR="004425F3" w:rsidRPr="00B60219">
        <w:rPr>
          <w:noProof/>
        </w:rPr>
        <w:t>Betaltjänstleverantörerna bör uppfylla sin rapporteringsskyldighet enligt artikel 15.3 i förordning (EU) nr 260/2012 på enhetsnivå. I enlighet med tillvägagångssättet att rapportera betalningsstatistik till ECB bör de filialer till betaltjänstleverantörer som är belägna i andra medlemsstater än deras moderenheters medlemsstater, lämna in sina uppgifter till den behöriga myndigheten i värdmedlemsstaten, och moderenheterna bör själva rapportera till den behöriga myndigheten i sin hemmedlemsstat.</w:t>
      </w:r>
    </w:p>
    <w:p w:rsidR="009713B0" w:rsidRPr="00B60219" w:rsidRDefault="00A35B9E" w:rsidP="00A35B9E">
      <w:pPr>
        <w:pStyle w:val="ManualConsidrant"/>
        <w:rPr>
          <w:noProof/>
        </w:rPr>
      </w:pPr>
      <w:r w:rsidRPr="00A35B9E">
        <w:rPr>
          <w:noProof/>
        </w:rPr>
        <w:t>(4)</w:t>
      </w:r>
      <w:r w:rsidRPr="00A35B9E">
        <w:rPr>
          <w:noProof/>
        </w:rPr>
        <w:tab/>
      </w:r>
      <w:r w:rsidR="000D1771" w:rsidRPr="00B60219">
        <w:rPr>
          <w:noProof/>
        </w:rPr>
        <w:t>De betaltjänstleverantörer som är etablerade i medlemsstater som inte har euron som valuta och som erbjuder sina betaltjänstanvändare en betaltjänst för att ta emot och sända regelbundna betalningar i euro är skyldiga att erbjuda sina betaltjänstanvändare en betaltjänst för att ta emot omedelbara betalningar i euro senast den 9 januari 2027 och en betaltjänst för att sända omedelbara betalningar i euro senast den 9 juli 2027, i enlighet med artikel 5a.8 i förordning (EU) nr 260/2012. De betaltjänstleverantörerna bör också uppfylla skyldigheterna avseende de avgifter som tas ut från betalare och betalningsmottagare för att sända och ta emot omedelbara betalningar i euro senast den 9 januari 2027, i enlighet med artikel 5b.3 andra stycket i den förordningen. För att göra det möjligt för kommissionen att utvärdera effekterna av förordning (EU) nr 260/2012 på avgiftsnivån för betalningar, inbegripet omedelbara betalningar, uttryckta i den nationella valutan i de medlemsstater som inte har euron som valuta, i enlighet med artikel 15.2 a i den förordningen, är det lämpligt att de betaltjänstleverantörer som är etablerade i de medlemsstaterna och som erbjuder sina betaltjänstanvändare en betaltjänst för att ta emot och sända regelbundna betalningar i euro bör rapportera om antalet, nivån och avgifterna för betalningarna, inbegripet omedelbara betalningar, i deras nationella valuta och i euro.</w:t>
      </w:r>
    </w:p>
    <w:p w:rsidR="009713B0" w:rsidRPr="00B60219" w:rsidRDefault="00A35B9E" w:rsidP="00A35B9E">
      <w:pPr>
        <w:pStyle w:val="ManualConsidrant"/>
        <w:rPr>
          <w:noProof/>
        </w:rPr>
      </w:pPr>
      <w:r w:rsidRPr="00A35B9E">
        <w:rPr>
          <w:noProof/>
        </w:rPr>
        <w:t>(5)</w:t>
      </w:r>
      <w:r w:rsidRPr="00A35B9E">
        <w:rPr>
          <w:noProof/>
        </w:rPr>
        <w:tab/>
      </w:r>
      <w:r w:rsidR="009713B0" w:rsidRPr="00B60219">
        <w:rPr>
          <w:noProof/>
        </w:rPr>
        <w:t>Vid rapporteringen i enlighet med artikel 15.3 i förordning (EU) nr 260/2012 bör betaltjänstleverantörerna förse sina behöriga myndigheter med uppgifter om det totala antalet betalkonton och den totala aggregerade avgiftsnivån för betalkonton. För att kommissionen ska kunna bedöma om det finns en koppling mellan potentiella ändringar av avgifterna för betalkonton och ändringar av avgifterna för betalningar och omedelbara betalningar bör rapporteringen rymma uppdelningar av hanteringsavgifterna.</w:t>
      </w:r>
    </w:p>
    <w:p w:rsidR="009713B0" w:rsidRPr="00B60219" w:rsidRDefault="00A35B9E" w:rsidP="00A35B9E">
      <w:pPr>
        <w:pStyle w:val="ManualConsidrant"/>
        <w:rPr>
          <w:noProof/>
        </w:rPr>
      </w:pPr>
      <w:r w:rsidRPr="00A35B9E">
        <w:rPr>
          <w:noProof/>
        </w:rPr>
        <w:t>(6)</w:t>
      </w:r>
      <w:r w:rsidRPr="00A35B9E">
        <w:rPr>
          <w:noProof/>
        </w:rPr>
        <w:tab/>
      </w:r>
      <w:r w:rsidR="00136075" w:rsidRPr="00B60219">
        <w:rPr>
          <w:noProof/>
        </w:rPr>
        <w:t>För att göra det möjligt för kommissionen att bedöma andelen omedelbara betalningar som avvisats på grund av tillämpning av riktade finansiella restriktiva åtgärder som antagits i enlighet med artikel 215 i fördraget om Europeiska unionens funktionssätt, och för att bedöma om denna andel ändrats efter det att de ändringar av förordning (EU) nr 260/2012 som infördes genom Europaparlamentets och rådets förordning (EU) 2024/886</w:t>
      </w:r>
      <w:r w:rsidR="00AD7B15" w:rsidRPr="00B60219">
        <w:rPr>
          <w:rStyle w:val="FootnoteReference"/>
          <w:noProof/>
        </w:rPr>
        <w:footnoteReference w:id="3"/>
      </w:r>
      <w:r w:rsidR="00136075" w:rsidRPr="00B60219">
        <w:rPr>
          <w:noProof/>
        </w:rPr>
        <w:t xml:space="preserve"> började tillämpas, bör betaltjänstleverantörerna förse sina behöriga myndigheter med uppgifter om den andelen under ett visst år, inbegripet antalet fall där omedelbara betalningar inte genomfördes eller där medel frystes på betalarens eller betalningsmottagarens betaltjänstleverantörs sida. </w:t>
      </w:r>
    </w:p>
    <w:p w:rsidR="0039723A" w:rsidRPr="00B60219" w:rsidRDefault="00A35B9E" w:rsidP="00A35B9E">
      <w:pPr>
        <w:pStyle w:val="ManualConsidrant"/>
        <w:rPr>
          <w:noProof/>
        </w:rPr>
      </w:pPr>
      <w:r w:rsidRPr="00A35B9E">
        <w:rPr>
          <w:noProof/>
        </w:rPr>
        <w:t>(7)</w:t>
      </w:r>
      <w:r w:rsidRPr="00A35B9E">
        <w:rPr>
          <w:noProof/>
        </w:rPr>
        <w:tab/>
      </w:r>
      <w:r w:rsidR="00B17DF1" w:rsidRPr="00B60219">
        <w:rPr>
          <w:noProof/>
        </w:rPr>
        <w:t>För att harmonisera rapporteringen bör betaltjänstleverantörerna använda datapunktsmodellen och valideringsformlerna som finns tillgängliga på Europeiska bankmyndighetens (EBA) webbplats. För att minska rapporteringsbördan och undvika dubbelarbete bör de behöriga myndigheterna dessutom kunna tillåta betaltjänstleverantörer som är etablerade inom deras jurisdiktion att begränsa rapporteringen till de datapunkter som inte tidigare lämnats in.</w:t>
      </w:r>
    </w:p>
    <w:p w:rsidR="009713B0" w:rsidRPr="00B60219" w:rsidRDefault="00A35B9E" w:rsidP="00A35B9E">
      <w:pPr>
        <w:pStyle w:val="ManualConsidrant"/>
        <w:rPr>
          <w:noProof/>
        </w:rPr>
      </w:pPr>
      <w:r w:rsidRPr="00A35B9E">
        <w:rPr>
          <w:noProof/>
        </w:rPr>
        <w:t>(8)</w:t>
      </w:r>
      <w:r w:rsidRPr="00A35B9E">
        <w:rPr>
          <w:noProof/>
        </w:rPr>
        <w:tab/>
      </w:r>
      <w:r w:rsidR="009713B0" w:rsidRPr="00B60219">
        <w:rPr>
          <w:noProof/>
        </w:rPr>
        <w:t>Denna förordning utgår från det förslag till tekniska standarder för genomförande som EBA har lämnat till kommissionen.</w:t>
      </w:r>
    </w:p>
    <w:p w:rsidR="009713B0" w:rsidRPr="00B60219" w:rsidRDefault="00A35B9E" w:rsidP="00A35B9E">
      <w:pPr>
        <w:pStyle w:val="ManualConsidrant"/>
        <w:rPr>
          <w:noProof/>
        </w:rPr>
      </w:pPr>
      <w:r w:rsidRPr="00A35B9E">
        <w:rPr>
          <w:noProof/>
        </w:rPr>
        <w:t>(9)</w:t>
      </w:r>
      <w:r w:rsidRPr="00A35B9E">
        <w:rPr>
          <w:noProof/>
        </w:rPr>
        <w:tab/>
      </w:r>
      <w:r w:rsidR="009713B0" w:rsidRPr="00B60219">
        <w:rPr>
          <w:noProof/>
        </w:rPr>
        <w:t>EBA har genomfört öppna offentliga samråd om det förslag till tekniska genomförandestandarder som den här förordningen grundas på, analyserat potentiella kostnader och fördelar samt begärt råd från den bankintressentgrupp som inrättats i enlighet med artikel 37 i Europaparlamentets och rådets förordning (EU) nr 1093/2010</w:t>
      </w:r>
      <w:r w:rsidR="009713B0" w:rsidRPr="00B60219">
        <w:rPr>
          <w:rStyle w:val="FootnoteReference"/>
          <w:noProof/>
        </w:rPr>
        <w:footnoteReference w:id="4"/>
      </w:r>
      <w:r w:rsidR="009713B0" w:rsidRPr="00B60219">
        <w:rPr>
          <w:noProof/>
        </w:rPr>
        <w:t>.</w:t>
      </w:r>
    </w:p>
    <w:p w:rsidR="009713B0" w:rsidRPr="00B60219" w:rsidRDefault="009713B0" w:rsidP="009713B0">
      <w:pPr>
        <w:pStyle w:val="Formuledadoption"/>
        <w:rPr>
          <w:noProof/>
        </w:rPr>
      </w:pPr>
      <w:r w:rsidRPr="00B60219">
        <w:rPr>
          <w:noProof/>
        </w:rPr>
        <w:t>HÄRIGENOM FÖRESKRIVS FÖLJANDE.</w:t>
      </w:r>
    </w:p>
    <w:p w:rsidR="009713B0" w:rsidRPr="00B60219" w:rsidRDefault="009713B0" w:rsidP="009713B0">
      <w:pPr>
        <w:pStyle w:val="Titrearticle"/>
        <w:rPr>
          <w:noProof/>
        </w:rPr>
      </w:pPr>
      <w:r w:rsidRPr="00B60219">
        <w:rPr>
          <w:noProof/>
        </w:rPr>
        <w:t>Artikel 1</w:t>
      </w:r>
    </w:p>
    <w:p w:rsidR="009713B0" w:rsidRPr="00B60219" w:rsidRDefault="009713B0" w:rsidP="009713B0">
      <w:pPr>
        <w:jc w:val="center"/>
        <w:rPr>
          <w:b/>
          <w:bCs/>
          <w:noProof/>
        </w:rPr>
      </w:pPr>
      <w:r w:rsidRPr="00B60219">
        <w:rPr>
          <w:b/>
          <w:noProof/>
        </w:rPr>
        <w:t>Rapportering om avgiftsnivån</w:t>
      </w:r>
    </w:p>
    <w:p w:rsidR="009713B0" w:rsidRPr="00B60219" w:rsidRDefault="009713B0" w:rsidP="009713B0">
      <w:pPr>
        <w:pStyle w:val="Point0"/>
        <w:rPr>
          <w:noProof/>
        </w:rPr>
      </w:pPr>
      <w:r w:rsidRPr="00B60219">
        <w:rPr>
          <w:noProof/>
        </w:rPr>
        <w:t>1.</w:t>
      </w:r>
      <w:r w:rsidRPr="00B60219">
        <w:rPr>
          <w:noProof/>
        </w:rPr>
        <w:tab/>
        <w:t>Betaltjänstleverantörerna ska rapportera om avgiftsnivån för betalningar, omedelbara betalningar och betalkonton genom att lämna den information som specificeras i mallarna 1.1, 1.2, 2.1, 2.2 och 3 i bilaga I och i enlighet med instruktionerna i bilaga II.</w:t>
      </w:r>
    </w:p>
    <w:p w:rsidR="009713B0" w:rsidRPr="00B60219" w:rsidRDefault="009713B0" w:rsidP="009713B0">
      <w:pPr>
        <w:pStyle w:val="Point0"/>
        <w:rPr>
          <w:noProof/>
        </w:rPr>
      </w:pPr>
      <w:r w:rsidRPr="00B60219">
        <w:rPr>
          <w:noProof/>
        </w:rPr>
        <w:t>2.</w:t>
      </w:r>
      <w:r w:rsidRPr="00B60219">
        <w:rPr>
          <w:noProof/>
        </w:rPr>
        <w:tab/>
        <w:t>Betaltjänstleverantörerna ska rapportera de årliga aggregerade uppgifterna fram till och med den 31 december det kalenderår som föregår det år då rapporten lämnas in.</w:t>
      </w:r>
    </w:p>
    <w:p w:rsidR="009713B0" w:rsidRPr="00B60219" w:rsidRDefault="009713B0" w:rsidP="009713B0">
      <w:pPr>
        <w:pStyle w:val="Point0"/>
        <w:rPr>
          <w:noProof/>
        </w:rPr>
      </w:pPr>
      <w:r w:rsidRPr="00B60219">
        <w:rPr>
          <w:noProof/>
        </w:rPr>
        <w:t>3.</w:t>
      </w:r>
      <w:r w:rsidRPr="00B60219">
        <w:rPr>
          <w:noProof/>
        </w:rPr>
        <w:tab/>
        <w:t>Genom undantag från punkt 2 ska den första harmoniserade rapporten innehålla aggregerade uppgifter för varje år som föregår det år då rapporten lämnas in, från och med perioden 26 oktober 2022–31 december 2022, för 2022.</w:t>
      </w:r>
    </w:p>
    <w:p w:rsidR="009713B0" w:rsidRPr="00B60219" w:rsidRDefault="009713B0" w:rsidP="009713B0">
      <w:pPr>
        <w:pStyle w:val="Titrearticle"/>
        <w:rPr>
          <w:noProof/>
        </w:rPr>
      </w:pPr>
      <w:r w:rsidRPr="00B60219">
        <w:rPr>
          <w:noProof/>
        </w:rPr>
        <w:t>Artikel 2</w:t>
      </w:r>
    </w:p>
    <w:p w:rsidR="009713B0" w:rsidRPr="00B60219" w:rsidRDefault="009713B0" w:rsidP="009713B0">
      <w:pPr>
        <w:jc w:val="center"/>
        <w:rPr>
          <w:b/>
          <w:bCs/>
          <w:noProof/>
        </w:rPr>
      </w:pPr>
      <w:r w:rsidRPr="00B60219">
        <w:rPr>
          <w:b/>
          <w:noProof/>
        </w:rPr>
        <w:t>Rapportering av andelen avvisade omedelbara betalningstransaktioner och referensperioder</w:t>
      </w:r>
    </w:p>
    <w:p w:rsidR="009713B0" w:rsidRPr="00B60219" w:rsidRDefault="009713B0" w:rsidP="009713B0">
      <w:pPr>
        <w:pStyle w:val="Point0"/>
        <w:rPr>
          <w:noProof/>
        </w:rPr>
      </w:pPr>
      <w:r w:rsidRPr="00B60219">
        <w:rPr>
          <w:noProof/>
        </w:rPr>
        <w:t>1.</w:t>
      </w:r>
      <w:r w:rsidRPr="00B60219">
        <w:rPr>
          <w:noProof/>
        </w:rPr>
        <w:tab/>
        <w:t>Betaltjänstleverantörerna ska rapportera andelen omedelbara betalningstransaktioner som har avvisats på grund av riktade finansiella restriktiva åtgärder, i enlighet med artikel 15.3 i förordning (EU) nr 260/2012, inbegripet separata uppgifter för nationella och gränsöverskridande transaktioner, genom att lämna den information som anges i mall 4 i bilaga I och i enlighet med instruktionerna i bilaga II.</w:t>
      </w:r>
    </w:p>
    <w:p w:rsidR="009713B0" w:rsidRPr="00B60219" w:rsidRDefault="009713B0" w:rsidP="009713B0">
      <w:pPr>
        <w:pStyle w:val="Point0"/>
        <w:rPr>
          <w:noProof/>
        </w:rPr>
      </w:pPr>
      <w:r w:rsidRPr="00B60219">
        <w:rPr>
          <w:noProof/>
        </w:rPr>
        <w:t>2.</w:t>
      </w:r>
      <w:r w:rsidRPr="00B60219">
        <w:rPr>
          <w:noProof/>
        </w:rPr>
        <w:tab/>
        <w:t>Rapporterna ska innehålla antalet avvisningar för det kalenderår som föregår det år då rapporten lämnas in.</w:t>
      </w:r>
    </w:p>
    <w:p w:rsidR="00AD7B15" w:rsidRPr="00B60219" w:rsidRDefault="009713B0" w:rsidP="009713B0">
      <w:pPr>
        <w:pStyle w:val="Point0"/>
        <w:rPr>
          <w:noProof/>
        </w:rPr>
      </w:pPr>
      <w:r w:rsidRPr="00B60219">
        <w:rPr>
          <w:noProof/>
        </w:rPr>
        <w:t>3.</w:t>
      </w:r>
      <w:r w:rsidRPr="00B60219">
        <w:rPr>
          <w:noProof/>
        </w:rPr>
        <w:tab/>
        <w:t>Genom undantag från punkt 2 ska den första harmoniserade rapporten innehålla de ifyllda mallarna med antalet avvisningar för varje år som föregår det år då rapporten lämnas in, från och med perioden 26 oktober 2022–31 december 2022, för 2022.</w:t>
      </w:r>
    </w:p>
    <w:p w:rsidR="00AD7B15" w:rsidRPr="00B60219" w:rsidRDefault="00AD7B15">
      <w:pPr>
        <w:spacing w:before="0" w:after="200" w:line="276" w:lineRule="auto"/>
        <w:jc w:val="left"/>
        <w:rPr>
          <w:noProof/>
        </w:rPr>
      </w:pPr>
      <w:r w:rsidRPr="00B60219">
        <w:rPr>
          <w:noProof/>
        </w:rPr>
        <w:br w:type="page"/>
      </w:r>
    </w:p>
    <w:p w:rsidR="009713B0" w:rsidRPr="00B60219" w:rsidRDefault="009713B0" w:rsidP="009713B0">
      <w:pPr>
        <w:pStyle w:val="Titrearticle"/>
        <w:rPr>
          <w:noProof/>
        </w:rPr>
      </w:pPr>
      <w:r w:rsidRPr="00B60219">
        <w:rPr>
          <w:noProof/>
        </w:rPr>
        <w:t>Artikel 3</w:t>
      </w:r>
    </w:p>
    <w:p w:rsidR="009713B0" w:rsidRPr="00B60219" w:rsidRDefault="009713B0" w:rsidP="009713B0">
      <w:pPr>
        <w:jc w:val="center"/>
        <w:rPr>
          <w:b/>
          <w:bCs/>
          <w:noProof/>
        </w:rPr>
      </w:pPr>
      <w:r w:rsidRPr="00B60219">
        <w:rPr>
          <w:b/>
          <w:noProof/>
        </w:rPr>
        <w:t>Format för uppgiftsutbyte och åtföljande information</w:t>
      </w:r>
    </w:p>
    <w:p w:rsidR="009713B0" w:rsidRPr="00B60219" w:rsidRDefault="009713B0" w:rsidP="009713B0">
      <w:pPr>
        <w:rPr>
          <w:noProof/>
        </w:rPr>
      </w:pPr>
      <w:r w:rsidRPr="00B60219">
        <w:rPr>
          <w:noProof/>
        </w:rPr>
        <w:t>Betaltjänstleverantörerna ska lämna in den information som avses i artiklarna 1 och 2 i denna förordning i de format och uppställningar för datautbyte som anges av de behöriga myndigheterna och ska följa datapunktsdefinitionen i datapunktsmodellen och valideringsformlerna som finns tillgängliga på EBA:s webbplats. Betaltjänstleverantörerna ska uppfylla följande specifikationer:</w:t>
      </w:r>
    </w:p>
    <w:p w:rsidR="009713B0" w:rsidRPr="00B60219" w:rsidRDefault="00A35B9E" w:rsidP="00A35B9E">
      <w:pPr>
        <w:pStyle w:val="Point0"/>
        <w:rPr>
          <w:noProof/>
        </w:rPr>
      </w:pPr>
      <w:r w:rsidRPr="00A35B9E">
        <w:rPr>
          <w:noProof/>
        </w:rPr>
        <w:t>(a)</w:t>
      </w:r>
      <w:r w:rsidRPr="00A35B9E">
        <w:rPr>
          <w:noProof/>
        </w:rPr>
        <w:tab/>
      </w:r>
      <w:r w:rsidR="009713B0" w:rsidRPr="00B60219">
        <w:rPr>
          <w:noProof/>
        </w:rPr>
        <w:t>Sådan information som inte krävs eller inte är tillämplig får inte ingå i uppgiftsinlämningen.</w:t>
      </w:r>
    </w:p>
    <w:p w:rsidR="009713B0" w:rsidRPr="00B60219" w:rsidRDefault="00A35B9E" w:rsidP="00A35B9E">
      <w:pPr>
        <w:pStyle w:val="Point0"/>
        <w:rPr>
          <w:noProof/>
        </w:rPr>
      </w:pPr>
      <w:r w:rsidRPr="00A35B9E">
        <w:rPr>
          <w:noProof/>
        </w:rPr>
        <w:t>(b)</w:t>
      </w:r>
      <w:r w:rsidRPr="00A35B9E">
        <w:rPr>
          <w:noProof/>
        </w:rPr>
        <w:tab/>
      </w:r>
      <w:r w:rsidR="009713B0" w:rsidRPr="00B60219">
        <w:rPr>
          <w:noProof/>
        </w:rPr>
        <w:t>Numeriska värden ska inges enligt följande:</w:t>
      </w:r>
    </w:p>
    <w:p w:rsidR="009713B0" w:rsidRPr="00B60219" w:rsidRDefault="0055071E" w:rsidP="009713B0">
      <w:pPr>
        <w:pStyle w:val="Point1"/>
        <w:rPr>
          <w:noProof/>
        </w:rPr>
      </w:pPr>
      <w:r w:rsidRPr="00B60219">
        <w:rPr>
          <w:noProof/>
        </w:rPr>
        <w:t>i)</w:t>
      </w:r>
      <w:r w:rsidRPr="00B60219">
        <w:rPr>
          <w:noProof/>
        </w:rPr>
        <w:tab/>
        <w:t>Betaltjänstleverantörerna ska rapportera datapunkter av datatypen ”monetär” med en minsta noggrannhet motsvarande tusen enheter.</w:t>
      </w:r>
    </w:p>
    <w:p w:rsidR="009713B0" w:rsidRPr="00B60219" w:rsidRDefault="0055071E" w:rsidP="009713B0">
      <w:pPr>
        <w:pStyle w:val="Point1"/>
        <w:rPr>
          <w:noProof/>
        </w:rPr>
      </w:pPr>
      <w:r w:rsidRPr="00B60219">
        <w:rPr>
          <w:noProof/>
        </w:rPr>
        <w:t>ii)</w:t>
      </w:r>
      <w:r w:rsidRPr="00B60219">
        <w:rPr>
          <w:noProof/>
        </w:rPr>
        <w:tab/>
        <w:t>Betaltjänstleverantörerna får inte använda decimaler vid rapportering av datapunkter av datatypen ”heltal” och ska använda en noggrannhet motsvarande enheter.</w:t>
      </w:r>
    </w:p>
    <w:p w:rsidR="009713B0" w:rsidRPr="00B60219" w:rsidRDefault="009713B0" w:rsidP="009713B0">
      <w:pPr>
        <w:pStyle w:val="Titrearticle"/>
        <w:rPr>
          <w:noProof/>
        </w:rPr>
      </w:pPr>
      <w:r w:rsidRPr="00B60219">
        <w:rPr>
          <w:noProof/>
        </w:rPr>
        <w:t>Artikel 4</w:t>
      </w:r>
    </w:p>
    <w:p w:rsidR="009713B0" w:rsidRPr="00B60219" w:rsidRDefault="009713B0" w:rsidP="009713B0">
      <w:pPr>
        <w:jc w:val="center"/>
        <w:rPr>
          <w:noProof/>
        </w:rPr>
      </w:pPr>
      <w:r w:rsidRPr="00B60219">
        <w:rPr>
          <w:b/>
          <w:noProof/>
        </w:rPr>
        <w:t>Ikraftträdande</w:t>
      </w:r>
    </w:p>
    <w:p w:rsidR="009713B0" w:rsidRPr="00B60219" w:rsidRDefault="009713B0" w:rsidP="009713B0">
      <w:pPr>
        <w:rPr>
          <w:noProof/>
        </w:rPr>
      </w:pPr>
      <w:r w:rsidRPr="00B60219">
        <w:rPr>
          <w:noProof/>
        </w:rPr>
        <w:t xml:space="preserve">Denna förordning träder i kraft den tjugonde dagen efter det att den har offentliggjorts i </w:t>
      </w:r>
      <w:r w:rsidRPr="00B60219">
        <w:rPr>
          <w:i/>
          <w:iCs/>
          <w:noProof/>
        </w:rPr>
        <w:t>Europeiska unionens officiella tidning</w:t>
      </w:r>
      <w:r w:rsidRPr="00B60219">
        <w:rPr>
          <w:noProof/>
        </w:rPr>
        <w:t>.</w:t>
      </w:r>
    </w:p>
    <w:p w:rsidR="009713B0" w:rsidRPr="00B60219" w:rsidRDefault="009713B0" w:rsidP="009713B0">
      <w:pPr>
        <w:pStyle w:val="Applicationdirecte"/>
        <w:rPr>
          <w:noProof/>
        </w:rPr>
      </w:pPr>
      <w:r w:rsidRPr="00B60219">
        <w:rPr>
          <w:noProof/>
        </w:rPr>
        <w:t>Denna förordning är till alla delar bindande och direkt tillämplig i alla medlemsstater.</w:t>
      </w:r>
    </w:p>
    <w:p w:rsidR="009713B0" w:rsidRPr="00B60219" w:rsidRDefault="000E6B2C" w:rsidP="00B873B6">
      <w:pPr>
        <w:pStyle w:val="Fait"/>
        <w:rPr>
          <w:noProof/>
        </w:rPr>
      </w:pPr>
      <w:r>
        <w:rPr>
          <w:noProof/>
        </w:rPr>
        <w:t>Utfärdad i Bryssel den 1.10.2025</w:t>
      </w:r>
    </w:p>
    <w:p w:rsidR="009713B0" w:rsidRPr="00B60219" w:rsidRDefault="009713B0" w:rsidP="00B873B6">
      <w:pPr>
        <w:pStyle w:val="Institutionquisigne"/>
        <w:rPr>
          <w:noProof/>
        </w:rPr>
      </w:pPr>
      <w:r w:rsidRPr="00B60219">
        <w:rPr>
          <w:noProof/>
        </w:rPr>
        <w:tab/>
        <w:t>På kommissionens vägnar</w:t>
      </w:r>
    </w:p>
    <w:p w:rsidR="00FE7FED" w:rsidRPr="00B60219" w:rsidRDefault="00F618BB" w:rsidP="009713B0">
      <w:pPr>
        <w:pStyle w:val="Personnequisigne"/>
        <w:rPr>
          <w:noProof/>
        </w:rPr>
      </w:pPr>
      <w:r>
        <w:rPr>
          <w:noProof/>
        </w:rPr>
        <w:tab/>
        <w:t>Ordförande</w:t>
      </w:r>
      <w:r>
        <w:rPr>
          <w:noProof/>
        </w:rPr>
        <w:br/>
      </w:r>
      <w:r>
        <w:rPr>
          <w:noProof/>
        </w:rPr>
        <w:tab/>
        <w:t>Ursula VON DER LEYEN</w:t>
      </w:r>
    </w:p>
    <w:sectPr w:rsidR="00FE7FED" w:rsidRPr="00B60219" w:rsidSect="00500001">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3EBC" w:rsidRDefault="00973EBC" w:rsidP="00FE7FED">
      <w:pPr>
        <w:spacing w:before="0" w:after="0"/>
      </w:pPr>
      <w:r>
        <w:separator/>
      </w:r>
    </w:p>
  </w:endnote>
  <w:endnote w:type="continuationSeparator" w:id="0">
    <w:p w:rsidR="00973EBC" w:rsidRDefault="00973EBC" w:rsidP="00FE7FED">
      <w:pPr>
        <w:spacing w:before="0" w:after="0"/>
      </w:pPr>
      <w:r>
        <w:continuationSeparator/>
      </w:r>
    </w:p>
  </w:endnote>
  <w:endnote w:type="continuationNotice" w:id="1">
    <w:p w:rsidR="00973EBC" w:rsidRDefault="00973EB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0001" w:rsidRPr="00500001" w:rsidRDefault="00500001" w:rsidP="00500001">
    <w:pPr>
      <w:pStyle w:val="Footer"/>
      <w:rPr>
        <w:rFonts w:ascii="Arial" w:hAnsi="Arial" w:cs="Arial"/>
        <w:b/>
        <w:sz w:val="48"/>
      </w:rPr>
    </w:pPr>
    <w:r w:rsidRPr="00500001">
      <w:rPr>
        <w:rFonts w:ascii="Arial" w:hAnsi="Arial" w:cs="Arial"/>
        <w:b/>
        <w:sz w:val="48"/>
      </w:rPr>
      <w:t>SV</w:t>
    </w:r>
    <w:r w:rsidRPr="00500001">
      <w:rPr>
        <w:rFonts w:ascii="Arial" w:hAnsi="Arial" w:cs="Arial"/>
        <w:b/>
        <w:sz w:val="48"/>
      </w:rPr>
      <w:tab/>
    </w:r>
    <w:r w:rsidRPr="00500001">
      <w:rPr>
        <w:rFonts w:ascii="Arial" w:hAnsi="Arial" w:cs="Arial"/>
        <w:b/>
        <w:sz w:val="48"/>
      </w:rPr>
      <w:tab/>
    </w:r>
    <w:r w:rsidRPr="00500001">
      <w:tab/>
    </w:r>
    <w:r w:rsidRPr="00500001">
      <w:rPr>
        <w:rFonts w:ascii="Arial" w:hAnsi="Arial" w:cs="Arial"/>
        <w:b/>
        <w:sz w:val="48"/>
      </w:rPr>
      <w:t>SV</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0001" w:rsidRPr="00500001" w:rsidRDefault="00500001" w:rsidP="00500001">
    <w:pPr>
      <w:pStyle w:val="Footer"/>
      <w:rPr>
        <w:rFonts w:ascii="Arial" w:hAnsi="Arial" w:cs="Arial"/>
        <w:b/>
        <w:sz w:val="48"/>
      </w:rPr>
    </w:pPr>
    <w:r w:rsidRPr="00500001">
      <w:rPr>
        <w:rFonts w:ascii="Arial" w:hAnsi="Arial" w:cs="Arial"/>
        <w:b/>
        <w:sz w:val="48"/>
      </w:rPr>
      <w:t>SV</w:t>
    </w:r>
    <w:r w:rsidRPr="00500001">
      <w:rPr>
        <w:rFonts w:ascii="Arial" w:hAnsi="Arial" w:cs="Arial"/>
        <w:b/>
        <w:sz w:val="48"/>
      </w:rPr>
      <w:tab/>
    </w:r>
    <w:r w:rsidRPr="00500001">
      <w:rPr>
        <w:rFonts w:ascii="Arial" w:hAnsi="Arial" w:cs="Arial"/>
        <w:b/>
        <w:sz w:val="48"/>
      </w:rPr>
      <w:tab/>
    </w:r>
    <w:r w:rsidRPr="00500001">
      <w:tab/>
    </w:r>
    <w:r w:rsidRPr="00500001">
      <w:rPr>
        <w:rFonts w:ascii="Arial" w:hAnsi="Arial" w:cs="Arial"/>
        <w:b/>
        <w:sz w:val="48"/>
      </w:rPr>
      <w:t>SV</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0001" w:rsidRDefault="0050000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0001" w:rsidRPr="00500001" w:rsidRDefault="00500001" w:rsidP="00500001">
    <w:pPr>
      <w:pStyle w:val="Footer"/>
      <w:rPr>
        <w:rFonts w:ascii="Arial" w:hAnsi="Arial" w:cs="Arial"/>
        <w:b/>
        <w:sz w:val="48"/>
      </w:rPr>
    </w:pPr>
    <w:r w:rsidRPr="00500001">
      <w:rPr>
        <w:rFonts w:ascii="Arial" w:hAnsi="Arial" w:cs="Arial"/>
        <w:b/>
        <w:sz w:val="48"/>
      </w:rPr>
      <w:t>SV</w:t>
    </w:r>
    <w:r w:rsidRPr="00500001">
      <w:rPr>
        <w:rFonts w:ascii="Arial" w:hAnsi="Arial" w:cs="Arial"/>
        <w:b/>
        <w:sz w:val="48"/>
      </w:rPr>
      <w:tab/>
    </w:r>
    <w:r>
      <w:fldChar w:fldCharType="begin"/>
    </w:r>
    <w:r>
      <w:instrText xml:space="preserve"> PAGE  \* MERGEFORMAT </w:instrText>
    </w:r>
    <w:r>
      <w:fldChar w:fldCharType="separate"/>
    </w:r>
    <w:r w:rsidR="00B873B6">
      <w:rPr>
        <w:noProof/>
      </w:rPr>
      <w:t>5</w:t>
    </w:r>
    <w:r>
      <w:fldChar w:fldCharType="end"/>
    </w:r>
    <w:r>
      <w:tab/>
    </w:r>
    <w:r w:rsidRPr="00500001">
      <w:tab/>
    </w:r>
    <w:r w:rsidRPr="00500001">
      <w:rPr>
        <w:rFonts w:ascii="Arial" w:hAnsi="Arial" w:cs="Arial"/>
        <w:b/>
        <w:sz w:val="48"/>
      </w:rPr>
      <w:t>SV</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0001" w:rsidRDefault="00500001" w:rsidP="005000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3EBC" w:rsidRDefault="00973EBC" w:rsidP="00FE7FED">
      <w:pPr>
        <w:spacing w:before="0" w:after="0"/>
      </w:pPr>
      <w:r>
        <w:separator/>
      </w:r>
    </w:p>
  </w:footnote>
  <w:footnote w:type="continuationSeparator" w:id="0">
    <w:p w:rsidR="00973EBC" w:rsidRDefault="00973EBC" w:rsidP="00FE7FED">
      <w:pPr>
        <w:spacing w:before="0" w:after="0"/>
      </w:pPr>
      <w:r>
        <w:continuationSeparator/>
      </w:r>
    </w:p>
  </w:footnote>
  <w:footnote w:type="continuationNotice" w:id="1">
    <w:p w:rsidR="00973EBC" w:rsidRDefault="00973EBC">
      <w:pPr>
        <w:spacing w:before="0" w:after="0"/>
      </w:pPr>
    </w:p>
  </w:footnote>
  <w:footnote w:id="2">
    <w:p w:rsidR="00A8350B" w:rsidRPr="00A20E96" w:rsidRDefault="00A8350B">
      <w:pPr>
        <w:pStyle w:val="FootnoteText"/>
      </w:pPr>
      <w:r>
        <w:rPr>
          <w:rStyle w:val="FootnoteReference"/>
        </w:rPr>
        <w:footnoteRef/>
      </w:r>
      <w:r>
        <w:tab/>
        <w:t xml:space="preserve">EGT L 94, 30.3.2012, s. 22, ELI: http://data.europa.eu/eli/reg/2012/260/oj. </w:t>
      </w:r>
    </w:p>
  </w:footnote>
  <w:footnote w:id="3">
    <w:p w:rsidR="00AD7B15" w:rsidRPr="00AD7B15" w:rsidRDefault="00AD7B15" w:rsidP="00D05942">
      <w:pPr>
        <w:pStyle w:val="FootnoteText"/>
        <w:ind w:left="0" w:firstLine="0"/>
      </w:pPr>
      <w:r>
        <w:rPr>
          <w:rStyle w:val="FootnoteReference"/>
        </w:rPr>
        <w:footnoteRef/>
      </w:r>
      <w:r>
        <w:tab/>
        <w:t>Europaparlamentets och rådets förordning (EU) 2024/886 av den 13 mars 2024 om ändring av förordningarna (EU) nr 260/2012 och (EU) 2021/1230 och direktiven 98/26/EG och (EU) 2015/2366 vad gäller omedelbara betalningar i euro (EUT L, 2024/886, 19.3.2024, ELI:  http://data.europa.eu/eli/reg/2024/886/oj).</w:t>
      </w:r>
    </w:p>
  </w:footnote>
  <w:footnote w:id="4">
    <w:p w:rsidR="009713B0" w:rsidRPr="00AD7B15" w:rsidRDefault="009713B0" w:rsidP="009713B0">
      <w:pPr>
        <w:pStyle w:val="FootnoteText"/>
      </w:pPr>
      <w:r>
        <w:rPr>
          <w:rStyle w:val="FootnoteReference"/>
        </w:rPr>
        <w:footnoteRef/>
      </w:r>
      <w:r>
        <w:tab/>
        <w:t>Europaparlamentets och rådets förordning (EU) nr 1093/2010 av den 24 november 2010 om inrättande av en europeisk tillsynsmyndighet (Europeiska bankmyndigheten), om ändring av beslut nr 716/2009/EG och om upphävande av kommissionens beslut 2009/78/EG (EUT L 331, 15.12.2010, s. 12, ELI:  http://data.europa.eu/eli/reg/2010/1093/oj).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0001" w:rsidRDefault="005000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0001" w:rsidRDefault="005000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F9DE80BA"/>
    <w:lvl w:ilvl="0">
      <w:start w:val="1"/>
      <w:numFmt w:val="decimal"/>
      <w:pStyle w:val="ListNumber2"/>
      <w:lvlText w:val="%1."/>
      <w:lvlJc w:val="left"/>
      <w:pPr>
        <w:tabs>
          <w:tab w:val="num" w:pos="643"/>
        </w:tabs>
        <w:ind w:left="643" w:hanging="360"/>
      </w:pPr>
    </w:lvl>
  </w:abstractNum>
  <w:abstractNum w:abstractNumId="1" w15:restartNumberingAfterBreak="0">
    <w:nsid w:val="FFFFFF81"/>
    <w:multiLevelType w:val="singleLevel"/>
    <w:tmpl w:val="16C0063C"/>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7FDEC95E"/>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36CE0050"/>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8"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1"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3"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4"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5"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7"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9"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4"/>
  </w:num>
  <w:num w:numId="2">
    <w:abstractNumId w:val="19"/>
    <w:lvlOverride w:ilvl="0">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num>
  <w:num w:numId="6">
    <w:abstractNumId w:val="2"/>
  </w:num>
  <w:num w:numId="7">
    <w:abstractNumId w:val="1"/>
  </w:num>
  <w:num w:numId="8">
    <w:abstractNumId w:val="16"/>
  </w:num>
  <w:num w:numId="9">
    <w:abstractNumId w:val="9"/>
  </w:num>
  <w:num w:numId="10">
    <w:abstractNumId w:val="18"/>
  </w:num>
  <w:num w:numId="11">
    <w:abstractNumId w:val="8"/>
  </w:num>
  <w:num w:numId="12">
    <w:abstractNumId w:val="10"/>
  </w:num>
  <w:num w:numId="13">
    <w:abstractNumId w:val="11"/>
  </w:num>
  <w:num w:numId="14">
    <w:abstractNumId w:val="6"/>
  </w:num>
  <w:num w:numId="15">
    <w:abstractNumId w:val="17"/>
  </w:num>
  <w:num w:numId="16">
    <w:abstractNumId w:val="5"/>
  </w:num>
  <w:num w:numId="17">
    <w:abstractNumId w:val="12"/>
  </w:num>
  <w:num w:numId="18">
    <w:abstractNumId w:val="14"/>
  </w:num>
  <w:num w:numId="19">
    <w:abstractNumId w:val="15"/>
  </w:num>
  <w:num w:numId="20">
    <w:abstractNumId w:val="7"/>
  </w:num>
  <w:num w:numId="21">
    <w:abstractNumId w:val="13"/>
  </w:num>
  <w:num w:numId="22">
    <w:abstractNumId w:val="19"/>
  </w:num>
  <w:num w:numId="23">
    <w:abstractNumId w:val="16"/>
  </w:num>
  <w:num w:numId="24">
    <w:abstractNumId w:val="9"/>
  </w:num>
  <w:num w:numId="25">
    <w:abstractNumId w:val="18"/>
  </w:num>
  <w:num w:numId="26">
    <w:abstractNumId w:val="8"/>
  </w:num>
  <w:num w:numId="27">
    <w:abstractNumId w:val="10"/>
  </w:num>
  <w:num w:numId="28">
    <w:abstractNumId w:val="11"/>
  </w:num>
  <w:num w:numId="29">
    <w:abstractNumId w:val="6"/>
  </w:num>
  <w:num w:numId="30">
    <w:abstractNumId w:val="17"/>
  </w:num>
  <w:num w:numId="31">
    <w:abstractNumId w:val="5"/>
  </w:num>
  <w:num w:numId="32">
    <w:abstractNumId w:val="12"/>
  </w:num>
  <w:num w:numId="33">
    <w:abstractNumId w:val="14"/>
  </w:num>
  <w:num w:numId="34">
    <w:abstractNumId w:val="15"/>
  </w:num>
  <w:num w:numId="35">
    <w:abstractNumId w:val="7"/>
  </w:num>
  <w:num w:numId="36">
    <w:abstractNumId w:val="13"/>
  </w:num>
  <w:num w:numId="37">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5-09-30 17:23:16"/>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5B7D5304-3403-4DC4-8E49-4D6BD6C7D34D"/>
    <w:docVar w:name="LW_COVERPAGE_TYPE" w:val="1"/>
    <w:docVar w:name="LW_CreatedUtc" w:val="2025-02-25T08:25:43.0388982Z"/>
    <w:docVar w:name="LW_CROSSREFERENCE" w:val="&lt;UNUSED&gt;"/>
    <w:docVar w:name="LW_DATE.ADOPT.CP" w:val="av den 1.10.2025"/>
    <w:docVar w:name="LW_DATE.ADOPT.CP_DATEFORMAT" w:val="av den %DATE%"/>
    <w:docVar w:name="LW_DATE.ADOPT.CP_ISODATE" w:val="2025-10-01"/>
    <w:docVar w:name="LW_DocType" w:val="COM"/>
    <w:docVar w:name="LW_EMISSION" w:val="1.10.2025"/>
    <w:docVar w:name="LW_EMISSION_ISODATE" w:val="2025-10-01"/>
    <w:docVar w:name="LW_EMISSION_LOCATION" w:val="BRX"/>
    <w:docVar w:name="LW_EMISSION_PREFIX" w:val="Bryssel den "/>
    <w:docVar w:name="LW_EMISSION_SUFFIX" w:val=" "/>
    <w:docVar w:name="LW_ID_DOCMODEL" w:val="SJ-004"/>
    <w:docVar w:name="LW_ID_DOCSIGNATURE" w:val="SJ-004"/>
    <w:docVar w:name="LW_ID_DOCSTRUCTURE" w:val="COM/AA"/>
    <w:docVar w:name="LW_ID_DOCTYPE" w:val="SJ-004"/>
    <w:docVar w:name="LW_INTERETEEE.CP" w:val="&lt;UNUSED&gt;"/>
    <w:docVar w:name="LW_LANGUE" w:val="SV"/>
    <w:docVar w:name="LW_LANGUESFAISANTFOI.CP" w:val="&lt;UNUSED&gt;"/>
    <w:docVar w:name="LW_LEVEL_OF_SENSITIVITY" w:val="Standard treatment"/>
    <w:docVar w:name="LW_NOM.INST" w:val="EUROPEISKA KOMMISSIONEN"/>
    <w:docVar w:name="LW_NOM.INST_JOINTDOC" w:val="&lt;EMPTY&gt;"/>
    <w:docVar w:name="LW_PART_NBR" w:val="1"/>
    <w:docVar w:name="LW_PART_NBR_TOTAL" w:val="1"/>
    <w:docVar w:name="LW_REF.INST.NEW" w:val="C"/>
    <w:docVar w:name="LW_REF.INST.NEW_ADOPTED" w:val="final"/>
    <w:docVar w:name="LW_REF.INST.NEW_TEXT" w:val="(2025) 657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om fastställande av tekniska genomförandestandarder för tillämpningen av Europaparlamentets och rådets förordning (EU) nr 260/2012 vad gäller enhetliga rapporteringsmallar, instruktioner och metoder för rapportering av avgiftsnivån för betalningar, omedelbara betalningar och betalkonton samt andelen avvisade transaktioner"/>
    <w:docVar w:name="LW_TYPE.DOC.CP" w:val="KOMMISSIONENS GENOMFÖRANDEFÖRORDNING (EU) \u8230?/\u8230?"/>
    <w:docVar w:name="LwApiVersions" w:val="LW4CoDe 1.24.5.0; LW 9.0, Build 20240221"/>
  </w:docVars>
  <w:rsids>
    <w:rsidRoot w:val="00FE7FED"/>
    <w:rsid w:val="00001BC7"/>
    <w:rsid w:val="000066ED"/>
    <w:rsid w:val="000068B4"/>
    <w:rsid w:val="000079A5"/>
    <w:rsid w:val="00011C75"/>
    <w:rsid w:val="00014C12"/>
    <w:rsid w:val="00016168"/>
    <w:rsid w:val="00025818"/>
    <w:rsid w:val="0002592C"/>
    <w:rsid w:val="0002598B"/>
    <w:rsid w:val="00033F48"/>
    <w:rsid w:val="000373AB"/>
    <w:rsid w:val="000421B5"/>
    <w:rsid w:val="00042488"/>
    <w:rsid w:val="0004347B"/>
    <w:rsid w:val="00047478"/>
    <w:rsid w:val="000504E3"/>
    <w:rsid w:val="0006406A"/>
    <w:rsid w:val="000642D0"/>
    <w:rsid w:val="00072E61"/>
    <w:rsid w:val="000744DD"/>
    <w:rsid w:val="00075170"/>
    <w:rsid w:val="000758A1"/>
    <w:rsid w:val="000768B7"/>
    <w:rsid w:val="0008161A"/>
    <w:rsid w:val="0008224E"/>
    <w:rsid w:val="000847C4"/>
    <w:rsid w:val="00096BAD"/>
    <w:rsid w:val="000A4172"/>
    <w:rsid w:val="000A41FC"/>
    <w:rsid w:val="000A4298"/>
    <w:rsid w:val="000A454E"/>
    <w:rsid w:val="000B2C1B"/>
    <w:rsid w:val="000B7C50"/>
    <w:rsid w:val="000C0B38"/>
    <w:rsid w:val="000C387D"/>
    <w:rsid w:val="000C449F"/>
    <w:rsid w:val="000C4F0E"/>
    <w:rsid w:val="000D043A"/>
    <w:rsid w:val="000D1771"/>
    <w:rsid w:val="000D391D"/>
    <w:rsid w:val="000D5A8B"/>
    <w:rsid w:val="000D6822"/>
    <w:rsid w:val="000E08FA"/>
    <w:rsid w:val="000E15A7"/>
    <w:rsid w:val="000E50E2"/>
    <w:rsid w:val="000E6B2C"/>
    <w:rsid w:val="000E7CB2"/>
    <w:rsid w:val="000F0AA0"/>
    <w:rsid w:val="000F26D8"/>
    <w:rsid w:val="000F4AF6"/>
    <w:rsid w:val="001030E9"/>
    <w:rsid w:val="00104199"/>
    <w:rsid w:val="001065F5"/>
    <w:rsid w:val="001066B5"/>
    <w:rsid w:val="0010750E"/>
    <w:rsid w:val="00114B61"/>
    <w:rsid w:val="0011705A"/>
    <w:rsid w:val="00117E87"/>
    <w:rsid w:val="001238EF"/>
    <w:rsid w:val="00123A96"/>
    <w:rsid w:val="00124229"/>
    <w:rsid w:val="001254D0"/>
    <w:rsid w:val="00126A52"/>
    <w:rsid w:val="001309E5"/>
    <w:rsid w:val="00130A11"/>
    <w:rsid w:val="0013354A"/>
    <w:rsid w:val="00136075"/>
    <w:rsid w:val="00140C92"/>
    <w:rsid w:val="00141111"/>
    <w:rsid w:val="00141C39"/>
    <w:rsid w:val="00142A94"/>
    <w:rsid w:val="00143368"/>
    <w:rsid w:val="0014583F"/>
    <w:rsid w:val="00145DAF"/>
    <w:rsid w:val="001475E9"/>
    <w:rsid w:val="00150298"/>
    <w:rsid w:val="001519B1"/>
    <w:rsid w:val="00152432"/>
    <w:rsid w:val="00153975"/>
    <w:rsid w:val="00153E27"/>
    <w:rsid w:val="00154745"/>
    <w:rsid w:val="00154E88"/>
    <w:rsid w:val="00154ED4"/>
    <w:rsid w:val="00155F1D"/>
    <w:rsid w:val="00156590"/>
    <w:rsid w:val="00160FDD"/>
    <w:rsid w:val="00162F28"/>
    <w:rsid w:val="0016376B"/>
    <w:rsid w:val="0016398E"/>
    <w:rsid w:val="00171733"/>
    <w:rsid w:val="001721CC"/>
    <w:rsid w:val="00180D6D"/>
    <w:rsid w:val="001840A1"/>
    <w:rsid w:val="001913B0"/>
    <w:rsid w:val="00191CEA"/>
    <w:rsid w:val="00197613"/>
    <w:rsid w:val="001A1FA1"/>
    <w:rsid w:val="001A5381"/>
    <w:rsid w:val="001A6744"/>
    <w:rsid w:val="001A7B61"/>
    <w:rsid w:val="001B081E"/>
    <w:rsid w:val="001C0071"/>
    <w:rsid w:val="001C0950"/>
    <w:rsid w:val="001C3C75"/>
    <w:rsid w:val="001C6408"/>
    <w:rsid w:val="001C7C6B"/>
    <w:rsid w:val="001D08D6"/>
    <w:rsid w:val="001D6BB7"/>
    <w:rsid w:val="001E0062"/>
    <w:rsid w:val="001F78E3"/>
    <w:rsid w:val="00203CF1"/>
    <w:rsid w:val="002102D8"/>
    <w:rsid w:val="00210337"/>
    <w:rsid w:val="00215208"/>
    <w:rsid w:val="002174F2"/>
    <w:rsid w:val="00220F9F"/>
    <w:rsid w:val="0022745F"/>
    <w:rsid w:val="00227D76"/>
    <w:rsid w:val="00230E4C"/>
    <w:rsid w:val="00232FDF"/>
    <w:rsid w:val="002339C3"/>
    <w:rsid w:val="00233DC7"/>
    <w:rsid w:val="0023679A"/>
    <w:rsid w:val="00240C3D"/>
    <w:rsid w:val="00244629"/>
    <w:rsid w:val="002464E8"/>
    <w:rsid w:val="00247779"/>
    <w:rsid w:val="00251C02"/>
    <w:rsid w:val="00251D78"/>
    <w:rsid w:val="002537B3"/>
    <w:rsid w:val="00253A7F"/>
    <w:rsid w:val="00255D10"/>
    <w:rsid w:val="00260F3C"/>
    <w:rsid w:val="002614D0"/>
    <w:rsid w:val="002619F9"/>
    <w:rsid w:val="00262DE1"/>
    <w:rsid w:val="00270578"/>
    <w:rsid w:val="00281B09"/>
    <w:rsid w:val="00285BEE"/>
    <w:rsid w:val="00287FAC"/>
    <w:rsid w:val="00293F82"/>
    <w:rsid w:val="0029533F"/>
    <w:rsid w:val="002A2EE8"/>
    <w:rsid w:val="002A5779"/>
    <w:rsid w:val="002A5E80"/>
    <w:rsid w:val="002B1522"/>
    <w:rsid w:val="002B30AF"/>
    <w:rsid w:val="002B4662"/>
    <w:rsid w:val="002C0286"/>
    <w:rsid w:val="002C10B5"/>
    <w:rsid w:val="002C1A4F"/>
    <w:rsid w:val="002C5B13"/>
    <w:rsid w:val="002D2CC4"/>
    <w:rsid w:val="002D3A91"/>
    <w:rsid w:val="002D6964"/>
    <w:rsid w:val="002E15CA"/>
    <w:rsid w:val="002E2315"/>
    <w:rsid w:val="002E3165"/>
    <w:rsid w:val="002E53A7"/>
    <w:rsid w:val="002F1C71"/>
    <w:rsid w:val="002F1EE7"/>
    <w:rsid w:val="002F4C83"/>
    <w:rsid w:val="00303696"/>
    <w:rsid w:val="00311576"/>
    <w:rsid w:val="003119D5"/>
    <w:rsid w:val="00311E05"/>
    <w:rsid w:val="00316FD9"/>
    <w:rsid w:val="003213CE"/>
    <w:rsid w:val="003253A9"/>
    <w:rsid w:val="0033033C"/>
    <w:rsid w:val="00331F2E"/>
    <w:rsid w:val="003327E2"/>
    <w:rsid w:val="0033344A"/>
    <w:rsid w:val="00333E44"/>
    <w:rsid w:val="003429AC"/>
    <w:rsid w:val="00342B4F"/>
    <w:rsid w:val="003444B9"/>
    <w:rsid w:val="00344D97"/>
    <w:rsid w:val="00345DA0"/>
    <w:rsid w:val="00350A45"/>
    <w:rsid w:val="003525DD"/>
    <w:rsid w:val="00352F0E"/>
    <w:rsid w:val="00354C7E"/>
    <w:rsid w:val="00356ADE"/>
    <w:rsid w:val="00361593"/>
    <w:rsid w:val="00361846"/>
    <w:rsid w:val="003657C0"/>
    <w:rsid w:val="00365DE4"/>
    <w:rsid w:val="00374796"/>
    <w:rsid w:val="00376CF5"/>
    <w:rsid w:val="003803FC"/>
    <w:rsid w:val="00380DD8"/>
    <w:rsid w:val="003810C5"/>
    <w:rsid w:val="00383FF9"/>
    <w:rsid w:val="00385766"/>
    <w:rsid w:val="00386A30"/>
    <w:rsid w:val="003904C2"/>
    <w:rsid w:val="00395A2F"/>
    <w:rsid w:val="0039723A"/>
    <w:rsid w:val="003975E5"/>
    <w:rsid w:val="003A0056"/>
    <w:rsid w:val="003A5115"/>
    <w:rsid w:val="003B549F"/>
    <w:rsid w:val="003B57CD"/>
    <w:rsid w:val="003B5A1D"/>
    <w:rsid w:val="003B7CFF"/>
    <w:rsid w:val="003C1B52"/>
    <w:rsid w:val="003C33CB"/>
    <w:rsid w:val="003C4CAE"/>
    <w:rsid w:val="003D371C"/>
    <w:rsid w:val="003D73DF"/>
    <w:rsid w:val="003E167C"/>
    <w:rsid w:val="003E4FA2"/>
    <w:rsid w:val="003E5CF0"/>
    <w:rsid w:val="003F018F"/>
    <w:rsid w:val="003F0EC5"/>
    <w:rsid w:val="003F1E03"/>
    <w:rsid w:val="004019E8"/>
    <w:rsid w:val="00403029"/>
    <w:rsid w:val="00404CFA"/>
    <w:rsid w:val="00405044"/>
    <w:rsid w:val="00411FBF"/>
    <w:rsid w:val="00412F99"/>
    <w:rsid w:val="00412FDD"/>
    <w:rsid w:val="00415B42"/>
    <w:rsid w:val="004163A8"/>
    <w:rsid w:val="00421245"/>
    <w:rsid w:val="0042648E"/>
    <w:rsid w:val="00427029"/>
    <w:rsid w:val="00427E22"/>
    <w:rsid w:val="00431B0E"/>
    <w:rsid w:val="00432F41"/>
    <w:rsid w:val="0043372F"/>
    <w:rsid w:val="004425F3"/>
    <w:rsid w:val="004442AF"/>
    <w:rsid w:val="00444B3C"/>
    <w:rsid w:val="0045254B"/>
    <w:rsid w:val="00452C9A"/>
    <w:rsid w:val="00455F8A"/>
    <w:rsid w:val="00460097"/>
    <w:rsid w:val="00461F43"/>
    <w:rsid w:val="00462A07"/>
    <w:rsid w:val="00463137"/>
    <w:rsid w:val="00464680"/>
    <w:rsid w:val="00466E33"/>
    <w:rsid w:val="0047014B"/>
    <w:rsid w:val="004711D5"/>
    <w:rsid w:val="00472FD8"/>
    <w:rsid w:val="00477A35"/>
    <w:rsid w:val="00477CD9"/>
    <w:rsid w:val="00481E97"/>
    <w:rsid w:val="004822DC"/>
    <w:rsid w:val="004853C6"/>
    <w:rsid w:val="004868D0"/>
    <w:rsid w:val="004871A7"/>
    <w:rsid w:val="004901D3"/>
    <w:rsid w:val="004936D2"/>
    <w:rsid w:val="00497ECB"/>
    <w:rsid w:val="004A4894"/>
    <w:rsid w:val="004A7134"/>
    <w:rsid w:val="004B03D1"/>
    <w:rsid w:val="004B2FFA"/>
    <w:rsid w:val="004C15AA"/>
    <w:rsid w:val="004C5916"/>
    <w:rsid w:val="004C60B0"/>
    <w:rsid w:val="004C635B"/>
    <w:rsid w:val="004C79F1"/>
    <w:rsid w:val="004D084C"/>
    <w:rsid w:val="004D4226"/>
    <w:rsid w:val="004E047A"/>
    <w:rsid w:val="004E1BAA"/>
    <w:rsid w:val="004E2937"/>
    <w:rsid w:val="004E572C"/>
    <w:rsid w:val="004E7796"/>
    <w:rsid w:val="004F15B9"/>
    <w:rsid w:val="00500001"/>
    <w:rsid w:val="00501867"/>
    <w:rsid w:val="0050376F"/>
    <w:rsid w:val="00503AAA"/>
    <w:rsid w:val="00507BC8"/>
    <w:rsid w:val="00520EC8"/>
    <w:rsid w:val="00523CF7"/>
    <w:rsid w:val="0052515F"/>
    <w:rsid w:val="005261A7"/>
    <w:rsid w:val="00527F5B"/>
    <w:rsid w:val="00530551"/>
    <w:rsid w:val="00531AAF"/>
    <w:rsid w:val="00532147"/>
    <w:rsid w:val="005330E9"/>
    <w:rsid w:val="005347DC"/>
    <w:rsid w:val="00535135"/>
    <w:rsid w:val="00536042"/>
    <w:rsid w:val="005423FA"/>
    <w:rsid w:val="00542EE6"/>
    <w:rsid w:val="005432C7"/>
    <w:rsid w:val="005450B1"/>
    <w:rsid w:val="0055071E"/>
    <w:rsid w:val="00551113"/>
    <w:rsid w:val="00551319"/>
    <w:rsid w:val="0056023D"/>
    <w:rsid w:val="00561BB5"/>
    <w:rsid w:val="00561C47"/>
    <w:rsid w:val="00561ED7"/>
    <w:rsid w:val="00564B4F"/>
    <w:rsid w:val="00565BEF"/>
    <w:rsid w:val="00566B29"/>
    <w:rsid w:val="00566E44"/>
    <w:rsid w:val="00570ADD"/>
    <w:rsid w:val="00570C41"/>
    <w:rsid w:val="00571DF5"/>
    <w:rsid w:val="00574D2C"/>
    <w:rsid w:val="00576696"/>
    <w:rsid w:val="00582116"/>
    <w:rsid w:val="00596FA4"/>
    <w:rsid w:val="005A206D"/>
    <w:rsid w:val="005A31F7"/>
    <w:rsid w:val="005A5967"/>
    <w:rsid w:val="005B1EB6"/>
    <w:rsid w:val="005B4B70"/>
    <w:rsid w:val="005B5F79"/>
    <w:rsid w:val="005C1F32"/>
    <w:rsid w:val="005C23A8"/>
    <w:rsid w:val="005C2C67"/>
    <w:rsid w:val="005C58BF"/>
    <w:rsid w:val="005C5BEE"/>
    <w:rsid w:val="005D090B"/>
    <w:rsid w:val="005D2EB4"/>
    <w:rsid w:val="005D4C37"/>
    <w:rsid w:val="005D67F4"/>
    <w:rsid w:val="005E141A"/>
    <w:rsid w:val="00602DFC"/>
    <w:rsid w:val="006033A9"/>
    <w:rsid w:val="00604C25"/>
    <w:rsid w:val="0060533B"/>
    <w:rsid w:val="0060742C"/>
    <w:rsid w:val="00612113"/>
    <w:rsid w:val="006158F4"/>
    <w:rsid w:val="006162FE"/>
    <w:rsid w:val="00620589"/>
    <w:rsid w:val="00626B53"/>
    <w:rsid w:val="00626E74"/>
    <w:rsid w:val="006307D8"/>
    <w:rsid w:val="00633C43"/>
    <w:rsid w:val="00637401"/>
    <w:rsid w:val="00637578"/>
    <w:rsid w:val="00637A53"/>
    <w:rsid w:val="00642ABC"/>
    <w:rsid w:val="006443C4"/>
    <w:rsid w:val="0064496B"/>
    <w:rsid w:val="00645810"/>
    <w:rsid w:val="00653EFF"/>
    <w:rsid w:val="006563C0"/>
    <w:rsid w:val="00670C78"/>
    <w:rsid w:val="00672EFA"/>
    <w:rsid w:val="00674252"/>
    <w:rsid w:val="00674AAE"/>
    <w:rsid w:val="00676C8D"/>
    <w:rsid w:val="0067704C"/>
    <w:rsid w:val="00677FED"/>
    <w:rsid w:val="0068377C"/>
    <w:rsid w:val="00684931"/>
    <w:rsid w:val="00686892"/>
    <w:rsid w:val="0069142A"/>
    <w:rsid w:val="006914F4"/>
    <w:rsid w:val="00691552"/>
    <w:rsid w:val="0069173A"/>
    <w:rsid w:val="0069225A"/>
    <w:rsid w:val="00692762"/>
    <w:rsid w:val="00694295"/>
    <w:rsid w:val="0069517A"/>
    <w:rsid w:val="006960A4"/>
    <w:rsid w:val="006A2582"/>
    <w:rsid w:val="006A44B8"/>
    <w:rsid w:val="006A6123"/>
    <w:rsid w:val="006A74A3"/>
    <w:rsid w:val="006B0215"/>
    <w:rsid w:val="006B62A8"/>
    <w:rsid w:val="006B7EB5"/>
    <w:rsid w:val="006C06F3"/>
    <w:rsid w:val="006C4B71"/>
    <w:rsid w:val="006E28FD"/>
    <w:rsid w:val="006E39FA"/>
    <w:rsid w:val="006E5C4A"/>
    <w:rsid w:val="006E64E5"/>
    <w:rsid w:val="006E6B2D"/>
    <w:rsid w:val="006E78FA"/>
    <w:rsid w:val="006E7992"/>
    <w:rsid w:val="006E7F11"/>
    <w:rsid w:val="006F0053"/>
    <w:rsid w:val="006F089E"/>
    <w:rsid w:val="006F0FDC"/>
    <w:rsid w:val="006F68C4"/>
    <w:rsid w:val="006F7400"/>
    <w:rsid w:val="00700210"/>
    <w:rsid w:val="00706DDD"/>
    <w:rsid w:val="00706E59"/>
    <w:rsid w:val="0071264F"/>
    <w:rsid w:val="007147E3"/>
    <w:rsid w:val="00720C74"/>
    <w:rsid w:val="00722EF3"/>
    <w:rsid w:val="00724289"/>
    <w:rsid w:val="00726798"/>
    <w:rsid w:val="00726A58"/>
    <w:rsid w:val="00727E53"/>
    <w:rsid w:val="00734A8B"/>
    <w:rsid w:val="00734D8A"/>
    <w:rsid w:val="00735833"/>
    <w:rsid w:val="00736120"/>
    <w:rsid w:val="00737F09"/>
    <w:rsid w:val="007406AE"/>
    <w:rsid w:val="00743ADA"/>
    <w:rsid w:val="00743E70"/>
    <w:rsid w:val="00745A56"/>
    <w:rsid w:val="007464B1"/>
    <w:rsid w:val="00750F39"/>
    <w:rsid w:val="00752C41"/>
    <w:rsid w:val="00755584"/>
    <w:rsid w:val="0075651E"/>
    <w:rsid w:val="007605D9"/>
    <w:rsid w:val="00761345"/>
    <w:rsid w:val="00764A2C"/>
    <w:rsid w:val="00770A0E"/>
    <w:rsid w:val="00770C5B"/>
    <w:rsid w:val="00773331"/>
    <w:rsid w:val="00774B57"/>
    <w:rsid w:val="007809A1"/>
    <w:rsid w:val="00780FEA"/>
    <w:rsid w:val="007836A8"/>
    <w:rsid w:val="00787878"/>
    <w:rsid w:val="00792105"/>
    <w:rsid w:val="007932EF"/>
    <w:rsid w:val="007951B8"/>
    <w:rsid w:val="007A16D3"/>
    <w:rsid w:val="007A4891"/>
    <w:rsid w:val="007B1166"/>
    <w:rsid w:val="007B118F"/>
    <w:rsid w:val="007B5227"/>
    <w:rsid w:val="007C059D"/>
    <w:rsid w:val="007C17A2"/>
    <w:rsid w:val="007C470E"/>
    <w:rsid w:val="007C493D"/>
    <w:rsid w:val="007D150D"/>
    <w:rsid w:val="007D3B08"/>
    <w:rsid w:val="007D4717"/>
    <w:rsid w:val="007D6756"/>
    <w:rsid w:val="007E05B0"/>
    <w:rsid w:val="007E601F"/>
    <w:rsid w:val="007E6EFD"/>
    <w:rsid w:val="007E71CE"/>
    <w:rsid w:val="007E7C74"/>
    <w:rsid w:val="007F104A"/>
    <w:rsid w:val="007F4E83"/>
    <w:rsid w:val="007F4F35"/>
    <w:rsid w:val="00801E87"/>
    <w:rsid w:val="00802964"/>
    <w:rsid w:val="00804319"/>
    <w:rsid w:val="00805CF7"/>
    <w:rsid w:val="00805ED6"/>
    <w:rsid w:val="00806337"/>
    <w:rsid w:val="00807467"/>
    <w:rsid w:val="008101A8"/>
    <w:rsid w:val="0081488B"/>
    <w:rsid w:val="00816042"/>
    <w:rsid w:val="00816AFC"/>
    <w:rsid w:val="00817CF7"/>
    <w:rsid w:val="008231E0"/>
    <w:rsid w:val="00827C4D"/>
    <w:rsid w:val="0083038A"/>
    <w:rsid w:val="0083128A"/>
    <w:rsid w:val="0083272F"/>
    <w:rsid w:val="00835D9A"/>
    <w:rsid w:val="0083730D"/>
    <w:rsid w:val="00840128"/>
    <w:rsid w:val="008413EA"/>
    <w:rsid w:val="00841AE1"/>
    <w:rsid w:val="00847508"/>
    <w:rsid w:val="008525C0"/>
    <w:rsid w:val="008553FF"/>
    <w:rsid w:val="00865668"/>
    <w:rsid w:val="00865D84"/>
    <w:rsid w:val="008664F6"/>
    <w:rsid w:val="0087059E"/>
    <w:rsid w:val="00874D22"/>
    <w:rsid w:val="00877882"/>
    <w:rsid w:val="00880425"/>
    <w:rsid w:val="00881518"/>
    <w:rsid w:val="0088282D"/>
    <w:rsid w:val="00883037"/>
    <w:rsid w:val="008836F9"/>
    <w:rsid w:val="00886942"/>
    <w:rsid w:val="00887571"/>
    <w:rsid w:val="00890216"/>
    <w:rsid w:val="00890246"/>
    <w:rsid w:val="00891706"/>
    <w:rsid w:val="00893DA7"/>
    <w:rsid w:val="008A2914"/>
    <w:rsid w:val="008B0DB8"/>
    <w:rsid w:val="008B6C23"/>
    <w:rsid w:val="008C0AC8"/>
    <w:rsid w:val="008C258F"/>
    <w:rsid w:val="008C29E2"/>
    <w:rsid w:val="008C2B35"/>
    <w:rsid w:val="008C386A"/>
    <w:rsid w:val="008C4818"/>
    <w:rsid w:val="008C486C"/>
    <w:rsid w:val="008C4B71"/>
    <w:rsid w:val="008C5385"/>
    <w:rsid w:val="008C6C71"/>
    <w:rsid w:val="008C7227"/>
    <w:rsid w:val="008D2B36"/>
    <w:rsid w:val="008D2E1C"/>
    <w:rsid w:val="008D68E8"/>
    <w:rsid w:val="008E17A3"/>
    <w:rsid w:val="008E1A3A"/>
    <w:rsid w:val="008E4D8E"/>
    <w:rsid w:val="008E4DD2"/>
    <w:rsid w:val="008E5C8A"/>
    <w:rsid w:val="008E6BEE"/>
    <w:rsid w:val="008F0117"/>
    <w:rsid w:val="008F0F5E"/>
    <w:rsid w:val="008F5762"/>
    <w:rsid w:val="00900DD3"/>
    <w:rsid w:val="009013F8"/>
    <w:rsid w:val="00911C72"/>
    <w:rsid w:val="00912850"/>
    <w:rsid w:val="00914C54"/>
    <w:rsid w:val="0091508E"/>
    <w:rsid w:val="00915816"/>
    <w:rsid w:val="00917E85"/>
    <w:rsid w:val="009203A5"/>
    <w:rsid w:val="00925CEE"/>
    <w:rsid w:val="00930421"/>
    <w:rsid w:val="00930648"/>
    <w:rsid w:val="00933431"/>
    <w:rsid w:val="00936D2B"/>
    <w:rsid w:val="0094211A"/>
    <w:rsid w:val="00944EE3"/>
    <w:rsid w:val="0094607C"/>
    <w:rsid w:val="00947057"/>
    <w:rsid w:val="00951211"/>
    <w:rsid w:val="00952943"/>
    <w:rsid w:val="009537E1"/>
    <w:rsid w:val="00953813"/>
    <w:rsid w:val="00954A2A"/>
    <w:rsid w:val="00957327"/>
    <w:rsid w:val="00957789"/>
    <w:rsid w:val="00960C4B"/>
    <w:rsid w:val="009638BD"/>
    <w:rsid w:val="0096627D"/>
    <w:rsid w:val="009664CD"/>
    <w:rsid w:val="009713B0"/>
    <w:rsid w:val="00971653"/>
    <w:rsid w:val="009724F4"/>
    <w:rsid w:val="00973EBC"/>
    <w:rsid w:val="00976DB6"/>
    <w:rsid w:val="00980990"/>
    <w:rsid w:val="0098199B"/>
    <w:rsid w:val="009850E8"/>
    <w:rsid w:val="00986335"/>
    <w:rsid w:val="00986892"/>
    <w:rsid w:val="009927FD"/>
    <w:rsid w:val="00994CA3"/>
    <w:rsid w:val="00996030"/>
    <w:rsid w:val="0099612E"/>
    <w:rsid w:val="0099719C"/>
    <w:rsid w:val="009A2B3E"/>
    <w:rsid w:val="009B28D4"/>
    <w:rsid w:val="009C1173"/>
    <w:rsid w:val="009C5B63"/>
    <w:rsid w:val="009C6440"/>
    <w:rsid w:val="009C69FE"/>
    <w:rsid w:val="009D1DF0"/>
    <w:rsid w:val="009D60FA"/>
    <w:rsid w:val="009D7A56"/>
    <w:rsid w:val="009E1471"/>
    <w:rsid w:val="009E14C2"/>
    <w:rsid w:val="009E1AC1"/>
    <w:rsid w:val="009E4560"/>
    <w:rsid w:val="009F1CCA"/>
    <w:rsid w:val="009F2458"/>
    <w:rsid w:val="009F531D"/>
    <w:rsid w:val="009F5DB9"/>
    <w:rsid w:val="009F7E43"/>
    <w:rsid w:val="00A008CD"/>
    <w:rsid w:val="00A02384"/>
    <w:rsid w:val="00A0408F"/>
    <w:rsid w:val="00A05D20"/>
    <w:rsid w:val="00A06E20"/>
    <w:rsid w:val="00A10562"/>
    <w:rsid w:val="00A11DC5"/>
    <w:rsid w:val="00A121B1"/>
    <w:rsid w:val="00A125DA"/>
    <w:rsid w:val="00A1626C"/>
    <w:rsid w:val="00A17923"/>
    <w:rsid w:val="00A20E96"/>
    <w:rsid w:val="00A24555"/>
    <w:rsid w:val="00A31053"/>
    <w:rsid w:val="00A35B9E"/>
    <w:rsid w:val="00A369EE"/>
    <w:rsid w:val="00A409A9"/>
    <w:rsid w:val="00A43A59"/>
    <w:rsid w:val="00A514E3"/>
    <w:rsid w:val="00A51981"/>
    <w:rsid w:val="00A52537"/>
    <w:rsid w:val="00A54C7E"/>
    <w:rsid w:val="00A55753"/>
    <w:rsid w:val="00A607D3"/>
    <w:rsid w:val="00A61EB7"/>
    <w:rsid w:val="00A62121"/>
    <w:rsid w:val="00A6338B"/>
    <w:rsid w:val="00A71A56"/>
    <w:rsid w:val="00A72B2F"/>
    <w:rsid w:val="00A744A9"/>
    <w:rsid w:val="00A75188"/>
    <w:rsid w:val="00A80233"/>
    <w:rsid w:val="00A813B3"/>
    <w:rsid w:val="00A8350B"/>
    <w:rsid w:val="00A8635C"/>
    <w:rsid w:val="00AA2317"/>
    <w:rsid w:val="00AA3CA4"/>
    <w:rsid w:val="00AA7D65"/>
    <w:rsid w:val="00AB14B1"/>
    <w:rsid w:val="00AB1C6F"/>
    <w:rsid w:val="00AB297D"/>
    <w:rsid w:val="00AB3556"/>
    <w:rsid w:val="00AB3B3D"/>
    <w:rsid w:val="00AB50BC"/>
    <w:rsid w:val="00AB6762"/>
    <w:rsid w:val="00AC0006"/>
    <w:rsid w:val="00AC13E5"/>
    <w:rsid w:val="00AC36A5"/>
    <w:rsid w:val="00AC67B2"/>
    <w:rsid w:val="00AD6EF4"/>
    <w:rsid w:val="00AD7B15"/>
    <w:rsid w:val="00AD7CC1"/>
    <w:rsid w:val="00AE31D5"/>
    <w:rsid w:val="00AE6AB7"/>
    <w:rsid w:val="00AE7D22"/>
    <w:rsid w:val="00AF278E"/>
    <w:rsid w:val="00AF71F5"/>
    <w:rsid w:val="00B053FF"/>
    <w:rsid w:val="00B10032"/>
    <w:rsid w:val="00B12237"/>
    <w:rsid w:val="00B14FD7"/>
    <w:rsid w:val="00B15792"/>
    <w:rsid w:val="00B17DF1"/>
    <w:rsid w:val="00B200E2"/>
    <w:rsid w:val="00B22153"/>
    <w:rsid w:val="00B242CB"/>
    <w:rsid w:val="00B25070"/>
    <w:rsid w:val="00B27A92"/>
    <w:rsid w:val="00B42926"/>
    <w:rsid w:val="00B432CA"/>
    <w:rsid w:val="00B4331F"/>
    <w:rsid w:val="00B434C1"/>
    <w:rsid w:val="00B52D63"/>
    <w:rsid w:val="00B53B73"/>
    <w:rsid w:val="00B552A9"/>
    <w:rsid w:val="00B55C96"/>
    <w:rsid w:val="00B60219"/>
    <w:rsid w:val="00B62E49"/>
    <w:rsid w:val="00B6350B"/>
    <w:rsid w:val="00B65EDF"/>
    <w:rsid w:val="00B674DA"/>
    <w:rsid w:val="00B71A89"/>
    <w:rsid w:val="00B750C9"/>
    <w:rsid w:val="00B75148"/>
    <w:rsid w:val="00B756F7"/>
    <w:rsid w:val="00B75BFE"/>
    <w:rsid w:val="00B76C25"/>
    <w:rsid w:val="00B817BF"/>
    <w:rsid w:val="00B86274"/>
    <w:rsid w:val="00B873B6"/>
    <w:rsid w:val="00B875E1"/>
    <w:rsid w:val="00B9119D"/>
    <w:rsid w:val="00B9253B"/>
    <w:rsid w:val="00B93228"/>
    <w:rsid w:val="00B941FE"/>
    <w:rsid w:val="00B9538B"/>
    <w:rsid w:val="00B95AE2"/>
    <w:rsid w:val="00BA2F7E"/>
    <w:rsid w:val="00BA4508"/>
    <w:rsid w:val="00BA5155"/>
    <w:rsid w:val="00BA541B"/>
    <w:rsid w:val="00BA5DC4"/>
    <w:rsid w:val="00BA7EBC"/>
    <w:rsid w:val="00BB2FF0"/>
    <w:rsid w:val="00BB69ED"/>
    <w:rsid w:val="00BB732E"/>
    <w:rsid w:val="00BB76D6"/>
    <w:rsid w:val="00BB7776"/>
    <w:rsid w:val="00BC0187"/>
    <w:rsid w:val="00BC3B91"/>
    <w:rsid w:val="00BC5FF4"/>
    <w:rsid w:val="00BC6865"/>
    <w:rsid w:val="00BD13AE"/>
    <w:rsid w:val="00BD171A"/>
    <w:rsid w:val="00BD1FB6"/>
    <w:rsid w:val="00BD3934"/>
    <w:rsid w:val="00BD5B82"/>
    <w:rsid w:val="00BD7AB4"/>
    <w:rsid w:val="00BE02EC"/>
    <w:rsid w:val="00BE19A1"/>
    <w:rsid w:val="00BF1DAA"/>
    <w:rsid w:val="00BF2FE5"/>
    <w:rsid w:val="00BF3180"/>
    <w:rsid w:val="00BF6D71"/>
    <w:rsid w:val="00BF7F77"/>
    <w:rsid w:val="00C00730"/>
    <w:rsid w:val="00C01E11"/>
    <w:rsid w:val="00C12301"/>
    <w:rsid w:val="00C263CE"/>
    <w:rsid w:val="00C272D0"/>
    <w:rsid w:val="00C27DF8"/>
    <w:rsid w:val="00C3410B"/>
    <w:rsid w:val="00C411B0"/>
    <w:rsid w:val="00C43AAE"/>
    <w:rsid w:val="00C44190"/>
    <w:rsid w:val="00C442F9"/>
    <w:rsid w:val="00C50BFD"/>
    <w:rsid w:val="00C60F19"/>
    <w:rsid w:val="00C64FFA"/>
    <w:rsid w:val="00C67CD8"/>
    <w:rsid w:val="00C70712"/>
    <w:rsid w:val="00C70E12"/>
    <w:rsid w:val="00C714E1"/>
    <w:rsid w:val="00C716B4"/>
    <w:rsid w:val="00C71B6C"/>
    <w:rsid w:val="00C7687B"/>
    <w:rsid w:val="00C85915"/>
    <w:rsid w:val="00C90983"/>
    <w:rsid w:val="00C91E13"/>
    <w:rsid w:val="00C9233E"/>
    <w:rsid w:val="00C9347C"/>
    <w:rsid w:val="00C93B85"/>
    <w:rsid w:val="00CA0E7E"/>
    <w:rsid w:val="00CA37F7"/>
    <w:rsid w:val="00CA4EC5"/>
    <w:rsid w:val="00CA5FB6"/>
    <w:rsid w:val="00CA7160"/>
    <w:rsid w:val="00CB0889"/>
    <w:rsid w:val="00CB64E4"/>
    <w:rsid w:val="00CC16BC"/>
    <w:rsid w:val="00CC3F90"/>
    <w:rsid w:val="00CC4458"/>
    <w:rsid w:val="00CC499B"/>
    <w:rsid w:val="00CC62BC"/>
    <w:rsid w:val="00CD063F"/>
    <w:rsid w:val="00CD4C73"/>
    <w:rsid w:val="00CE1C7A"/>
    <w:rsid w:val="00CE36B8"/>
    <w:rsid w:val="00CE6123"/>
    <w:rsid w:val="00CF5750"/>
    <w:rsid w:val="00CF5C60"/>
    <w:rsid w:val="00CF6A8C"/>
    <w:rsid w:val="00CF7490"/>
    <w:rsid w:val="00CF787A"/>
    <w:rsid w:val="00D029AA"/>
    <w:rsid w:val="00D05942"/>
    <w:rsid w:val="00D106E8"/>
    <w:rsid w:val="00D12544"/>
    <w:rsid w:val="00D13C79"/>
    <w:rsid w:val="00D14832"/>
    <w:rsid w:val="00D15205"/>
    <w:rsid w:val="00D16E66"/>
    <w:rsid w:val="00D170AB"/>
    <w:rsid w:val="00D20381"/>
    <w:rsid w:val="00D21FD8"/>
    <w:rsid w:val="00D234CB"/>
    <w:rsid w:val="00D2656D"/>
    <w:rsid w:val="00D324E1"/>
    <w:rsid w:val="00D352B4"/>
    <w:rsid w:val="00D353BF"/>
    <w:rsid w:val="00D36842"/>
    <w:rsid w:val="00D40EFF"/>
    <w:rsid w:val="00D4512D"/>
    <w:rsid w:val="00D5242D"/>
    <w:rsid w:val="00D54A61"/>
    <w:rsid w:val="00D5503F"/>
    <w:rsid w:val="00D621FB"/>
    <w:rsid w:val="00D62456"/>
    <w:rsid w:val="00D62E5E"/>
    <w:rsid w:val="00D665C4"/>
    <w:rsid w:val="00D674F4"/>
    <w:rsid w:val="00D6777E"/>
    <w:rsid w:val="00D70B60"/>
    <w:rsid w:val="00D7463F"/>
    <w:rsid w:val="00D76A56"/>
    <w:rsid w:val="00D825B6"/>
    <w:rsid w:val="00D82CC1"/>
    <w:rsid w:val="00D87245"/>
    <w:rsid w:val="00D87300"/>
    <w:rsid w:val="00D90E08"/>
    <w:rsid w:val="00DB0501"/>
    <w:rsid w:val="00DB250A"/>
    <w:rsid w:val="00DB3C35"/>
    <w:rsid w:val="00DB3D14"/>
    <w:rsid w:val="00DB6B05"/>
    <w:rsid w:val="00DC04AA"/>
    <w:rsid w:val="00DC32EC"/>
    <w:rsid w:val="00DC551D"/>
    <w:rsid w:val="00DC60AA"/>
    <w:rsid w:val="00DD50D0"/>
    <w:rsid w:val="00DD57BC"/>
    <w:rsid w:val="00DE0B07"/>
    <w:rsid w:val="00DE2ADF"/>
    <w:rsid w:val="00DF1A15"/>
    <w:rsid w:val="00DF1CB4"/>
    <w:rsid w:val="00DF324D"/>
    <w:rsid w:val="00DF792D"/>
    <w:rsid w:val="00DF7D1B"/>
    <w:rsid w:val="00E00723"/>
    <w:rsid w:val="00E00D0C"/>
    <w:rsid w:val="00E0498A"/>
    <w:rsid w:val="00E04C8B"/>
    <w:rsid w:val="00E0505F"/>
    <w:rsid w:val="00E06ADC"/>
    <w:rsid w:val="00E104B1"/>
    <w:rsid w:val="00E1502C"/>
    <w:rsid w:val="00E21874"/>
    <w:rsid w:val="00E258F8"/>
    <w:rsid w:val="00E30766"/>
    <w:rsid w:val="00E3171F"/>
    <w:rsid w:val="00E31C61"/>
    <w:rsid w:val="00E31F15"/>
    <w:rsid w:val="00E327E6"/>
    <w:rsid w:val="00E34F0D"/>
    <w:rsid w:val="00E35CB0"/>
    <w:rsid w:val="00E3769D"/>
    <w:rsid w:val="00E420D2"/>
    <w:rsid w:val="00E4311E"/>
    <w:rsid w:val="00E448AB"/>
    <w:rsid w:val="00E54884"/>
    <w:rsid w:val="00E57015"/>
    <w:rsid w:val="00E60348"/>
    <w:rsid w:val="00E6043D"/>
    <w:rsid w:val="00E60C11"/>
    <w:rsid w:val="00E61C60"/>
    <w:rsid w:val="00E73351"/>
    <w:rsid w:val="00E74596"/>
    <w:rsid w:val="00E80981"/>
    <w:rsid w:val="00E81E68"/>
    <w:rsid w:val="00E84AAA"/>
    <w:rsid w:val="00E922D8"/>
    <w:rsid w:val="00E9561F"/>
    <w:rsid w:val="00E95689"/>
    <w:rsid w:val="00EA277C"/>
    <w:rsid w:val="00EA38FC"/>
    <w:rsid w:val="00EA3971"/>
    <w:rsid w:val="00EA3C60"/>
    <w:rsid w:val="00EA3D90"/>
    <w:rsid w:val="00EA5973"/>
    <w:rsid w:val="00EA64C3"/>
    <w:rsid w:val="00EB039C"/>
    <w:rsid w:val="00EB2C34"/>
    <w:rsid w:val="00EB4BCD"/>
    <w:rsid w:val="00EB72E1"/>
    <w:rsid w:val="00EC6C39"/>
    <w:rsid w:val="00EC78BD"/>
    <w:rsid w:val="00EC7DBC"/>
    <w:rsid w:val="00ED0099"/>
    <w:rsid w:val="00ED02D5"/>
    <w:rsid w:val="00ED297C"/>
    <w:rsid w:val="00EE1C59"/>
    <w:rsid w:val="00EE3BEE"/>
    <w:rsid w:val="00EE613B"/>
    <w:rsid w:val="00EE7555"/>
    <w:rsid w:val="00EF35ED"/>
    <w:rsid w:val="00F02E3E"/>
    <w:rsid w:val="00F04DAB"/>
    <w:rsid w:val="00F0743A"/>
    <w:rsid w:val="00F105CA"/>
    <w:rsid w:val="00F133B9"/>
    <w:rsid w:val="00F13429"/>
    <w:rsid w:val="00F16F48"/>
    <w:rsid w:val="00F17A3B"/>
    <w:rsid w:val="00F229A7"/>
    <w:rsid w:val="00F308C1"/>
    <w:rsid w:val="00F308DA"/>
    <w:rsid w:val="00F35509"/>
    <w:rsid w:val="00F36671"/>
    <w:rsid w:val="00F40A90"/>
    <w:rsid w:val="00F41E71"/>
    <w:rsid w:val="00F424E2"/>
    <w:rsid w:val="00F46ECF"/>
    <w:rsid w:val="00F53272"/>
    <w:rsid w:val="00F558D2"/>
    <w:rsid w:val="00F6156F"/>
    <w:rsid w:val="00F618BB"/>
    <w:rsid w:val="00F66B95"/>
    <w:rsid w:val="00F672C7"/>
    <w:rsid w:val="00F67493"/>
    <w:rsid w:val="00F6791B"/>
    <w:rsid w:val="00F75BAC"/>
    <w:rsid w:val="00F824D3"/>
    <w:rsid w:val="00F84BE4"/>
    <w:rsid w:val="00F8766D"/>
    <w:rsid w:val="00F91E2B"/>
    <w:rsid w:val="00F92092"/>
    <w:rsid w:val="00F951F3"/>
    <w:rsid w:val="00F95871"/>
    <w:rsid w:val="00FA00A7"/>
    <w:rsid w:val="00FA1735"/>
    <w:rsid w:val="00FA6892"/>
    <w:rsid w:val="00FA7030"/>
    <w:rsid w:val="00FA7B48"/>
    <w:rsid w:val="00FB0717"/>
    <w:rsid w:val="00FB4D9B"/>
    <w:rsid w:val="00FB7673"/>
    <w:rsid w:val="00FB7914"/>
    <w:rsid w:val="00FC0031"/>
    <w:rsid w:val="00FC0B30"/>
    <w:rsid w:val="00FC38F8"/>
    <w:rsid w:val="00FD15D6"/>
    <w:rsid w:val="00FD1FD5"/>
    <w:rsid w:val="00FD3AB2"/>
    <w:rsid w:val="00FD71F7"/>
    <w:rsid w:val="00FE392C"/>
    <w:rsid w:val="00FE7FED"/>
    <w:rsid w:val="00FF1134"/>
    <w:rsid w:val="00FF15A2"/>
    <w:rsid w:val="00FF265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8D37355B-58DB-4A35-B16E-3173BFAAA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sv-SE"/>
    </w:rPr>
  </w:style>
  <w:style w:type="paragraph" w:styleId="Heading1">
    <w:name w:val="heading 1"/>
    <w:basedOn w:val="Normal"/>
    <w:next w:val="Text1"/>
    <w:link w:val="Heading1Char"/>
    <w:uiPriority w:val="9"/>
    <w:qFormat/>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0"/>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0"/>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0"/>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0"/>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FE7FED"/>
    <w:pPr>
      <w:numPr>
        <w:numId w:val="1"/>
      </w:numPr>
    </w:pPr>
    <w:rPr>
      <w:rFonts w:eastAsia="Times New Roman"/>
      <w:lang w:eastAsia="en-GB"/>
    </w:rPr>
  </w:style>
  <w:style w:type="character" w:styleId="Hyperlink">
    <w:name w:val="Hyperlink"/>
    <w:basedOn w:val="DefaultParagraphFont"/>
    <w:rsid w:val="009713B0"/>
    <w:rPr>
      <w:color w:val="2F5773"/>
      <w:u w:val="single"/>
    </w:rPr>
  </w:style>
  <w:style w:type="paragraph" w:styleId="ListBullet2">
    <w:name w:val="List Bullet 2"/>
    <w:basedOn w:val="Normal"/>
    <w:uiPriority w:val="99"/>
    <w:semiHidden/>
    <w:unhideWhenUsed/>
    <w:rsid w:val="009713B0"/>
    <w:pPr>
      <w:numPr>
        <w:numId w:val="4"/>
      </w:numPr>
      <w:contextualSpacing/>
    </w:pPr>
  </w:style>
  <w:style w:type="paragraph" w:styleId="ListNumber2">
    <w:name w:val="List Number 2"/>
    <w:basedOn w:val="Normal"/>
    <w:uiPriority w:val="99"/>
    <w:semiHidden/>
    <w:unhideWhenUsed/>
    <w:rsid w:val="009713B0"/>
    <w:pPr>
      <w:numPr>
        <w:numId w:val="5"/>
      </w:numPr>
      <w:contextualSpacing/>
    </w:pPr>
  </w:style>
  <w:style w:type="paragraph" w:styleId="ListBullet3">
    <w:name w:val="List Bullet 3"/>
    <w:basedOn w:val="Normal"/>
    <w:uiPriority w:val="99"/>
    <w:semiHidden/>
    <w:unhideWhenUsed/>
    <w:rsid w:val="001840A1"/>
    <w:pPr>
      <w:numPr>
        <w:numId w:val="6"/>
      </w:numPr>
      <w:contextualSpacing/>
    </w:pPr>
  </w:style>
  <w:style w:type="paragraph" w:styleId="ListBullet4">
    <w:name w:val="List Bullet 4"/>
    <w:basedOn w:val="Normal"/>
    <w:uiPriority w:val="99"/>
    <w:semiHidden/>
    <w:unhideWhenUsed/>
    <w:rsid w:val="001840A1"/>
    <w:pPr>
      <w:numPr>
        <w:numId w:val="7"/>
      </w:numPr>
      <w:contextualSpacing/>
    </w:pPr>
  </w:style>
  <w:style w:type="character" w:styleId="CommentReference">
    <w:name w:val="annotation reference"/>
    <w:basedOn w:val="DefaultParagraphFont"/>
    <w:uiPriority w:val="99"/>
    <w:semiHidden/>
    <w:unhideWhenUsed/>
    <w:rsid w:val="00F6156F"/>
    <w:rPr>
      <w:sz w:val="16"/>
      <w:szCs w:val="16"/>
    </w:rPr>
  </w:style>
  <w:style w:type="paragraph" w:styleId="CommentText">
    <w:name w:val="annotation text"/>
    <w:basedOn w:val="Normal"/>
    <w:link w:val="CommentTextChar"/>
    <w:uiPriority w:val="99"/>
    <w:unhideWhenUsed/>
    <w:rsid w:val="00F6156F"/>
    <w:rPr>
      <w:sz w:val="20"/>
      <w:szCs w:val="20"/>
    </w:rPr>
  </w:style>
  <w:style w:type="character" w:customStyle="1" w:styleId="CommentTextChar">
    <w:name w:val="Comment Text Char"/>
    <w:basedOn w:val="DefaultParagraphFont"/>
    <w:link w:val="CommentText"/>
    <w:uiPriority w:val="99"/>
    <w:rsid w:val="00F6156F"/>
    <w:rPr>
      <w:rFonts w:ascii="Times New Roman" w:hAnsi="Times New Roman" w:cs="Times New Roman"/>
      <w:sz w:val="20"/>
      <w:szCs w:val="20"/>
      <w:lang w:val="sv-SE"/>
    </w:rPr>
  </w:style>
  <w:style w:type="paragraph" w:styleId="CommentSubject">
    <w:name w:val="annotation subject"/>
    <w:basedOn w:val="CommentText"/>
    <w:next w:val="CommentText"/>
    <w:link w:val="CommentSubjectChar"/>
    <w:uiPriority w:val="99"/>
    <w:semiHidden/>
    <w:unhideWhenUsed/>
    <w:rsid w:val="00F6156F"/>
    <w:rPr>
      <w:b/>
      <w:bCs/>
    </w:rPr>
  </w:style>
  <w:style w:type="character" w:customStyle="1" w:styleId="CommentSubjectChar">
    <w:name w:val="Comment Subject Char"/>
    <w:basedOn w:val="CommentTextChar"/>
    <w:link w:val="CommentSubject"/>
    <w:uiPriority w:val="99"/>
    <w:semiHidden/>
    <w:rsid w:val="00F6156F"/>
    <w:rPr>
      <w:rFonts w:ascii="Times New Roman" w:hAnsi="Times New Roman" w:cs="Times New Roman"/>
      <w:b/>
      <w:bCs/>
      <w:sz w:val="20"/>
      <w:szCs w:val="20"/>
      <w:lang w:val="sv-SE"/>
    </w:rPr>
  </w:style>
  <w:style w:type="character" w:customStyle="1" w:styleId="UnresolvedMention">
    <w:name w:val="Unresolved Mention"/>
    <w:basedOn w:val="DefaultParagraphFont"/>
    <w:uiPriority w:val="99"/>
    <w:semiHidden/>
    <w:unhideWhenUsed/>
    <w:rsid w:val="00F6156F"/>
    <w:rPr>
      <w:color w:val="605E5C"/>
      <w:shd w:val="clear" w:color="auto" w:fill="E1DFDD"/>
    </w:rPr>
  </w:style>
  <w:style w:type="paragraph" w:styleId="Revision">
    <w:name w:val="Revision"/>
    <w:hidden/>
    <w:uiPriority w:val="99"/>
    <w:semiHidden/>
    <w:rsid w:val="00F6156F"/>
    <w:pPr>
      <w:spacing w:after="0" w:line="240" w:lineRule="auto"/>
    </w:pPr>
    <w:rPr>
      <w:rFonts w:ascii="Times New Roman" w:hAnsi="Times New Roman" w:cs="Times New Roman"/>
      <w:sz w:val="24"/>
    </w:rPr>
  </w:style>
  <w:style w:type="character" w:customStyle="1" w:styleId="HeaderChar">
    <w:name w:val="Header Char"/>
    <w:basedOn w:val="DefaultParagraphFont"/>
    <w:link w:val="Header"/>
    <w:uiPriority w:val="99"/>
    <w:rsid w:val="00500001"/>
    <w:rPr>
      <w:rFonts w:ascii="Times New Roman" w:hAnsi="Times New Roman" w:cs="Times New Roman"/>
      <w:sz w:val="24"/>
      <w:lang w:val="sv-SE"/>
    </w:rPr>
  </w:style>
  <w:style w:type="character" w:customStyle="1" w:styleId="FooterChar">
    <w:name w:val="Footer Char"/>
    <w:basedOn w:val="DefaultParagraphFont"/>
    <w:link w:val="Footer"/>
    <w:uiPriority w:val="99"/>
    <w:rsid w:val="00500001"/>
    <w:rPr>
      <w:rFonts w:ascii="Times New Roman" w:hAnsi="Times New Roman" w:cs="Times New Roman"/>
      <w:sz w:val="24"/>
      <w:lang w:val="sv-SE"/>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500001"/>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500001"/>
    <w:pPr>
      <w:spacing w:before="0"/>
      <w:jc w:val="right"/>
    </w:pPr>
    <w:rPr>
      <w:sz w:val="28"/>
    </w:rPr>
  </w:style>
  <w:style w:type="paragraph" w:customStyle="1" w:styleId="FooterSensitivity">
    <w:name w:val="Footer Sensitivity"/>
    <w:basedOn w:val="Normal"/>
    <w:rsid w:val="00500001"/>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3"/>
      </w:numPr>
    </w:pPr>
  </w:style>
  <w:style w:type="paragraph" w:customStyle="1" w:styleId="Tiret1">
    <w:name w:val="Tiret 1"/>
    <w:basedOn w:val="Point1"/>
    <w:pPr>
      <w:numPr>
        <w:numId w:val="24"/>
      </w:numPr>
    </w:pPr>
  </w:style>
  <w:style w:type="paragraph" w:customStyle="1" w:styleId="Tiret2">
    <w:name w:val="Tiret 2"/>
    <w:basedOn w:val="Point2"/>
    <w:pPr>
      <w:numPr>
        <w:numId w:val="25"/>
      </w:numPr>
    </w:pPr>
  </w:style>
  <w:style w:type="paragraph" w:customStyle="1" w:styleId="Tiret3">
    <w:name w:val="Tiret 3"/>
    <w:basedOn w:val="Point3"/>
    <w:pPr>
      <w:numPr>
        <w:numId w:val="26"/>
      </w:numPr>
    </w:pPr>
  </w:style>
  <w:style w:type="paragraph" w:customStyle="1" w:styleId="Tiret4">
    <w:name w:val="Tiret 4"/>
    <w:basedOn w:val="Point4"/>
    <w:pPr>
      <w:numPr>
        <w:numId w:val="27"/>
      </w:numPr>
    </w:pPr>
  </w:style>
  <w:style w:type="paragraph" w:customStyle="1" w:styleId="Tiret5">
    <w:name w:val="Tiret 5"/>
    <w:basedOn w:val="Point5"/>
    <w:pPr>
      <w:numPr>
        <w:numId w:val="28"/>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9"/>
      </w:numPr>
    </w:pPr>
  </w:style>
  <w:style w:type="paragraph" w:customStyle="1" w:styleId="NumPar2">
    <w:name w:val="NumPar 2"/>
    <w:basedOn w:val="Normal"/>
    <w:next w:val="Text1"/>
    <w:pPr>
      <w:numPr>
        <w:ilvl w:val="1"/>
        <w:numId w:val="29"/>
      </w:numPr>
    </w:pPr>
  </w:style>
  <w:style w:type="paragraph" w:customStyle="1" w:styleId="NumPar3">
    <w:name w:val="NumPar 3"/>
    <w:basedOn w:val="Normal"/>
    <w:next w:val="Text1"/>
    <w:pPr>
      <w:numPr>
        <w:ilvl w:val="2"/>
        <w:numId w:val="29"/>
      </w:numPr>
    </w:pPr>
  </w:style>
  <w:style w:type="paragraph" w:customStyle="1" w:styleId="NumPar4">
    <w:name w:val="NumPar 4"/>
    <w:basedOn w:val="Normal"/>
    <w:next w:val="Text1"/>
    <w:pPr>
      <w:numPr>
        <w:ilvl w:val="3"/>
        <w:numId w:val="29"/>
      </w:numPr>
    </w:pPr>
  </w:style>
  <w:style w:type="paragraph" w:customStyle="1" w:styleId="NumPar5">
    <w:name w:val="NumPar 5"/>
    <w:basedOn w:val="Normal"/>
    <w:next w:val="Text2"/>
    <w:pPr>
      <w:numPr>
        <w:ilvl w:val="4"/>
        <w:numId w:val="29"/>
      </w:numPr>
    </w:pPr>
  </w:style>
  <w:style w:type="paragraph" w:customStyle="1" w:styleId="NumPar6">
    <w:name w:val="NumPar 6"/>
    <w:basedOn w:val="Normal"/>
    <w:next w:val="Text2"/>
    <w:pPr>
      <w:numPr>
        <w:ilvl w:val="5"/>
        <w:numId w:val="29"/>
      </w:numPr>
    </w:pPr>
  </w:style>
  <w:style w:type="paragraph" w:customStyle="1" w:styleId="NumPar7">
    <w:name w:val="NumPar 7"/>
    <w:basedOn w:val="Normal"/>
    <w:next w:val="Text2"/>
    <w:pPr>
      <w:numPr>
        <w:ilvl w:val="6"/>
        <w:numId w:val="29"/>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1"/>
      </w:numPr>
    </w:pPr>
  </w:style>
  <w:style w:type="paragraph" w:customStyle="1" w:styleId="Point1number">
    <w:name w:val="Point 1 (number)"/>
    <w:basedOn w:val="Normal"/>
    <w:pPr>
      <w:numPr>
        <w:ilvl w:val="2"/>
        <w:numId w:val="31"/>
      </w:numPr>
    </w:pPr>
  </w:style>
  <w:style w:type="paragraph" w:customStyle="1" w:styleId="Point2number">
    <w:name w:val="Point 2 (number)"/>
    <w:basedOn w:val="Normal"/>
    <w:pPr>
      <w:numPr>
        <w:ilvl w:val="4"/>
        <w:numId w:val="31"/>
      </w:numPr>
    </w:pPr>
  </w:style>
  <w:style w:type="paragraph" w:customStyle="1" w:styleId="Point3number">
    <w:name w:val="Point 3 (number)"/>
    <w:basedOn w:val="Normal"/>
    <w:pPr>
      <w:numPr>
        <w:ilvl w:val="6"/>
        <w:numId w:val="31"/>
      </w:numPr>
    </w:pPr>
  </w:style>
  <w:style w:type="paragraph" w:customStyle="1" w:styleId="Point0letter">
    <w:name w:val="Point 0 (letter)"/>
    <w:basedOn w:val="Normal"/>
    <w:pPr>
      <w:numPr>
        <w:ilvl w:val="1"/>
        <w:numId w:val="31"/>
      </w:numPr>
    </w:pPr>
  </w:style>
  <w:style w:type="paragraph" w:customStyle="1" w:styleId="Point1letter">
    <w:name w:val="Point 1 (letter)"/>
    <w:basedOn w:val="Normal"/>
    <w:pPr>
      <w:numPr>
        <w:ilvl w:val="3"/>
        <w:numId w:val="31"/>
      </w:numPr>
    </w:pPr>
  </w:style>
  <w:style w:type="paragraph" w:customStyle="1" w:styleId="Point2letter">
    <w:name w:val="Point 2 (letter)"/>
    <w:basedOn w:val="Normal"/>
    <w:pPr>
      <w:numPr>
        <w:ilvl w:val="5"/>
        <w:numId w:val="31"/>
      </w:numPr>
    </w:pPr>
  </w:style>
  <w:style w:type="paragraph" w:customStyle="1" w:styleId="Point3letter">
    <w:name w:val="Point 3 (letter)"/>
    <w:basedOn w:val="Normal"/>
    <w:pPr>
      <w:numPr>
        <w:ilvl w:val="7"/>
        <w:numId w:val="31"/>
      </w:numPr>
    </w:pPr>
  </w:style>
  <w:style w:type="paragraph" w:customStyle="1" w:styleId="Point4letter">
    <w:name w:val="Point 4 (letter)"/>
    <w:basedOn w:val="Normal"/>
    <w:pPr>
      <w:numPr>
        <w:ilvl w:val="8"/>
        <w:numId w:val="31"/>
      </w:numPr>
    </w:pPr>
  </w:style>
  <w:style w:type="paragraph" w:customStyle="1" w:styleId="Bullet0">
    <w:name w:val="Bullet 0"/>
    <w:basedOn w:val="Normal"/>
    <w:pPr>
      <w:numPr>
        <w:numId w:val="32"/>
      </w:numPr>
    </w:pPr>
  </w:style>
  <w:style w:type="paragraph" w:customStyle="1" w:styleId="Bullet1">
    <w:name w:val="Bullet 1"/>
    <w:basedOn w:val="Normal"/>
    <w:pPr>
      <w:numPr>
        <w:numId w:val="33"/>
      </w:numPr>
    </w:pPr>
  </w:style>
  <w:style w:type="paragraph" w:customStyle="1" w:styleId="Bullet2">
    <w:name w:val="Bullet 2"/>
    <w:basedOn w:val="Normal"/>
    <w:pPr>
      <w:numPr>
        <w:numId w:val="34"/>
      </w:numPr>
    </w:pPr>
  </w:style>
  <w:style w:type="paragraph" w:customStyle="1" w:styleId="Bullet3">
    <w:name w:val="Bullet 3"/>
    <w:basedOn w:val="Normal"/>
    <w:pPr>
      <w:numPr>
        <w:numId w:val="35"/>
      </w:numPr>
    </w:pPr>
  </w:style>
  <w:style w:type="paragraph" w:customStyle="1" w:styleId="Bullet4">
    <w:name w:val="Bullet 4"/>
    <w:basedOn w:val="Normal"/>
    <w:pPr>
      <w:numPr>
        <w:numId w:val="36"/>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7"/>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500001"/>
    <w:pPr>
      <w:tabs>
        <w:tab w:val="center" w:pos="4535"/>
        <w:tab w:val="right" w:pos="9071"/>
      </w:tabs>
      <w:spacing w:before="0"/>
    </w:pPr>
  </w:style>
  <w:style w:type="paragraph" w:customStyle="1" w:styleId="HeaderLandscape">
    <w:name w:val="HeaderLandscape"/>
    <w:basedOn w:val="Normal"/>
    <w:rsid w:val="00500001"/>
    <w:pPr>
      <w:tabs>
        <w:tab w:val="center" w:pos="7285"/>
        <w:tab w:val="right" w:pos="14003"/>
      </w:tabs>
      <w:spacing w:before="0"/>
    </w:pPr>
  </w:style>
  <w:style w:type="paragraph" w:styleId="Footer">
    <w:name w:val="footer"/>
    <w:basedOn w:val="Normal"/>
    <w:link w:val="FooterChar"/>
    <w:uiPriority w:val="99"/>
    <w:unhideWhenUsed/>
    <w:rsid w:val="00500001"/>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00001"/>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300798">
      <w:bodyDiv w:val="1"/>
      <w:marLeft w:val="0"/>
      <w:marRight w:val="0"/>
      <w:marTop w:val="0"/>
      <w:marBottom w:val="0"/>
      <w:divBdr>
        <w:top w:val="none" w:sz="0" w:space="0" w:color="auto"/>
        <w:left w:val="none" w:sz="0" w:space="0" w:color="auto"/>
        <w:bottom w:val="none" w:sz="0" w:space="0" w:color="auto"/>
        <w:right w:val="none" w:sz="0" w:space="0" w:color="auto"/>
      </w:divBdr>
    </w:div>
    <w:div w:id="550653829">
      <w:bodyDiv w:val="1"/>
      <w:marLeft w:val="0"/>
      <w:marRight w:val="0"/>
      <w:marTop w:val="0"/>
      <w:marBottom w:val="0"/>
      <w:divBdr>
        <w:top w:val="none" w:sz="0" w:space="0" w:color="auto"/>
        <w:left w:val="none" w:sz="0" w:space="0" w:color="auto"/>
        <w:bottom w:val="none" w:sz="0" w:space="0" w:color="auto"/>
        <w:right w:val="none" w:sz="0" w:space="0" w:color="auto"/>
      </w:divBdr>
    </w:div>
    <w:div w:id="784278377">
      <w:bodyDiv w:val="1"/>
      <w:marLeft w:val="0"/>
      <w:marRight w:val="0"/>
      <w:marTop w:val="0"/>
      <w:marBottom w:val="0"/>
      <w:divBdr>
        <w:top w:val="none" w:sz="0" w:space="0" w:color="auto"/>
        <w:left w:val="none" w:sz="0" w:space="0" w:color="auto"/>
        <w:bottom w:val="none" w:sz="0" w:space="0" w:color="auto"/>
        <w:right w:val="none" w:sz="0" w:space="0" w:color="auto"/>
      </w:divBdr>
    </w:div>
    <w:div w:id="869949458">
      <w:bodyDiv w:val="1"/>
      <w:marLeft w:val="0"/>
      <w:marRight w:val="0"/>
      <w:marTop w:val="0"/>
      <w:marBottom w:val="0"/>
      <w:divBdr>
        <w:top w:val="none" w:sz="0" w:space="0" w:color="auto"/>
        <w:left w:val="none" w:sz="0" w:space="0" w:color="auto"/>
        <w:bottom w:val="none" w:sz="0" w:space="0" w:color="auto"/>
        <w:right w:val="none" w:sz="0" w:space="0" w:color="auto"/>
      </w:divBdr>
    </w:div>
    <w:div w:id="881015070">
      <w:bodyDiv w:val="1"/>
      <w:marLeft w:val="0"/>
      <w:marRight w:val="0"/>
      <w:marTop w:val="0"/>
      <w:marBottom w:val="0"/>
      <w:divBdr>
        <w:top w:val="none" w:sz="0" w:space="0" w:color="auto"/>
        <w:left w:val="none" w:sz="0" w:space="0" w:color="auto"/>
        <w:bottom w:val="none" w:sz="0" w:space="0" w:color="auto"/>
        <w:right w:val="none" w:sz="0" w:space="0" w:color="auto"/>
      </w:divBdr>
    </w:div>
    <w:div w:id="920212406">
      <w:bodyDiv w:val="1"/>
      <w:marLeft w:val="0"/>
      <w:marRight w:val="0"/>
      <w:marTop w:val="0"/>
      <w:marBottom w:val="0"/>
      <w:divBdr>
        <w:top w:val="none" w:sz="0" w:space="0" w:color="auto"/>
        <w:left w:val="none" w:sz="0" w:space="0" w:color="auto"/>
        <w:bottom w:val="none" w:sz="0" w:space="0" w:color="auto"/>
        <w:right w:val="none" w:sz="0" w:space="0" w:color="auto"/>
      </w:divBdr>
    </w:div>
    <w:div w:id="1095593330">
      <w:bodyDiv w:val="1"/>
      <w:marLeft w:val="0"/>
      <w:marRight w:val="0"/>
      <w:marTop w:val="0"/>
      <w:marBottom w:val="0"/>
      <w:divBdr>
        <w:top w:val="none" w:sz="0" w:space="0" w:color="auto"/>
        <w:left w:val="none" w:sz="0" w:space="0" w:color="auto"/>
        <w:bottom w:val="none" w:sz="0" w:space="0" w:color="auto"/>
        <w:right w:val="none" w:sz="0" w:space="0" w:color="auto"/>
      </w:divBdr>
    </w:div>
    <w:div w:id="1494568034">
      <w:bodyDiv w:val="1"/>
      <w:marLeft w:val="0"/>
      <w:marRight w:val="0"/>
      <w:marTop w:val="0"/>
      <w:marBottom w:val="0"/>
      <w:divBdr>
        <w:top w:val="none" w:sz="0" w:space="0" w:color="auto"/>
        <w:left w:val="none" w:sz="0" w:space="0" w:color="auto"/>
        <w:bottom w:val="none" w:sz="0" w:space="0" w:color="auto"/>
        <w:right w:val="none" w:sz="0" w:space="0" w:color="auto"/>
      </w:divBdr>
    </w:div>
    <w:div w:id="1989820838">
      <w:bodyDiv w:val="1"/>
      <w:marLeft w:val="0"/>
      <w:marRight w:val="0"/>
      <w:marTop w:val="0"/>
      <w:marBottom w:val="0"/>
      <w:divBdr>
        <w:top w:val="none" w:sz="0" w:space="0" w:color="auto"/>
        <w:left w:val="none" w:sz="0" w:space="0" w:color="auto"/>
        <w:bottom w:val="none" w:sz="0" w:space="0" w:color="auto"/>
        <w:right w:val="none" w:sz="0" w:space="0" w:color="auto"/>
      </w:divBdr>
    </w:div>
    <w:div w:id="2130515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AA042-8990-48CF-9F49-CCC060D398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EAE6E2-368D-42B0-9134-B6800FDB77A6}">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3.xml><?xml version="1.0" encoding="utf-8"?>
<ds:datastoreItem xmlns:ds="http://schemas.openxmlformats.org/officeDocument/2006/customXml" ds:itemID="{B89D5FD2-A6F3-4EB5-A6CF-7867F88AEFD4}">
  <ds:schemaRefs>
    <ds:schemaRef ds:uri="http://schemas.microsoft.com/sharepoint/v3/contenttype/forms"/>
  </ds:schemaRefs>
</ds:datastoreItem>
</file>

<file path=customXml/itemProps4.xml><?xml version="1.0" encoding="utf-8"?>
<ds:datastoreItem xmlns:ds="http://schemas.openxmlformats.org/officeDocument/2006/customXml" ds:itemID="{433FB224-F899-4DED-BEBC-7C5C7817B56E}">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9</TotalTime>
  <Pages>6</Pages>
  <Words>1499</Words>
  <Characters>8547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32</cp:revision>
  <cp:lastPrinted>2025-05-08T07:59:00Z</cp:lastPrinted>
  <dcterms:created xsi:type="dcterms:W3CDTF">2025-09-16T13:52:00Z</dcterms:created>
  <dcterms:modified xsi:type="dcterms:W3CDTF">2025-09-30T15:23:00Z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9.1, Build 20240808</vt:lpwstr>
  </property>
  <property fmtid="{D5CDD505-2E9C-101B-9397-08002B2CF9AE}" pid="5" name="Created using">
    <vt:lpwstr>LW 9.1, Build 20240808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MSIP_Label_6bd9ddd1-4d20-43f6-abfa-fc3c07406f94_Enabled">
    <vt:lpwstr>true</vt:lpwstr>
  </property>
  <property fmtid="{D5CDD505-2E9C-101B-9397-08002B2CF9AE}" pid="11" name="MSIP_Label_6bd9ddd1-4d20-43f6-abfa-fc3c07406f94_SetDate">
    <vt:lpwstr>2025-02-25T08:26:14Z</vt:lpwstr>
  </property>
  <property fmtid="{D5CDD505-2E9C-101B-9397-08002B2CF9AE}" pid="12" name="MSIP_Label_6bd9ddd1-4d20-43f6-abfa-fc3c07406f94_Method">
    <vt:lpwstr>Standard</vt:lpwstr>
  </property>
  <property fmtid="{D5CDD505-2E9C-101B-9397-08002B2CF9AE}" pid="13" name="MSIP_Label_6bd9ddd1-4d20-43f6-abfa-fc3c07406f94_Name">
    <vt:lpwstr>Commission Use</vt:lpwstr>
  </property>
  <property fmtid="{D5CDD505-2E9C-101B-9397-08002B2CF9AE}" pid="14" name="MSIP_Label_6bd9ddd1-4d20-43f6-abfa-fc3c07406f94_SiteId">
    <vt:lpwstr>b24c8b06-522c-46fe-9080-70926f8dddb1</vt:lpwstr>
  </property>
  <property fmtid="{D5CDD505-2E9C-101B-9397-08002B2CF9AE}" pid="15" name="MSIP_Label_6bd9ddd1-4d20-43f6-abfa-fc3c07406f94_ActionId">
    <vt:lpwstr>be3cf09d-66c6-4ba0-8026-31162a6dd493</vt:lpwstr>
  </property>
  <property fmtid="{D5CDD505-2E9C-101B-9397-08002B2CF9AE}" pid="16" name="MSIP_Label_6bd9ddd1-4d20-43f6-abfa-fc3c07406f94_ContentBits">
    <vt:lpwstr>0</vt:lpwstr>
  </property>
  <property fmtid="{D5CDD505-2E9C-101B-9397-08002B2CF9AE}" pid="17" name="ContentTypeId">
    <vt:lpwstr>0x010100BAD999D84E12C74482EA5120F5227F6F00217DECAAC21D6B43958DFE68658C192E</vt:lpwstr>
  </property>
  <property fmtid="{D5CDD505-2E9C-101B-9397-08002B2CF9AE}" pid="18" name="MediaServiceImageTags">
    <vt:lpwstr/>
  </property>
  <property fmtid="{D5CDD505-2E9C-101B-9397-08002B2CF9AE}" pid="19" name="ClassificationContentMarkingHeaderShapeIds">
    <vt:lpwstr>20238a3b,33d08159,24cbf427,4ef86fca,5453675e,568b7bab</vt:lpwstr>
  </property>
  <property fmtid="{D5CDD505-2E9C-101B-9397-08002B2CF9AE}" pid="20" name="ClassificationContentMarkingHeaderFontProps">
    <vt:lpwstr>#000000,12,Aptos</vt:lpwstr>
  </property>
  <property fmtid="{D5CDD505-2E9C-101B-9397-08002B2CF9AE}" pid="21" name="ClassificationContentMarkingHeaderText">
    <vt:lpwstr>EBA Regular Use</vt:lpwstr>
  </property>
  <property fmtid="{D5CDD505-2E9C-101B-9397-08002B2CF9AE}" pid="22" name="DQCStatus">
    <vt:lpwstr>Green (DQC version 03)</vt:lpwstr>
  </property>
</Properties>
</file>