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047EC8" w:rsidRDefault="00FA5521" w:rsidP="00FA552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CBE1E42-3D6A-407B-8CF8-A10F29378ED4" style="width:455.25pt;height:369.75pt">
            <v:imagedata r:id="rId11" o:title=""/>
          </v:shape>
        </w:pict>
      </w:r>
    </w:p>
    <w:p w:rsidR="00FE7FED" w:rsidRPr="00047EC8" w:rsidRDefault="00FE7FED">
      <w:pPr>
        <w:rPr>
          <w:noProof/>
        </w:rPr>
        <w:sectPr w:rsidR="00FE7FED" w:rsidRPr="00047EC8" w:rsidSect="00FA5521">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047EC8" w:rsidRDefault="00047EC8" w:rsidP="00047EC8">
      <w:pPr>
        <w:pStyle w:val="Typedudocument"/>
        <w:rPr>
          <w:noProof/>
        </w:rPr>
      </w:pPr>
      <w:bookmarkStart w:id="0" w:name="_GoBack"/>
      <w:bookmarkEnd w:id="0"/>
      <w:r w:rsidRPr="00047EC8">
        <w:rPr>
          <w:noProof/>
        </w:rPr>
        <w:lastRenderedPageBreak/>
        <w:t>IZVEDBENA UREDBA KOMISIJE (EU) …/…</w:t>
      </w:r>
    </w:p>
    <w:p w:rsidR="009713B0" w:rsidRPr="00047EC8" w:rsidRDefault="00F47C9B" w:rsidP="00047EC8">
      <w:pPr>
        <w:pStyle w:val="Datedadoption"/>
        <w:rPr>
          <w:noProof/>
        </w:rPr>
      </w:pPr>
      <w:r>
        <w:rPr>
          <w:noProof/>
        </w:rPr>
        <w:t>z dne 1.10.2025</w:t>
      </w:r>
    </w:p>
    <w:p w:rsidR="009713B0" w:rsidRPr="00047EC8" w:rsidRDefault="00047EC8" w:rsidP="00047EC8">
      <w:pPr>
        <w:pStyle w:val="Titreobjet"/>
        <w:rPr>
          <w:noProof/>
        </w:rPr>
      </w:pPr>
      <w:r w:rsidRPr="00047EC8">
        <w:rPr>
          <w:noProof/>
        </w:rPr>
        <w:t>o določitvi izvedbenih tehničnih standardov za uporabo Uredbe (EU) št. 260/2012 Evropskega parlamenta in Sveta v zvezi z enotnimi predlogami za poročanje, navodili in metodologijo za poročanje o ravni nadomestil za kreditne prenose, takojšnje kreditne prenose in plačilne račune ter deležu zavrnjenih transakcij</w:t>
      </w:r>
    </w:p>
    <w:p w:rsidR="009713B0" w:rsidRPr="00047EC8" w:rsidRDefault="009713B0" w:rsidP="009713B0">
      <w:pPr>
        <w:pStyle w:val="Institutionquiagit"/>
        <w:rPr>
          <w:noProof/>
        </w:rPr>
      </w:pPr>
      <w:r w:rsidRPr="00047EC8">
        <w:rPr>
          <w:noProof/>
        </w:rPr>
        <w:t>EVROPSKA KOMISIJA JE –</w:t>
      </w:r>
    </w:p>
    <w:p w:rsidR="009713B0" w:rsidRPr="00047EC8" w:rsidRDefault="009713B0" w:rsidP="009713B0">
      <w:pPr>
        <w:rPr>
          <w:noProof/>
          <w:color w:val="000000"/>
        </w:rPr>
      </w:pPr>
      <w:r w:rsidRPr="00047EC8">
        <w:rPr>
          <w:noProof/>
          <w:color w:val="000000"/>
        </w:rPr>
        <w:t>ob upoštevanju Pogodbe o delovanju Evropske unije,</w:t>
      </w:r>
    </w:p>
    <w:p w:rsidR="009713B0" w:rsidRPr="00047EC8" w:rsidRDefault="009713B0" w:rsidP="009713B0">
      <w:pPr>
        <w:rPr>
          <w:noProof/>
          <w:color w:val="000000"/>
        </w:rPr>
      </w:pPr>
      <w:r w:rsidRPr="00047EC8">
        <w:rPr>
          <w:noProof/>
          <w:color w:val="000000"/>
        </w:rPr>
        <w:t>ob upoštevanju Uredbe (EU) št. 260/2012 Evropskega parlamenta in Sveta z dne 14. marca 2012 o uvajanju tehničnih in poslovnih zahtev za kreditne prenose in direktne bremenitve v eurih in o spremembi Uredbe (ES) št. 924/2009</w:t>
      </w:r>
      <w:r w:rsidRPr="00047EC8">
        <w:rPr>
          <w:rStyle w:val="FootnoteReference"/>
          <w:noProof/>
          <w:color w:val="000000"/>
        </w:rPr>
        <w:footnoteReference w:id="2"/>
      </w:r>
      <w:r w:rsidRPr="00047EC8">
        <w:rPr>
          <w:noProof/>
          <w:color w:val="000000"/>
        </w:rPr>
        <w:t xml:space="preserve"> in zlasti člena 15(5), tretji pododstavek, Uredbe, </w:t>
      </w:r>
    </w:p>
    <w:p w:rsidR="009713B0" w:rsidRPr="00047EC8" w:rsidRDefault="009713B0" w:rsidP="009713B0">
      <w:pPr>
        <w:rPr>
          <w:noProof/>
        </w:rPr>
      </w:pPr>
      <w:r w:rsidRPr="00047EC8">
        <w:rPr>
          <w:noProof/>
        </w:rPr>
        <w:t>ob upoštevanju naslednjega:</w:t>
      </w:r>
    </w:p>
    <w:p w:rsidR="00AC0006" w:rsidRPr="00047EC8" w:rsidRDefault="000B51DA" w:rsidP="000B51DA">
      <w:pPr>
        <w:pStyle w:val="ManualConsidrant"/>
        <w:rPr>
          <w:noProof/>
        </w:rPr>
      </w:pPr>
      <w:r w:rsidRPr="000B51DA">
        <w:rPr>
          <w:noProof/>
        </w:rPr>
        <w:t>(1)</w:t>
      </w:r>
      <w:r w:rsidRPr="000B51DA">
        <w:rPr>
          <w:noProof/>
        </w:rPr>
        <w:tab/>
      </w:r>
      <w:r w:rsidR="00925CEE" w:rsidRPr="00047EC8">
        <w:rPr>
          <w:noProof/>
        </w:rPr>
        <w:t xml:space="preserve">Poročanje o ravni nadomestil v skladu s členom 15(3) Uredbe (EU) št. 260/2012 bi moralo Komisiji omogočiti, da oceni učinek pravila na nadomestila, ki se obračunavajo za takojšnje kreditne prenose, kot je določeno v členu 5b(1) navedene uredbe, na nadomestila za plačilne račune, za nacionalne in čezmejne kreditne prenose ter za takojšnje kreditne prenose v eurih in v nacionalni valuti držav članic, katerih valuta ni euro. Nadomestila, ki jih obračunavajo ponudniki plačilnih storitev za kreditne prenose, vključno s takojšnjimi kreditnimi prenosi, se običajno razlikujejo glede na značilnosti zadevnega kreditnega prenosa. Take značilnosti so lahko, ali je uporabnik plačilnih storitev plačnik ali prejemnik plačila, potrošnik ali ne, ali vrsta kanala za odreditev plačila. Poročanje o poslanih kreditnih prenosih bi zato moralo vključevati razčlenitve po domačih in čezmejnih prenosih, vrstah uporabnikov plačilnih storitev in kanalu za odreditev plačil. </w:t>
      </w:r>
    </w:p>
    <w:p w:rsidR="00F133B9" w:rsidRPr="00047EC8" w:rsidRDefault="000B51DA" w:rsidP="000B51DA">
      <w:pPr>
        <w:pStyle w:val="ManualConsidrant"/>
        <w:rPr>
          <w:noProof/>
        </w:rPr>
      </w:pPr>
      <w:r w:rsidRPr="000B51DA">
        <w:rPr>
          <w:noProof/>
        </w:rPr>
        <w:t>(2)</w:t>
      </w:r>
      <w:r w:rsidRPr="000B51DA">
        <w:rPr>
          <w:noProof/>
        </w:rPr>
        <w:tab/>
      </w:r>
      <w:r w:rsidR="00914C54" w:rsidRPr="00047EC8">
        <w:rPr>
          <w:noProof/>
        </w:rPr>
        <w:t>Ponudniki plačilnih storitev se lahko odločijo, da bodo nadomestila za posamezno transakcijo določili bodisi v nominalnem smislu bodisi kot odstotek vrednosti transakcije. Ponudniki plačilnih storitev se lahko odločijo tudi za alternativne strukture obračunavanja nadomestil, vključno s stopenjskim določanjem cen na podlagi različnih razponov transakcijske vrednosti, ali pristopi, pri katerih se določeno število transakcij na mesec opravi brezplačno, nato pa se zaračunava nadomestilo za transakcijo. Pri tem ni zaželeno, da bi taka raznolikost poslovnih praks povzročila izogibanje namenu pravila o nadomestilih za takojšnje kreditne prenose iz člena 5b(1) Uredbe (EU) št. 260/2012. Metodologija za poročanje informacij o ravni nadomestil za redne in takojšnje kreditne prenose bi morala Komisiji omogočiti, da informacije, ki jih predložijo ponudniki plačilnih storitev, oceni na enoten in primerljiv način na ravni ponudnika plačilnih storitev tekom določenega obdobja in med različnimi ponudniki plačilnih storitev v določenem trenutku, kljub različnim metodam obračunavanja, ki jih uporabljajo ponudniki plačilnih storitev. V poročanje bi zato morale biti vključene informacije o vseh nadomestilih na ravni posameznega ponudnika plačilnih storitev, količini in vrednosti kreditnih prenosov, vključno s takojšnjimi kreditnimi prenosi, v nacionalni valuti. Poročanje o poslanih in prejetih kreditnih prenosih bi moralo vključevati tudi razčlenitev po brezplačnih in plačljivih kreditnih prenosih.</w:t>
      </w:r>
    </w:p>
    <w:p w:rsidR="009713B0" w:rsidRPr="00047EC8" w:rsidRDefault="000B51DA" w:rsidP="000B51DA">
      <w:pPr>
        <w:pStyle w:val="ManualConsidrant"/>
        <w:rPr>
          <w:noProof/>
        </w:rPr>
      </w:pPr>
      <w:r w:rsidRPr="000B51DA">
        <w:rPr>
          <w:noProof/>
        </w:rPr>
        <w:t>(3)</w:t>
      </w:r>
      <w:r w:rsidRPr="000B51DA">
        <w:rPr>
          <w:noProof/>
        </w:rPr>
        <w:tab/>
      </w:r>
      <w:r w:rsidR="004425F3" w:rsidRPr="00047EC8">
        <w:rPr>
          <w:noProof/>
        </w:rPr>
        <w:t>Ponudniki plačilnih storitev bi morali izpolnjevati svojo obveznost poročanja iz člena 15(3) Uredbe (EU) št. 260/2012 na ravni subjekta. Za uskladitev s pristopom poročanja plačilne statistike ECB bi morale podružnice ponudnikov plačilnih storitev, ki se nahajajo v državah članicah, ki niso države članice njihovih matičnih subjektov, svoje podatke predložiti pristojnemu organu države članice gostiteljice, matični subjekti pa bi morali sami poročati pristojnemu organu svoje matične države članice.</w:t>
      </w:r>
    </w:p>
    <w:p w:rsidR="009713B0" w:rsidRPr="00047EC8" w:rsidRDefault="000B51DA" w:rsidP="000B51DA">
      <w:pPr>
        <w:pStyle w:val="ManualConsidrant"/>
        <w:rPr>
          <w:noProof/>
        </w:rPr>
      </w:pPr>
      <w:r w:rsidRPr="000B51DA">
        <w:rPr>
          <w:noProof/>
        </w:rPr>
        <w:t>(4)</w:t>
      </w:r>
      <w:r w:rsidRPr="000B51DA">
        <w:rPr>
          <w:noProof/>
        </w:rPr>
        <w:tab/>
      </w:r>
      <w:r w:rsidR="000D1771" w:rsidRPr="00047EC8">
        <w:rPr>
          <w:noProof/>
        </w:rPr>
        <w:t>Ponudniki plačilnih storitev, ki se nahajajo v državah članicah, katerih valuta ni euro, ki svojim uporabnikom plačilnih storitev ponujajo plačilno storitev prejemanja in pošiljanja rednih kreditnih prenosov v eurih, morajo svojim uporabnikom plačilnih storitev do 9. januarja 2027 ponuditi plačilno storitev prejemanja takojšnjih kreditnih prenosov v eurih, plačilno storitev pošiljanja takojšnjih kreditnih prenosov v eurih pa do 9. julija 2027, kot je določeno v členu 5a(8) Uredbe (EU) št. 260/2012. Ti ponudniki plačilnih storitev bi morali tudi izpolnjevati obveznosti glede nadomestil, ki jih obračunavajo plačnikom in prejemnikom plačila za pošiljanje in prejemanje takojšnjih kreditnih prenosov v eurih do 9. januarja 2027, v skladu s členom 5b(3), drugi pododstavek, navedene uredbe. Da bi Komisija lahko ocenila učinek Uredbe (EU) št. 260/2012 na raven nadomestil za kreditne prenose, vključno s takojšnjimi kreditnimi prenosi, denominirane v nacionalni valuti držav članic, katerih valuta ni euro, v skladu s členom 15(2), točka (a), navedene uredbe, je primerno, da ponudniki plačilnih storitev, ki se nahajajo v teh državah članicah in svojim uporabnikom plačilnih storitev ponujajo plačilne storitve prejemanja in pošiljanja rednih kreditnih prenosov v eurih, poročajo število in vrednost kreditnih prenosov, vključno s takojšnjimi kreditnimi prenosi, denominiranih v njihovi nacionalni valuti in eurih, ter nadomestila, ki jih obračunavajo zanje.</w:t>
      </w:r>
    </w:p>
    <w:p w:rsidR="009713B0" w:rsidRPr="00047EC8" w:rsidRDefault="000B51DA" w:rsidP="000B51DA">
      <w:pPr>
        <w:pStyle w:val="ManualConsidrant"/>
        <w:rPr>
          <w:noProof/>
        </w:rPr>
      </w:pPr>
      <w:r w:rsidRPr="000B51DA">
        <w:rPr>
          <w:noProof/>
        </w:rPr>
        <w:t>(5)</w:t>
      </w:r>
      <w:r w:rsidRPr="000B51DA">
        <w:rPr>
          <w:noProof/>
        </w:rPr>
        <w:tab/>
      </w:r>
      <w:r w:rsidR="009713B0" w:rsidRPr="00047EC8">
        <w:rPr>
          <w:noProof/>
        </w:rPr>
        <w:t>Za namene poročanja v skladu s členom 15(3) Uredbe (EU) št. 260/2012 bi morali ponudniki plačilnih storitev svojim pristojnim organom predložiti podatke o skupnem številu plačilnih računov in vseh zbranih nadomestilih za plačilne račune skupaj. Da bi Komisija lahko ocenila, ali obstaja povezava med morebitnimi spremembami nadomestil za plačilne račune in spremembami nadomestil za kreditne prenose in takojšnje kreditne prenose, bi moralo poročanje vključevati razčlenitve za pristojbine za vodenje računov.</w:t>
      </w:r>
    </w:p>
    <w:p w:rsidR="009713B0" w:rsidRPr="00047EC8" w:rsidRDefault="000B51DA" w:rsidP="000B51DA">
      <w:pPr>
        <w:pStyle w:val="ManualConsidrant"/>
        <w:rPr>
          <w:noProof/>
        </w:rPr>
      </w:pPr>
      <w:r w:rsidRPr="000B51DA">
        <w:rPr>
          <w:noProof/>
        </w:rPr>
        <w:t>(6)</w:t>
      </w:r>
      <w:r w:rsidRPr="000B51DA">
        <w:rPr>
          <w:noProof/>
        </w:rPr>
        <w:tab/>
      </w:r>
      <w:r w:rsidR="00136075" w:rsidRPr="00047EC8">
        <w:rPr>
          <w:noProof/>
        </w:rPr>
        <w:t>Da bi Komisija lahko ocenila delež zavrnjenih takojšnjih kreditnih prenosov zaradi uporabe ciljno usmerjenih finančnih omejevalnih ukrepov, sprejetih v skladu s členom 215 Pogodbe o delovanju Evropske unije, in ocenila, ali se je ta delež spremenil po začetku uporabe sprememb Uredbe (EU) št. 260/2012, uvedenih z Uredbo (EU) 2024/886 Evropskega parlamenta in Sveta</w:t>
      </w:r>
      <w:r w:rsidR="00136075" w:rsidRPr="00047EC8">
        <w:rPr>
          <w:rStyle w:val="FootnoteReference"/>
          <w:noProof/>
        </w:rPr>
        <w:footnoteReference w:id="3"/>
      </w:r>
      <w:r w:rsidR="00136075" w:rsidRPr="00047EC8">
        <w:rPr>
          <w:noProof/>
        </w:rPr>
        <w:t xml:space="preserve">, bi morali ponudniki plačilnih storitev svojim pristojnim organom predložiti podatke o tem deležu v danem letu, vključno s številom primerov, ko takojšnji kreditni prenosi niso bili izvršeni ali so bila sredstva zamrznjena na strani ponudnika plačilnih storitev plačnika ali prejemnika plačila. </w:t>
      </w:r>
    </w:p>
    <w:p w:rsidR="0039723A" w:rsidRPr="00047EC8" w:rsidRDefault="000B51DA" w:rsidP="000B51DA">
      <w:pPr>
        <w:pStyle w:val="ManualConsidrant"/>
        <w:rPr>
          <w:noProof/>
        </w:rPr>
      </w:pPr>
      <w:r w:rsidRPr="000B51DA">
        <w:rPr>
          <w:noProof/>
        </w:rPr>
        <w:t>(7)</w:t>
      </w:r>
      <w:r w:rsidRPr="000B51DA">
        <w:rPr>
          <w:noProof/>
        </w:rPr>
        <w:tab/>
      </w:r>
      <w:r w:rsidR="00B17DF1" w:rsidRPr="00047EC8">
        <w:rPr>
          <w:noProof/>
        </w:rPr>
        <w:t>Za uskladitev poročanja bi morali ponudniki plačilnih storitev uporabljati model podatkovnih točk in formule za validacijo, ki so na voljo na spletišču Evropskega bančnega organa (EBA). Poleg tega bi morali imeti pristojni organi za zmanjšanje bremena poročanja in preprečitev podvajanja možnost, da ponudnikom plačilnih storitev, ki se nahajajo v njihovi jurisdikciji, dovolijo, da poročanje omejijo na tiste podatkovne točke, ki prej niso bile predložene.</w:t>
      </w:r>
    </w:p>
    <w:p w:rsidR="009713B0" w:rsidRPr="00047EC8" w:rsidRDefault="000B51DA" w:rsidP="000B51DA">
      <w:pPr>
        <w:pStyle w:val="ManualConsidrant"/>
        <w:rPr>
          <w:noProof/>
        </w:rPr>
      </w:pPr>
      <w:r w:rsidRPr="000B51DA">
        <w:rPr>
          <w:noProof/>
        </w:rPr>
        <w:t>(8)</w:t>
      </w:r>
      <w:r w:rsidRPr="000B51DA">
        <w:rPr>
          <w:noProof/>
        </w:rPr>
        <w:tab/>
      </w:r>
      <w:r w:rsidR="009713B0" w:rsidRPr="00047EC8">
        <w:rPr>
          <w:noProof/>
        </w:rPr>
        <w:t>Ta uredba temelji na osnutku izvedbenih tehničnih standardov, ki ga je EBA predložil Komisiji.</w:t>
      </w:r>
    </w:p>
    <w:p w:rsidR="009713B0" w:rsidRPr="00047EC8" w:rsidRDefault="000B51DA" w:rsidP="000B51DA">
      <w:pPr>
        <w:pStyle w:val="ManualConsidrant"/>
        <w:rPr>
          <w:noProof/>
        </w:rPr>
      </w:pPr>
      <w:r w:rsidRPr="000B51DA">
        <w:rPr>
          <w:noProof/>
        </w:rPr>
        <w:t>(9)</w:t>
      </w:r>
      <w:r w:rsidRPr="000B51DA">
        <w:rPr>
          <w:noProof/>
        </w:rPr>
        <w:tab/>
      </w:r>
      <w:r w:rsidR="009713B0" w:rsidRPr="00047EC8">
        <w:rPr>
          <w:noProof/>
        </w:rPr>
        <w:t>EBA je opravil odprta javna posvetovanja o osnutku izvedbenih tehničnih standardov, na katerem temelji ta uredba, analiziral potencialne povezane stroške in koristi ter prosil za nasvet interesno skupino za bančništvo, ustanovljeno v skladu s členom 37 Uredbe (EU) št. 1093/2010 Evropskega parlamenta in Sveta</w:t>
      </w:r>
      <w:r w:rsidR="009713B0" w:rsidRPr="00047EC8">
        <w:rPr>
          <w:rStyle w:val="FootnoteReference"/>
          <w:noProof/>
        </w:rPr>
        <w:footnoteReference w:id="4"/>
      </w:r>
      <w:r w:rsidR="009713B0" w:rsidRPr="00047EC8">
        <w:rPr>
          <w:noProof/>
        </w:rPr>
        <w:t> –</w:t>
      </w:r>
    </w:p>
    <w:p w:rsidR="009713B0" w:rsidRPr="00047EC8" w:rsidRDefault="009713B0" w:rsidP="009713B0">
      <w:pPr>
        <w:pStyle w:val="Formuledadoption"/>
        <w:rPr>
          <w:noProof/>
        </w:rPr>
      </w:pPr>
      <w:r w:rsidRPr="00047EC8">
        <w:rPr>
          <w:noProof/>
        </w:rPr>
        <w:t>SPREJELA NASLEDNJO UREDBO:</w:t>
      </w:r>
    </w:p>
    <w:p w:rsidR="009713B0" w:rsidRPr="00047EC8" w:rsidRDefault="009713B0" w:rsidP="009713B0">
      <w:pPr>
        <w:pStyle w:val="Titrearticle"/>
        <w:rPr>
          <w:noProof/>
        </w:rPr>
      </w:pPr>
      <w:r w:rsidRPr="00047EC8">
        <w:rPr>
          <w:noProof/>
        </w:rPr>
        <w:t>Člen 1</w:t>
      </w:r>
    </w:p>
    <w:p w:rsidR="009713B0" w:rsidRPr="00047EC8" w:rsidRDefault="009713B0" w:rsidP="009713B0">
      <w:pPr>
        <w:jc w:val="center"/>
        <w:rPr>
          <w:b/>
          <w:bCs/>
          <w:noProof/>
        </w:rPr>
      </w:pPr>
      <w:r w:rsidRPr="00047EC8">
        <w:rPr>
          <w:b/>
          <w:noProof/>
        </w:rPr>
        <w:t>Poročanje o ravni nadomestil</w:t>
      </w:r>
    </w:p>
    <w:p w:rsidR="009713B0" w:rsidRPr="00047EC8" w:rsidRDefault="009713B0" w:rsidP="009713B0">
      <w:pPr>
        <w:pStyle w:val="Point0"/>
        <w:rPr>
          <w:noProof/>
        </w:rPr>
      </w:pPr>
      <w:r w:rsidRPr="00047EC8">
        <w:rPr>
          <w:noProof/>
        </w:rPr>
        <w:t>1.</w:t>
      </w:r>
      <w:r w:rsidRPr="00047EC8">
        <w:rPr>
          <w:noProof/>
        </w:rPr>
        <w:tab/>
        <w:t>Ponudniki plačilnih storitev poročajo o ravni nadomestil za kreditne prenose, takojšnje kreditne prenose in plačilne račune tako, da predložijo informacije v predlogah 1.1, 1.2, 2.1, 2.2 in 3 iz Priloge I ter v skladu z navodili iz Priloge II.</w:t>
      </w:r>
    </w:p>
    <w:p w:rsidR="009713B0" w:rsidRPr="00047EC8" w:rsidRDefault="009713B0" w:rsidP="009713B0">
      <w:pPr>
        <w:pStyle w:val="Point0"/>
        <w:rPr>
          <w:noProof/>
        </w:rPr>
      </w:pPr>
      <w:r w:rsidRPr="00047EC8">
        <w:rPr>
          <w:noProof/>
        </w:rPr>
        <w:t>2.</w:t>
      </w:r>
      <w:r w:rsidRPr="00047EC8">
        <w:rPr>
          <w:noProof/>
        </w:rPr>
        <w:tab/>
        <w:t>Ponudniki plačilnih storitev poročajo zbrane letne podatke do 31. decembra koledarskega leta pred letom, v katerem se predloži poročilo.</w:t>
      </w:r>
    </w:p>
    <w:p w:rsidR="009713B0" w:rsidRPr="00047EC8" w:rsidRDefault="009713B0" w:rsidP="009713B0">
      <w:pPr>
        <w:pStyle w:val="Point0"/>
        <w:rPr>
          <w:noProof/>
        </w:rPr>
      </w:pPr>
      <w:r w:rsidRPr="00047EC8">
        <w:rPr>
          <w:noProof/>
        </w:rPr>
        <w:t>3.</w:t>
      </w:r>
      <w:r w:rsidRPr="00047EC8">
        <w:rPr>
          <w:noProof/>
        </w:rPr>
        <w:tab/>
        <w:t>Z odstopanjem od odstavka 2 prvo harmonizirano poročilo vsebuje zbrane podatke za vsako leto pred letom predložitve poročila, začenši z obdobjem od 26. oktobra 2022 do 31. decembra 2022 za leto 2022.</w:t>
      </w:r>
    </w:p>
    <w:p w:rsidR="009713B0" w:rsidRPr="00047EC8" w:rsidRDefault="009713B0" w:rsidP="009713B0">
      <w:pPr>
        <w:pStyle w:val="Titrearticle"/>
        <w:rPr>
          <w:noProof/>
        </w:rPr>
      </w:pPr>
      <w:r w:rsidRPr="00047EC8">
        <w:rPr>
          <w:noProof/>
        </w:rPr>
        <w:t>Člen 2</w:t>
      </w:r>
    </w:p>
    <w:p w:rsidR="009713B0" w:rsidRPr="00047EC8" w:rsidRDefault="009713B0" w:rsidP="009713B0">
      <w:pPr>
        <w:jc w:val="center"/>
        <w:rPr>
          <w:b/>
          <w:bCs/>
          <w:noProof/>
        </w:rPr>
      </w:pPr>
      <w:r w:rsidRPr="00047EC8">
        <w:rPr>
          <w:b/>
          <w:noProof/>
        </w:rPr>
        <w:t>Poročanje o deležu zavrnjenih transakcij takojšnjega kreditnega prenosa in referenčna obdobja</w:t>
      </w:r>
    </w:p>
    <w:p w:rsidR="009713B0" w:rsidRPr="00047EC8" w:rsidRDefault="009713B0" w:rsidP="009713B0">
      <w:pPr>
        <w:pStyle w:val="Point0"/>
        <w:rPr>
          <w:noProof/>
        </w:rPr>
      </w:pPr>
      <w:r w:rsidRPr="00047EC8">
        <w:rPr>
          <w:noProof/>
        </w:rPr>
        <w:t>1.</w:t>
      </w:r>
      <w:r w:rsidRPr="00047EC8">
        <w:rPr>
          <w:noProof/>
        </w:rPr>
        <w:tab/>
        <w:t>Ponudniki plačilnih storitev poročajo o deležu transakcij takojšnjega kreditnega prenosa, ki so bile zavrnjene zaradi uporabe ciljno usmerjenih finančnih omejevalnih ukrepov iz člena 15(3) Uredbe (EU) št. 260/2012, vključno z ločenimi podatki za nacionalne in čezmejne transakcije, tako, da predložijo informacije v predlogi 4 iz Priloge I in v skladu z navodili iz Priloge II.</w:t>
      </w:r>
    </w:p>
    <w:p w:rsidR="009713B0" w:rsidRPr="00047EC8" w:rsidRDefault="009713B0" w:rsidP="009713B0">
      <w:pPr>
        <w:pStyle w:val="Point0"/>
        <w:rPr>
          <w:noProof/>
        </w:rPr>
      </w:pPr>
      <w:r w:rsidRPr="00047EC8">
        <w:rPr>
          <w:noProof/>
        </w:rPr>
        <w:t>2.</w:t>
      </w:r>
      <w:r w:rsidRPr="00047EC8">
        <w:rPr>
          <w:noProof/>
        </w:rPr>
        <w:tab/>
        <w:t>Poročila vključujejo število zavrnitev za koledarsko leto pred letom, v katerem se predloži poročilo.</w:t>
      </w:r>
    </w:p>
    <w:p w:rsidR="00AD7B15" w:rsidRPr="00047EC8" w:rsidRDefault="009713B0" w:rsidP="009713B0">
      <w:pPr>
        <w:pStyle w:val="Point0"/>
        <w:rPr>
          <w:noProof/>
        </w:rPr>
      </w:pPr>
      <w:r w:rsidRPr="00047EC8">
        <w:rPr>
          <w:noProof/>
        </w:rPr>
        <w:t>3.</w:t>
      </w:r>
      <w:r w:rsidRPr="00047EC8">
        <w:rPr>
          <w:noProof/>
        </w:rPr>
        <w:tab/>
        <w:t>Z odstopanjem od odstavka 2 prvo harmonizirano poročilo vsebuje izpolnjene predloge s številom zavrnitev za vsako leto pred letom predložitve poročila, začenši z obdobjem od 26. oktobra 2022 do 31. decembra 2022 za leto 2022.</w:t>
      </w:r>
    </w:p>
    <w:p w:rsidR="00AD7B15" w:rsidRPr="00047EC8" w:rsidRDefault="00AD7B15">
      <w:pPr>
        <w:spacing w:before="0" w:after="200" w:line="276" w:lineRule="auto"/>
        <w:jc w:val="left"/>
        <w:rPr>
          <w:noProof/>
        </w:rPr>
      </w:pPr>
      <w:r w:rsidRPr="00047EC8">
        <w:rPr>
          <w:noProof/>
        </w:rPr>
        <w:br w:type="page"/>
      </w:r>
    </w:p>
    <w:p w:rsidR="009713B0" w:rsidRPr="00047EC8" w:rsidRDefault="009713B0" w:rsidP="009713B0">
      <w:pPr>
        <w:pStyle w:val="Titrearticle"/>
        <w:rPr>
          <w:noProof/>
        </w:rPr>
      </w:pPr>
      <w:r w:rsidRPr="00047EC8">
        <w:rPr>
          <w:noProof/>
        </w:rPr>
        <w:t>Člen 3</w:t>
      </w:r>
    </w:p>
    <w:p w:rsidR="009713B0" w:rsidRPr="00047EC8" w:rsidRDefault="009713B0" w:rsidP="009713B0">
      <w:pPr>
        <w:jc w:val="center"/>
        <w:rPr>
          <w:b/>
          <w:bCs/>
          <w:noProof/>
        </w:rPr>
      </w:pPr>
      <w:r w:rsidRPr="00047EC8">
        <w:rPr>
          <w:b/>
          <w:noProof/>
        </w:rPr>
        <w:t>Oblike izmenjave podatkov in informacije, ki se priložijo predloženim podatkom</w:t>
      </w:r>
    </w:p>
    <w:p w:rsidR="009713B0" w:rsidRPr="00047EC8" w:rsidRDefault="009713B0" w:rsidP="009713B0">
      <w:pPr>
        <w:rPr>
          <w:noProof/>
        </w:rPr>
      </w:pPr>
      <w:r w:rsidRPr="00047EC8">
        <w:rPr>
          <w:noProof/>
        </w:rPr>
        <w:t>Ponudniki plačilnih storitev predložijo informacije iz členov 1 in 2 te uredbe v obliki izmenjave podatkov in v prikazih, kot jih določijo njihovo pristojni organi, ter upoštevajo opredelitev podatkovne točke iz modela podatkovnih točk in formule za validacijo, ki so na voljo na spletni strani EBA. Ponudniki plačilnih storitev izpolnjujejo naslednje specifikacije:</w:t>
      </w:r>
    </w:p>
    <w:p w:rsidR="009713B0" w:rsidRPr="00047EC8" w:rsidRDefault="000B51DA" w:rsidP="000B51DA">
      <w:pPr>
        <w:pStyle w:val="Point0"/>
        <w:rPr>
          <w:noProof/>
        </w:rPr>
      </w:pPr>
      <w:r w:rsidRPr="000B51DA">
        <w:rPr>
          <w:noProof/>
        </w:rPr>
        <w:t>(a)</w:t>
      </w:r>
      <w:r w:rsidRPr="000B51DA">
        <w:rPr>
          <w:noProof/>
        </w:rPr>
        <w:tab/>
      </w:r>
      <w:r w:rsidR="009713B0" w:rsidRPr="00047EC8">
        <w:rPr>
          <w:noProof/>
        </w:rPr>
        <w:t>informacije, ki niso zahtevane ali relevantne, se ne vključijo v predložene podatke;</w:t>
      </w:r>
    </w:p>
    <w:p w:rsidR="009713B0" w:rsidRPr="00047EC8" w:rsidRDefault="000B51DA" w:rsidP="000B51DA">
      <w:pPr>
        <w:pStyle w:val="Point0"/>
        <w:rPr>
          <w:noProof/>
        </w:rPr>
      </w:pPr>
      <w:r w:rsidRPr="000B51DA">
        <w:rPr>
          <w:noProof/>
        </w:rPr>
        <w:t>(b)</w:t>
      </w:r>
      <w:r w:rsidRPr="000B51DA">
        <w:rPr>
          <w:noProof/>
        </w:rPr>
        <w:tab/>
      </w:r>
      <w:r w:rsidR="009713B0" w:rsidRPr="00047EC8">
        <w:rPr>
          <w:noProof/>
        </w:rPr>
        <w:t>numerične vrednosti se predložijo, kot sledi:</w:t>
      </w:r>
    </w:p>
    <w:p w:rsidR="009713B0" w:rsidRPr="00047EC8" w:rsidRDefault="0055071E" w:rsidP="009713B0">
      <w:pPr>
        <w:pStyle w:val="Point1"/>
        <w:rPr>
          <w:noProof/>
        </w:rPr>
      </w:pPr>
      <w:r w:rsidRPr="00047EC8">
        <w:rPr>
          <w:noProof/>
        </w:rPr>
        <w:t>(i)</w:t>
      </w:r>
      <w:r w:rsidRPr="00047EC8">
        <w:rPr>
          <w:noProof/>
        </w:rPr>
        <w:tab/>
        <w:t>ponudniki plačilnih storitev poročajo podatkovne točke podatkov vrste „monetarno“ z najmanjšim ekvivalentom natančnosti na tisoč enot;</w:t>
      </w:r>
    </w:p>
    <w:p w:rsidR="009713B0" w:rsidRPr="00047EC8" w:rsidRDefault="0055071E" w:rsidP="009713B0">
      <w:pPr>
        <w:pStyle w:val="Point1"/>
        <w:rPr>
          <w:noProof/>
        </w:rPr>
      </w:pPr>
      <w:r w:rsidRPr="00047EC8">
        <w:rPr>
          <w:noProof/>
        </w:rPr>
        <w:t>(ii)</w:t>
      </w:r>
      <w:r w:rsidRPr="00047EC8">
        <w:rPr>
          <w:noProof/>
        </w:rPr>
        <w:tab/>
        <w:t>ponudniki plačilnih storitev pri poročanju podatkovnih točk podatkov vrste „celo število“ ne uporabljajo decimalnih mest in uporabljajo ekvivalent natančnosti na enoto.</w:t>
      </w:r>
    </w:p>
    <w:p w:rsidR="009713B0" w:rsidRPr="00047EC8" w:rsidRDefault="009713B0" w:rsidP="009713B0">
      <w:pPr>
        <w:pStyle w:val="Titrearticle"/>
        <w:rPr>
          <w:noProof/>
        </w:rPr>
      </w:pPr>
      <w:r w:rsidRPr="00047EC8">
        <w:rPr>
          <w:noProof/>
        </w:rPr>
        <w:t>Člen 4</w:t>
      </w:r>
    </w:p>
    <w:p w:rsidR="009713B0" w:rsidRPr="00047EC8" w:rsidRDefault="009713B0" w:rsidP="009713B0">
      <w:pPr>
        <w:jc w:val="center"/>
        <w:rPr>
          <w:noProof/>
        </w:rPr>
      </w:pPr>
      <w:r w:rsidRPr="00047EC8">
        <w:rPr>
          <w:b/>
          <w:noProof/>
        </w:rPr>
        <w:t>Začetek veljavnosti</w:t>
      </w:r>
    </w:p>
    <w:p w:rsidR="009713B0" w:rsidRPr="00047EC8" w:rsidRDefault="009713B0" w:rsidP="009713B0">
      <w:pPr>
        <w:rPr>
          <w:noProof/>
        </w:rPr>
      </w:pPr>
      <w:r w:rsidRPr="00047EC8">
        <w:rPr>
          <w:noProof/>
        </w:rPr>
        <w:t xml:space="preserve">Ta uredba začne veljati dvajseti dan po objavi v </w:t>
      </w:r>
      <w:r w:rsidRPr="00047EC8">
        <w:rPr>
          <w:i/>
          <w:noProof/>
        </w:rPr>
        <w:t>Uradnem listu Evropske unije</w:t>
      </w:r>
      <w:r w:rsidRPr="00047EC8">
        <w:rPr>
          <w:noProof/>
        </w:rPr>
        <w:t>.</w:t>
      </w:r>
    </w:p>
    <w:p w:rsidR="009713B0" w:rsidRPr="00047EC8" w:rsidRDefault="009713B0" w:rsidP="009713B0">
      <w:pPr>
        <w:pStyle w:val="Applicationdirecte"/>
        <w:rPr>
          <w:noProof/>
        </w:rPr>
      </w:pPr>
      <w:r w:rsidRPr="00047EC8">
        <w:rPr>
          <w:noProof/>
        </w:rPr>
        <w:t>Ta uredba je v celoti zavezujoča in se neposredno uporablja v vseh državah članicah.</w:t>
      </w:r>
    </w:p>
    <w:p w:rsidR="009713B0" w:rsidRPr="00047EC8" w:rsidRDefault="00F47C9B" w:rsidP="000E6BBA">
      <w:pPr>
        <w:pStyle w:val="Fait"/>
        <w:rPr>
          <w:noProof/>
        </w:rPr>
      </w:pPr>
      <w:r>
        <w:rPr>
          <w:noProof/>
        </w:rPr>
        <w:t>V Bruslju, 1.10.2025</w:t>
      </w:r>
    </w:p>
    <w:p w:rsidR="009713B0" w:rsidRPr="00047EC8" w:rsidRDefault="009713B0" w:rsidP="000E6BBA">
      <w:pPr>
        <w:pStyle w:val="Institutionquisigne"/>
        <w:rPr>
          <w:noProof/>
        </w:rPr>
      </w:pPr>
      <w:r w:rsidRPr="00047EC8">
        <w:rPr>
          <w:noProof/>
        </w:rPr>
        <w:tab/>
        <w:t>Za Komisijo</w:t>
      </w:r>
    </w:p>
    <w:p w:rsidR="00FE7FED" w:rsidRPr="00047EC8" w:rsidRDefault="00E27E8C" w:rsidP="009713B0">
      <w:pPr>
        <w:pStyle w:val="Personnequisigne"/>
        <w:rPr>
          <w:noProof/>
        </w:rPr>
      </w:pPr>
      <w:r>
        <w:rPr>
          <w:noProof/>
        </w:rPr>
        <w:tab/>
        <w:t>Predsednica</w:t>
      </w:r>
      <w:r>
        <w:rPr>
          <w:noProof/>
        </w:rPr>
        <w:br/>
      </w:r>
      <w:r>
        <w:rPr>
          <w:noProof/>
        </w:rPr>
        <w:tab/>
        <w:t>Ursula VON DER LEYEN</w:t>
      </w:r>
    </w:p>
    <w:sectPr w:rsidR="00FE7FED" w:rsidRPr="00047EC8" w:rsidSect="00FA552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Pr="00FA5521" w:rsidRDefault="00FA5521" w:rsidP="00FA5521">
    <w:pPr>
      <w:pStyle w:val="Footer"/>
      <w:rPr>
        <w:rFonts w:ascii="Arial" w:hAnsi="Arial" w:cs="Arial"/>
        <w:b/>
        <w:sz w:val="48"/>
      </w:rPr>
    </w:pPr>
    <w:r w:rsidRPr="00FA5521">
      <w:rPr>
        <w:rFonts w:ascii="Arial" w:hAnsi="Arial" w:cs="Arial"/>
        <w:b/>
        <w:sz w:val="48"/>
      </w:rPr>
      <w:t>SL</w:t>
    </w:r>
    <w:r w:rsidRPr="00FA5521">
      <w:rPr>
        <w:rFonts w:ascii="Arial" w:hAnsi="Arial" w:cs="Arial"/>
        <w:b/>
        <w:sz w:val="48"/>
      </w:rPr>
      <w:tab/>
    </w:r>
    <w:r w:rsidRPr="00FA5521">
      <w:rPr>
        <w:rFonts w:ascii="Arial" w:hAnsi="Arial" w:cs="Arial"/>
        <w:b/>
        <w:sz w:val="48"/>
      </w:rPr>
      <w:tab/>
    </w:r>
    <w:r w:rsidRPr="00FA5521">
      <w:tab/>
    </w:r>
    <w:r w:rsidRPr="00FA5521">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Pr="00FA5521" w:rsidRDefault="00FA5521" w:rsidP="00FA5521">
    <w:pPr>
      <w:pStyle w:val="Footer"/>
      <w:rPr>
        <w:rFonts w:ascii="Arial" w:hAnsi="Arial" w:cs="Arial"/>
        <w:b/>
        <w:sz w:val="48"/>
      </w:rPr>
    </w:pPr>
    <w:r w:rsidRPr="00FA5521">
      <w:rPr>
        <w:rFonts w:ascii="Arial" w:hAnsi="Arial" w:cs="Arial"/>
        <w:b/>
        <w:sz w:val="48"/>
      </w:rPr>
      <w:t>SL</w:t>
    </w:r>
    <w:r w:rsidRPr="00FA5521">
      <w:rPr>
        <w:rFonts w:ascii="Arial" w:hAnsi="Arial" w:cs="Arial"/>
        <w:b/>
        <w:sz w:val="48"/>
      </w:rPr>
      <w:tab/>
    </w:r>
    <w:r w:rsidRPr="00FA5521">
      <w:rPr>
        <w:rFonts w:ascii="Arial" w:hAnsi="Arial" w:cs="Arial"/>
        <w:b/>
        <w:sz w:val="48"/>
      </w:rPr>
      <w:tab/>
    </w:r>
    <w:r w:rsidRPr="00FA5521">
      <w:tab/>
    </w:r>
    <w:r w:rsidRPr="00FA5521">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Default="00FA552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Pr="00FA5521" w:rsidRDefault="00FA5521" w:rsidP="00FA5521">
    <w:pPr>
      <w:pStyle w:val="Footer"/>
      <w:rPr>
        <w:rFonts w:ascii="Arial" w:hAnsi="Arial" w:cs="Arial"/>
        <w:b/>
        <w:sz w:val="48"/>
      </w:rPr>
    </w:pPr>
    <w:r w:rsidRPr="00FA5521">
      <w:rPr>
        <w:rFonts w:ascii="Arial" w:hAnsi="Arial" w:cs="Arial"/>
        <w:b/>
        <w:sz w:val="48"/>
      </w:rPr>
      <w:t>SL</w:t>
    </w:r>
    <w:r w:rsidRPr="00FA5521">
      <w:rPr>
        <w:rFonts w:ascii="Arial" w:hAnsi="Arial" w:cs="Arial"/>
        <w:b/>
        <w:sz w:val="48"/>
      </w:rPr>
      <w:tab/>
    </w:r>
    <w:r>
      <w:fldChar w:fldCharType="begin"/>
    </w:r>
    <w:r>
      <w:instrText xml:space="preserve"> PAGE  \* MERGEFORMAT </w:instrText>
    </w:r>
    <w:r>
      <w:fldChar w:fldCharType="separate"/>
    </w:r>
    <w:r w:rsidR="000E6BBA">
      <w:rPr>
        <w:noProof/>
      </w:rPr>
      <w:t>4</w:t>
    </w:r>
    <w:r>
      <w:fldChar w:fldCharType="end"/>
    </w:r>
    <w:r>
      <w:tab/>
    </w:r>
    <w:r w:rsidRPr="00FA5521">
      <w:tab/>
    </w:r>
    <w:r w:rsidRPr="00FA5521">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Default="00FA5521" w:rsidP="00FA5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UL L 94, 30.3.2012, str. 22, ELI: http://data.europa.eu/eli/reg/2012/260/oj. </w:t>
      </w:r>
    </w:p>
  </w:footnote>
  <w:footnote w:id="3">
    <w:p w:rsidR="00AD7B15" w:rsidRPr="00AD7B15" w:rsidRDefault="00AD7B15" w:rsidP="00D05942">
      <w:pPr>
        <w:pStyle w:val="FootnoteText"/>
        <w:ind w:left="0" w:firstLine="0"/>
      </w:pPr>
      <w:r>
        <w:rPr>
          <w:rStyle w:val="FootnoteReference"/>
        </w:rPr>
        <w:footnoteRef/>
      </w:r>
      <w:r>
        <w:tab/>
        <w:t>Uredba (EU) 2024/886 Evropskega parlamenta in Sveta z dne 13. marca 2024 o spremembi uredb (EU) št. 260/2012 in (EU) 2021/1230 ter direktiv 98/26/ES in (EU) 2015/2366 glede takojšnjih kreditnih prenosov v eurih (UL L, 2024/886, 19.3.2024,ELI: http://data.europa.eu/eli/reg/2024/886/oj).</w:t>
      </w:r>
    </w:p>
  </w:footnote>
  <w:footnote w:id="4">
    <w:p w:rsidR="009713B0" w:rsidRPr="00AD7B15" w:rsidRDefault="009713B0" w:rsidP="009713B0">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Default="00FA55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521" w:rsidRDefault="00FA55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2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CBE1E42-3D6A-407B-8CF8-A10F29378ED4"/>
    <w:docVar w:name="LW_COVERPAGE_TYPE" w:val="1"/>
    <w:docVar w:name="LW_CreatedUtc" w:val="2025-02-25T08:25:43.0388982Z"/>
    <w:docVar w:name="LW_CROSSREFERENCE" w:val="&lt;UNUSED&gt;"/>
    <w:docVar w:name="LW_DATE.ADOPT.CP" w:val="z dne 1.10.2025"/>
    <w:docVar w:name="LW_DATE.ADOPT.CP_DATEFORMAT" w:val="z dne %DATE%"/>
    <w:docVar w:name="LW_DATE.ADOPT.CP_ISODATE" w:val="2025-10-01"/>
    <w:docVar w:name="LW_DocType" w:val="COM"/>
    <w:docVar w:name="LW_EMISSION" w:val="1.10.2025"/>
    <w:docVar w:name="LW_EMISSION_ISODATE" w:val="2025-10-01"/>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lt;UNUSED&gt;"/>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u353?t. 260/2012 Evropskega parlamenta in Sveta v zvezi z enotnimi predlogami za poro\u269?anje, navodili in metodologijo za poro\u269?anje o ravni nadomestil za kreditne prenose, takoj\u353?nje kreditne prenose in pla\u269?ilne ra\u269?une ter dele\u382?u zavrnjenih transakcij"/>
    <w:docVar w:name="LW_TYPE.DOC.CP" w:val="IZVEDBENA UREDBA KOMISIJE (EU) \u8230?/\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47EC8"/>
    <w:rsid w:val="000504E3"/>
    <w:rsid w:val="0006406A"/>
    <w:rsid w:val="000642D0"/>
    <w:rsid w:val="00072E61"/>
    <w:rsid w:val="000744DD"/>
    <w:rsid w:val="00075170"/>
    <w:rsid w:val="000758A1"/>
    <w:rsid w:val="000768B7"/>
    <w:rsid w:val="0008161A"/>
    <w:rsid w:val="0008224E"/>
    <w:rsid w:val="000847C4"/>
    <w:rsid w:val="0009547D"/>
    <w:rsid w:val="00096BAD"/>
    <w:rsid w:val="000A4172"/>
    <w:rsid w:val="000A41FC"/>
    <w:rsid w:val="000A4298"/>
    <w:rsid w:val="000A454E"/>
    <w:rsid w:val="000B2C1B"/>
    <w:rsid w:val="000B51DA"/>
    <w:rsid w:val="000B7C50"/>
    <w:rsid w:val="000C0B38"/>
    <w:rsid w:val="000C387D"/>
    <w:rsid w:val="000C449F"/>
    <w:rsid w:val="000C4F0E"/>
    <w:rsid w:val="000D043A"/>
    <w:rsid w:val="000D0942"/>
    <w:rsid w:val="000D1771"/>
    <w:rsid w:val="000D391D"/>
    <w:rsid w:val="000D5A8B"/>
    <w:rsid w:val="000D6822"/>
    <w:rsid w:val="000E08FA"/>
    <w:rsid w:val="000E15A7"/>
    <w:rsid w:val="000E50E2"/>
    <w:rsid w:val="000E6BBA"/>
    <w:rsid w:val="000E7CB2"/>
    <w:rsid w:val="000F0AA0"/>
    <w:rsid w:val="000F26D8"/>
    <w:rsid w:val="000F4AF6"/>
    <w:rsid w:val="001030E9"/>
    <w:rsid w:val="00104199"/>
    <w:rsid w:val="001065F5"/>
    <w:rsid w:val="001066B5"/>
    <w:rsid w:val="0010750E"/>
    <w:rsid w:val="00114B61"/>
    <w:rsid w:val="0011705A"/>
    <w:rsid w:val="00117E87"/>
    <w:rsid w:val="001226F3"/>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1AB"/>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13EC"/>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29"/>
    <w:rsid w:val="004C79F1"/>
    <w:rsid w:val="004D084C"/>
    <w:rsid w:val="004D4226"/>
    <w:rsid w:val="004E047A"/>
    <w:rsid w:val="004E1BAA"/>
    <w:rsid w:val="004E2937"/>
    <w:rsid w:val="004E572C"/>
    <w:rsid w:val="004E7796"/>
    <w:rsid w:val="004F15B9"/>
    <w:rsid w:val="004F71DB"/>
    <w:rsid w:val="00501867"/>
    <w:rsid w:val="0050376F"/>
    <w:rsid w:val="00503AAA"/>
    <w:rsid w:val="005045EC"/>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147"/>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1E34"/>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197D"/>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098"/>
    <w:rsid w:val="00A8635C"/>
    <w:rsid w:val="00AA2317"/>
    <w:rsid w:val="00AA3CA4"/>
    <w:rsid w:val="00AA7D65"/>
    <w:rsid w:val="00AB14B1"/>
    <w:rsid w:val="00AB1C6F"/>
    <w:rsid w:val="00AB297D"/>
    <w:rsid w:val="00AB3556"/>
    <w:rsid w:val="00AB3B3D"/>
    <w:rsid w:val="00AB50BC"/>
    <w:rsid w:val="00AB6762"/>
    <w:rsid w:val="00AC0006"/>
    <w:rsid w:val="00AC13E5"/>
    <w:rsid w:val="00AC2597"/>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2DD"/>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2A6"/>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E7674"/>
    <w:rsid w:val="00DF1A15"/>
    <w:rsid w:val="00DF1CB4"/>
    <w:rsid w:val="00DF324D"/>
    <w:rsid w:val="00DF792D"/>
    <w:rsid w:val="00DF7D1B"/>
    <w:rsid w:val="00E00723"/>
    <w:rsid w:val="00E0498A"/>
    <w:rsid w:val="00E04C8B"/>
    <w:rsid w:val="00E0505F"/>
    <w:rsid w:val="00E06ADC"/>
    <w:rsid w:val="00E104B1"/>
    <w:rsid w:val="00E1502C"/>
    <w:rsid w:val="00E1613C"/>
    <w:rsid w:val="00E21874"/>
    <w:rsid w:val="00E258F8"/>
    <w:rsid w:val="00E27E8C"/>
    <w:rsid w:val="00E30766"/>
    <w:rsid w:val="00E3171F"/>
    <w:rsid w:val="00E31C61"/>
    <w:rsid w:val="00E31F15"/>
    <w:rsid w:val="00E327E6"/>
    <w:rsid w:val="00E34F0D"/>
    <w:rsid w:val="00E35CB0"/>
    <w:rsid w:val="00E3769D"/>
    <w:rsid w:val="00E420D2"/>
    <w:rsid w:val="00E4311E"/>
    <w:rsid w:val="00E448AB"/>
    <w:rsid w:val="00E52403"/>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0BE7"/>
    <w:rsid w:val="00F229A7"/>
    <w:rsid w:val="00F308C1"/>
    <w:rsid w:val="00F308DA"/>
    <w:rsid w:val="00F35509"/>
    <w:rsid w:val="00F36671"/>
    <w:rsid w:val="00F40A90"/>
    <w:rsid w:val="00F41E71"/>
    <w:rsid w:val="00F424E2"/>
    <w:rsid w:val="00F46ECF"/>
    <w:rsid w:val="00F47C9B"/>
    <w:rsid w:val="00F53272"/>
    <w:rsid w:val="00F558D2"/>
    <w:rsid w:val="00F5754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5521"/>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sl-SI"/>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FA5521"/>
    <w:rPr>
      <w:rFonts w:ascii="Times New Roman" w:hAnsi="Times New Roman" w:cs="Times New Roman"/>
      <w:sz w:val="24"/>
      <w:lang w:val="sl-SI"/>
    </w:rPr>
  </w:style>
  <w:style w:type="character" w:customStyle="1" w:styleId="FooterChar">
    <w:name w:val="Footer Char"/>
    <w:basedOn w:val="DefaultParagraphFont"/>
    <w:link w:val="Footer"/>
    <w:uiPriority w:val="99"/>
    <w:rsid w:val="00FA5521"/>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A552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A5521"/>
    <w:pPr>
      <w:spacing w:before="0"/>
      <w:jc w:val="right"/>
    </w:pPr>
    <w:rPr>
      <w:sz w:val="28"/>
    </w:rPr>
  </w:style>
  <w:style w:type="paragraph" w:customStyle="1" w:styleId="FooterSensitivity">
    <w:name w:val="Footer Sensitivity"/>
    <w:basedOn w:val="Normal"/>
    <w:rsid w:val="00FA552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A5521"/>
    <w:pPr>
      <w:tabs>
        <w:tab w:val="center" w:pos="4535"/>
        <w:tab w:val="right" w:pos="9071"/>
      </w:tabs>
      <w:spacing w:before="0"/>
    </w:pPr>
  </w:style>
  <w:style w:type="paragraph" w:customStyle="1" w:styleId="HeaderLandscape">
    <w:name w:val="HeaderLandscape"/>
    <w:basedOn w:val="Normal"/>
    <w:rsid w:val="00FA5521"/>
    <w:pPr>
      <w:tabs>
        <w:tab w:val="center" w:pos="7285"/>
        <w:tab w:val="right" w:pos="14003"/>
      </w:tabs>
      <w:spacing w:before="0"/>
    </w:pPr>
  </w:style>
  <w:style w:type="paragraph" w:styleId="Footer">
    <w:name w:val="footer"/>
    <w:basedOn w:val="Normal"/>
    <w:link w:val="FooterChar"/>
    <w:uiPriority w:val="99"/>
    <w:unhideWhenUsed/>
    <w:rsid w:val="00FA552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A552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534682A2-4467-4D9F-B206-C7FD6F754E1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6</TotalTime>
  <Pages>5</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