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533F" w:rsidRPr="001A0167" w:rsidRDefault="00A141D7" w:rsidP="00A141D7">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27480B5C-0C77-4EC2-A9DC-5CBB684AC4AC" style="width:455.25pt;height:369.75pt">
            <v:imagedata r:id="rId11" o:title=""/>
          </v:shape>
        </w:pict>
      </w:r>
    </w:p>
    <w:p w:rsidR="00FE7FED" w:rsidRPr="001A0167" w:rsidRDefault="00FE7FED">
      <w:pPr>
        <w:rPr>
          <w:noProof/>
        </w:rPr>
        <w:sectPr w:rsidR="00FE7FED" w:rsidRPr="001A0167" w:rsidSect="00A141D7">
          <w:footerReference w:type="even" r:id="rId12"/>
          <w:footerReference w:type="default" r:id="rId13"/>
          <w:pgSz w:w="11907" w:h="16839"/>
          <w:pgMar w:top="1134" w:right="1417" w:bottom="1134" w:left="1417" w:header="709" w:footer="709" w:gutter="0"/>
          <w:pgNumType w:start="0"/>
          <w:cols w:space="720"/>
          <w:docGrid w:linePitch="360"/>
        </w:sectPr>
      </w:pPr>
    </w:p>
    <w:p w:rsidR="009713B0" w:rsidRPr="001A0167" w:rsidRDefault="001A0167" w:rsidP="001A0167">
      <w:pPr>
        <w:pStyle w:val="Typedudocument"/>
        <w:rPr>
          <w:noProof/>
        </w:rPr>
      </w:pPr>
      <w:bookmarkStart w:id="0" w:name="_GoBack"/>
      <w:bookmarkEnd w:id="0"/>
      <w:r w:rsidRPr="001A0167">
        <w:rPr>
          <w:noProof/>
        </w:rPr>
        <w:lastRenderedPageBreak/>
        <w:t>VYKONÁVACIE NARIADENIE KOMISIE (EÚ) …/...</w:t>
      </w:r>
    </w:p>
    <w:p w:rsidR="009713B0" w:rsidRPr="001A0167" w:rsidRDefault="00656859" w:rsidP="001A0167">
      <w:pPr>
        <w:pStyle w:val="Datedadoption"/>
        <w:rPr>
          <w:noProof/>
        </w:rPr>
      </w:pPr>
      <w:r>
        <w:rPr>
          <w:noProof/>
        </w:rPr>
        <w:t>z 1. 10. 2025,</w:t>
      </w:r>
    </w:p>
    <w:p w:rsidR="009713B0" w:rsidRPr="001A0167" w:rsidRDefault="001A0167" w:rsidP="001A0167">
      <w:pPr>
        <w:pStyle w:val="Titreobjet"/>
        <w:rPr>
          <w:noProof/>
        </w:rPr>
      </w:pPr>
      <w:r w:rsidRPr="001A0167">
        <w:rPr>
          <w:noProof/>
        </w:rPr>
        <w:t>ktorým sa stanovujú vykonávacie technické predpisy na uplatňovanie nariadenia Európskeho parlamentu a Rady (EÚ) č. 260/2012, pokiaľ ide o jednotné vzory na vykazovanie, pokyny a metodiku na vykazovanie výšky poplatkov za úhrady, okamžité úhrady a platobné účty, ako aj podielu zamietnutých transakcií</w:t>
      </w:r>
    </w:p>
    <w:p w:rsidR="009713B0" w:rsidRPr="001A0167" w:rsidRDefault="009713B0" w:rsidP="009713B0">
      <w:pPr>
        <w:pStyle w:val="Institutionquiagit"/>
        <w:rPr>
          <w:noProof/>
        </w:rPr>
      </w:pPr>
      <w:r w:rsidRPr="001A0167">
        <w:rPr>
          <w:noProof/>
        </w:rPr>
        <w:t>EURÓPSKA KOMISIA,</w:t>
      </w:r>
    </w:p>
    <w:p w:rsidR="009713B0" w:rsidRPr="001A0167" w:rsidRDefault="009713B0" w:rsidP="009713B0">
      <w:pPr>
        <w:rPr>
          <w:noProof/>
          <w:color w:val="000000"/>
        </w:rPr>
      </w:pPr>
      <w:r w:rsidRPr="001A0167">
        <w:rPr>
          <w:noProof/>
          <w:color w:val="000000"/>
        </w:rPr>
        <w:t>so zreteľom na Zmluvu</w:t>
      </w:r>
      <w:r w:rsidR="001A0167">
        <w:rPr>
          <w:noProof/>
          <w:color w:val="000000"/>
        </w:rPr>
        <w:t xml:space="preserve"> o </w:t>
      </w:r>
      <w:r w:rsidRPr="001A0167">
        <w:rPr>
          <w:noProof/>
          <w:color w:val="000000"/>
        </w:rPr>
        <w:t>fungovaní Európskej únie,</w:t>
      </w:r>
    </w:p>
    <w:p w:rsidR="001A0167" w:rsidRDefault="009713B0" w:rsidP="009713B0">
      <w:pPr>
        <w:rPr>
          <w:noProof/>
          <w:color w:val="000000"/>
        </w:rPr>
      </w:pPr>
      <w:r w:rsidRPr="001A0167">
        <w:rPr>
          <w:noProof/>
          <w:color w:val="000000"/>
        </w:rPr>
        <w:t>so zreteľom na nariadenie Európskeho parlamentu</w:t>
      </w:r>
      <w:r w:rsidR="001A0167">
        <w:rPr>
          <w:noProof/>
          <w:color w:val="000000"/>
        </w:rPr>
        <w:t xml:space="preserve"> a </w:t>
      </w:r>
      <w:r w:rsidRPr="001A0167">
        <w:rPr>
          <w:noProof/>
          <w:color w:val="000000"/>
        </w:rPr>
        <w:t>Rady (EÚ) č. 260/2012 zo 14</w:t>
      </w:r>
      <w:r w:rsidR="001A0167">
        <w:rPr>
          <w:noProof/>
          <w:color w:val="000000"/>
        </w:rPr>
        <w:t>. marca</w:t>
      </w:r>
      <w:r w:rsidRPr="001A0167">
        <w:rPr>
          <w:noProof/>
          <w:color w:val="000000"/>
        </w:rPr>
        <w:t xml:space="preserve"> 2012, ktorým sa ustanovujú technické</w:t>
      </w:r>
      <w:r w:rsidR="001A0167">
        <w:rPr>
          <w:noProof/>
          <w:color w:val="000000"/>
        </w:rPr>
        <w:t xml:space="preserve"> a </w:t>
      </w:r>
      <w:r w:rsidRPr="001A0167">
        <w:rPr>
          <w:noProof/>
          <w:color w:val="000000"/>
        </w:rPr>
        <w:t>obchodné požiadavky na úhrady</w:t>
      </w:r>
      <w:r w:rsidR="001A0167">
        <w:rPr>
          <w:noProof/>
          <w:color w:val="000000"/>
        </w:rPr>
        <w:t xml:space="preserve"> a </w:t>
      </w:r>
      <w:r w:rsidRPr="001A0167">
        <w:rPr>
          <w:noProof/>
          <w:color w:val="000000"/>
        </w:rPr>
        <w:t>inkasá</w:t>
      </w:r>
      <w:r w:rsidR="001A0167">
        <w:rPr>
          <w:noProof/>
          <w:color w:val="000000"/>
        </w:rPr>
        <w:t xml:space="preserve"> v </w:t>
      </w:r>
      <w:r w:rsidRPr="001A0167">
        <w:rPr>
          <w:noProof/>
          <w:color w:val="000000"/>
        </w:rPr>
        <w:t>eurách</w:t>
      </w:r>
      <w:r w:rsidR="001A0167">
        <w:rPr>
          <w:noProof/>
          <w:color w:val="000000"/>
        </w:rPr>
        <w:t xml:space="preserve"> a </w:t>
      </w:r>
      <w:r w:rsidRPr="001A0167">
        <w:rPr>
          <w:noProof/>
          <w:color w:val="000000"/>
        </w:rPr>
        <w:t>ktorým sa mení</w:t>
      </w:r>
      <w:r w:rsidR="001A0167">
        <w:rPr>
          <w:noProof/>
          <w:color w:val="000000"/>
        </w:rPr>
        <w:t xml:space="preserve"> a </w:t>
      </w:r>
      <w:r w:rsidRPr="001A0167">
        <w:rPr>
          <w:noProof/>
          <w:color w:val="000000"/>
        </w:rPr>
        <w:t>dopĺňa nariadenie (ES) č. 924/2009</w:t>
      </w:r>
      <w:r w:rsidRPr="001A0167">
        <w:rPr>
          <w:rStyle w:val="FootnoteReference"/>
          <w:noProof/>
          <w:color w:val="000000"/>
        </w:rPr>
        <w:footnoteReference w:id="2"/>
      </w:r>
      <w:r w:rsidRPr="001A0167">
        <w:rPr>
          <w:noProof/>
          <w:color w:val="000000"/>
        </w:rPr>
        <w:t>,</w:t>
      </w:r>
      <w:r w:rsidR="001A0167">
        <w:rPr>
          <w:noProof/>
          <w:color w:val="000000"/>
        </w:rPr>
        <w:t xml:space="preserve"> a </w:t>
      </w:r>
      <w:r w:rsidRPr="001A0167">
        <w:rPr>
          <w:noProof/>
          <w:color w:val="000000"/>
        </w:rPr>
        <w:t>najmä na jeho článok 15 ods. 5 tretí pododsek,</w:t>
      </w:r>
    </w:p>
    <w:p w:rsidR="009713B0" w:rsidRPr="001A0167" w:rsidRDefault="009713B0" w:rsidP="009713B0">
      <w:pPr>
        <w:rPr>
          <w:noProof/>
        </w:rPr>
      </w:pPr>
      <w:r w:rsidRPr="001A0167">
        <w:rPr>
          <w:noProof/>
          <w:color w:val="000000"/>
        </w:rPr>
        <w:t>keďže</w:t>
      </w:r>
      <w:r w:rsidRPr="001A0167">
        <w:rPr>
          <w:noProof/>
        </w:rPr>
        <w:t>:</w:t>
      </w:r>
    </w:p>
    <w:p w:rsidR="001A0167" w:rsidRDefault="00CB3129" w:rsidP="00CB3129">
      <w:pPr>
        <w:pStyle w:val="ManualConsidrant"/>
        <w:rPr>
          <w:noProof/>
        </w:rPr>
      </w:pPr>
      <w:r w:rsidRPr="00CB3129">
        <w:rPr>
          <w:noProof/>
        </w:rPr>
        <w:t>(1)</w:t>
      </w:r>
      <w:r w:rsidRPr="00CB3129">
        <w:rPr>
          <w:noProof/>
        </w:rPr>
        <w:tab/>
      </w:r>
      <w:r w:rsidR="00925CEE" w:rsidRPr="001A0167">
        <w:rPr>
          <w:noProof/>
        </w:rPr>
        <w:t>Predkladanie správ</w:t>
      </w:r>
      <w:r w:rsidR="001A0167">
        <w:rPr>
          <w:noProof/>
        </w:rPr>
        <w:t xml:space="preserve"> o </w:t>
      </w:r>
      <w:r w:rsidR="00925CEE" w:rsidRPr="001A0167">
        <w:rPr>
          <w:noProof/>
        </w:rPr>
        <w:t>výške poplatkov podľa článku 15 ods. 3 nariadenia (EÚ) č. 260/2012 by malo Komisii umožniť posúdiť vplyv pravidla týkajúceho sa poplatkov účtovaných za okamžité úhrady, ako sa stanovuje</w:t>
      </w:r>
      <w:r w:rsidR="001A0167">
        <w:rPr>
          <w:noProof/>
        </w:rPr>
        <w:t xml:space="preserve"> v </w:t>
      </w:r>
      <w:r w:rsidR="00925CEE" w:rsidRPr="001A0167">
        <w:rPr>
          <w:noProof/>
        </w:rPr>
        <w:t>článku 5b ods. 1 uvedeného nariadenia, poplatkov za platobné účty, za vnútroštátne aj cezhraničné úhrady</w:t>
      </w:r>
      <w:r w:rsidR="001A0167">
        <w:rPr>
          <w:noProof/>
        </w:rPr>
        <w:t xml:space="preserve"> a </w:t>
      </w:r>
      <w:r w:rsidR="00925CEE" w:rsidRPr="001A0167">
        <w:rPr>
          <w:noProof/>
        </w:rPr>
        <w:t>za okamžité úhrady</w:t>
      </w:r>
      <w:r w:rsidR="001A0167">
        <w:rPr>
          <w:noProof/>
        </w:rPr>
        <w:t xml:space="preserve"> v </w:t>
      </w:r>
      <w:r w:rsidR="00925CEE" w:rsidRPr="001A0167">
        <w:rPr>
          <w:noProof/>
        </w:rPr>
        <w:t>eurách</w:t>
      </w:r>
      <w:r w:rsidR="001A0167">
        <w:rPr>
          <w:noProof/>
        </w:rPr>
        <w:t xml:space="preserve"> a v </w:t>
      </w:r>
      <w:r w:rsidR="00925CEE" w:rsidRPr="001A0167">
        <w:rPr>
          <w:noProof/>
        </w:rPr>
        <w:t>národnej mene členských štátov, ktorých menou nie je euro. Poplatky účtované poskytovateľmi platobných služieb za úhrady vrátane okamžitých úhrad sa zvyčajne líšia</w:t>
      </w:r>
      <w:r w:rsidR="001A0167">
        <w:rPr>
          <w:noProof/>
        </w:rPr>
        <w:t xml:space="preserve"> v </w:t>
      </w:r>
      <w:r w:rsidR="00925CEE" w:rsidRPr="001A0167">
        <w:rPr>
          <w:noProof/>
        </w:rPr>
        <w:t>závislosti od vlastností príslušnej úhrady. Medzi takéto vlastnosti môže patriť skutočnosť, či je používateľ platobných služieb platiteľom alebo príjemcom, či je alebo nie je spotrebiteľom, alebo typ platobného iniciačného kanála. Predkladanie správ</w:t>
      </w:r>
      <w:r w:rsidR="001A0167">
        <w:rPr>
          <w:noProof/>
        </w:rPr>
        <w:t xml:space="preserve"> o </w:t>
      </w:r>
      <w:r w:rsidR="00925CEE" w:rsidRPr="001A0167">
        <w:rPr>
          <w:noProof/>
        </w:rPr>
        <w:t>zasielaných úhradách by preto malo zahŕňať členenie podľa domácich</w:t>
      </w:r>
      <w:r w:rsidR="001A0167">
        <w:rPr>
          <w:noProof/>
        </w:rPr>
        <w:t xml:space="preserve"> a </w:t>
      </w:r>
      <w:r w:rsidR="00925CEE" w:rsidRPr="001A0167">
        <w:rPr>
          <w:noProof/>
        </w:rPr>
        <w:t>cezhraničných prevodov, typu používateľa platobných služieb</w:t>
      </w:r>
      <w:r w:rsidR="001A0167">
        <w:rPr>
          <w:noProof/>
        </w:rPr>
        <w:t xml:space="preserve"> a </w:t>
      </w:r>
      <w:r w:rsidR="00925CEE" w:rsidRPr="001A0167">
        <w:rPr>
          <w:noProof/>
        </w:rPr>
        <w:t>platobného iniciačného kanála</w:t>
      </w:r>
      <w:r w:rsidR="001A0167">
        <w:rPr>
          <w:noProof/>
        </w:rPr>
        <w:t>.</w:t>
      </w:r>
    </w:p>
    <w:p w:rsidR="00F133B9" w:rsidRPr="001A0167" w:rsidRDefault="00CB3129" w:rsidP="00CB3129">
      <w:pPr>
        <w:pStyle w:val="ManualConsidrant"/>
        <w:rPr>
          <w:noProof/>
        </w:rPr>
      </w:pPr>
      <w:r w:rsidRPr="00CB3129">
        <w:rPr>
          <w:noProof/>
        </w:rPr>
        <w:t>(2)</w:t>
      </w:r>
      <w:r w:rsidRPr="00CB3129">
        <w:rPr>
          <w:noProof/>
        </w:rPr>
        <w:tab/>
      </w:r>
      <w:r w:rsidR="00914C54" w:rsidRPr="001A0167">
        <w:rPr>
          <w:noProof/>
        </w:rPr>
        <w:t>Poskytovatelia platobných služieb sa môžu rozhodnúť stanoviť poplatky za jednotlivé transakcie buď</w:t>
      </w:r>
      <w:r w:rsidR="001A0167">
        <w:rPr>
          <w:noProof/>
        </w:rPr>
        <w:t xml:space="preserve"> v </w:t>
      </w:r>
      <w:r w:rsidR="00914C54" w:rsidRPr="001A0167">
        <w:rPr>
          <w:noProof/>
        </w:rPr>
        <w:t>nominálnom vyjadrení, alebo ako percentuálny podiel</w:t>
      </w:r>
      <w:r w:rsidR="001A0167">
        <w:rPr>
          <w:noProof/>
        </w:rPr>
        <w:t xml:space="preserve"> z </w:t>
      </w:r>
      <w:r w:rsidR="00914C54" w:rsidRPr="001A0167">
        <w:rPr>
          <w:noProof/>
        </w:rPr>
        <w:t>hodnoty transakcie. Poskytovatelia platobných služieb sa môžu rozhodnúť aj pre alternatívne štruktúry spoplatňovania, ako napríklad viacúrovňové oceňovanie na základe rôznych pásiem hodnoty transakcie alebo prístupy, ktoré majú určitý počet transakcií za mesiac bezplatne, pričom po jeho prekročení sa za každú transakciu uplatňuje poplatok. Bolo by nežiaduce, keby takáto rôznorodosť obchodných praktík viedla</w:t>
      </w:r>
      <w:r w:rsidR="001A0167">
        <w:rPr>
          <w:noProof/>
        </w:rPr>
        <w:t xml:space="preserve"> k </w:t>
      </w:r>
      <w:r w:rsidR="00914C54" w:rsidRPr="001A0167">
        <w:rPr>
          <w:noProof/>
        </w:rPr>
        <w:t>obchádzaniu cieľa pravidla</w:t>
      </w:r>
      <w:r w:rsidR="001A0167">
        <w:rPr>
          <w:noProof/>
        </w:rPr>
        <w:t xml:space="preserve"> o </w:t>
      </w:r>
      <w:r w:rsidR="00914C54" w:rsidRPr="001A0167">
        <w:rPr>
          <w:noProof/>
        </w:rPr>
        <w:t>poplatkoch za okamžité úhrady stanoveného</w:t>
      </w:r>
      <w:r w:rsidR="001A0167">
        <w:rPr>
          <w:noProof/>
        </w:rPr>
        <w:t xml:space="preserve"> v </w:t>
      </w:r>
      <w:r w:rsidR="00914C54" w:rsidRPr="001A0167">
        <w:rPr>
          <w:noProof/>
        </w:rPr>
        <w:t>článku 5b ods. 1 nariadenia (EÚ) č. 260/2012. Metodika na vykazovanie informácií</w:t>
      </w:r>
      <w:r w:rsidR="001A0167">
        <w:rPr>
          <w:noProof/>
        </w:rPr>
        <w:t xml:space="preserve"> o </w:t>
      </w:r>
      <w:r w:rsidR="00914C54" w:rsidRPr="001A0167">
        <w:rPr>
          <w:noProof/>
        </w:rPr>
        <w:t>výške poplatkov za pravidelné</w:t>
      </w:r>
      <w:r w:rsidR="001A0167">
        <w:rPr>
          <w:noProof/>
        </w:rPr>
        <w:t xml:space="preserve"> a </w:t>
      </w:r>
      <w:r w:rsidR="00914C54" w:rsidRPr="001A0167">
        <w:rPr>
          <w:noProof/>
        </w:rPr>
        <w:t>okamžité úhrady by mala Komisii umožniť, aby hodnotila informácie poskytované poskytovateľmi platobných služieb jednotným</w:t>
      </w:r>
      <w:r w:rsidR="001A0167">
        <w:rPr>
          <w:noProof/>
        </w:rPr>
        <w:t xml:space="preserve"> a </w:t>
      </w:r>
      <w:r w:rsidR="00914C54" w:rsidRPr="001A0167">
        <w:rPr>
          <w:noProof/>
        </w:rPr>
        <w:t>porovnateľným spôsobom na úrovni poskytovateľa platobných služieb</w:t>
      </w:r>
      <w:r w:rsidR="001A0167">
        <w:rPr>
          <w:noProof/>
        </w:rPr>
        <w:t xml:space="preserve"> v </w:t>
      </w:r>
      <w:r w:rsidR="00914C54" w:rsidRPr="001A0167">
        <w:rPr>
          <w:noProof/>
        </w:rPr>
        <w:t>priebehu času</w:t>
      </w:r>
      <w:r w:rsidR="001A0167">
        <w:rPr>
          <w:noProof/>
        </w:rPr>
        <w:t xml:space="preserve"> a </w:t>
      </w:r>
      <w:r w:rsidR="00914C54" w:rsidRPr="001A0167">
        <w:rPr>
          <w:noProof/>
        </w:rPr>
        <w:t>medzi rôznymi poskytovateľmi platobných služieb</w:t>
      </w:r>
      <w:r w:rsidR="001A0167">
        <w:rPr>
          <w:noProof/>
        </w:rPr>
        <w:t xml:space="preserve"> v </w:t>
      </w:r>
      <w:r w:rsidR="00914C54" w:rsidRPr="001A0167">
        <w:rPr>
          <w:noProof/>
        </w:rPr>
        <w:t>danom čase,</w:t>
      </w:r>
      <w:r w:rsidR="001A0167">
        <w:rPr>
          <w:noProof/>
        </w:rPr>
        <w:t xml:space="preserve"> a </w:t>
      </w:r>
      <w:r w:rsidR="00914C54" w:rsidRPr="001A0167">
        <w:rPr>
          <w:noProof/>
        </w:rPr>
        <w:t>to aj napriek rôznym metódam účtovania, ktoré poskytovatelia platobných služieb používajú. Predkladanie správ by preto malo obsahovať informácie</w:t>
      </w:r>
      <w:r w:rsidR="001A0167">
        <w:rPr>
          <w:noProof/>
        </w:rPr>
        <w:t xml:space="preserve"> o </w:t>
      </w:r>
      <w:r w:rsidR="00914C54" w:rsidRPr="001A0167">
        <w:rPr>
          <w:noProof/>
        </w:rPr>
        <w:t>celkových súhrnných poplatkoch, objeme</w:t>
      </w:r>
      <w:r w:rsidR="001A0167">
        <w:rPr>
          <w:noProof/>
        </w:rPr>
        <w:t xml:space="preserve"> a </w:t>
      </w:r>
      <w:r w:rsidR="00914C54" w:rsidRPr="001A0167">
        <w:rPr>
          <w:noProof/>
        </w:rPr>
        <w:t>hodnote úhrad vrátane okamžitých úhrad</w:t>
      </w:r>
      <w:r w:rsidR="001A0167">
        <w:rPr>
          <w:noProof/>
        </w:rPr>
        <w:t xml:space="preserve"> v </w:t>
      </w:r>
      <w:r w:rsidR="00914C54" w:rsidRPr="001A0167">
        <w:rPr>
          <w:noProof/>
        </w:rPr>
        <w:t>národnej mene. Predkladanie správ</w:t>
      </w:r>
      <w:r w:rsidR="001A0167">
        <w:rPr>
          <w:noProof/>
        </w:rPr>
        <w:t xml:space="preserve"> </w:t>
      </w:r>
      <w:r w:rsidR="001A0167">
        <w:rPr>
          <w:noProof/>
        </w:rPr>
        <w:lastRenderedPageBreak/>
        <w:t>o </w:t>
      </w:r>
      <w:r w:rsidR="00914C54" w:rsidRPr="001A0167">
        <w:rPr>
          <w:noProof/>
        </w:rPr>
        <w:t>zaslaných aj prijatých úhradách by malo obsahovať aj členenie podľa bezplatných</w:t>
      </w:r>
      <w:r w:rsidR="001A0167">
        <w:rPr>
          <w:noProof/>
        </w:rPr>
        <w:t xml:space="preserve"> a </w:t>
      </w:r>
      <w:r w:rsidR="00914C54" w:rsidRPr="001A0167">
        <w:rPr>
          <w:noProof/>
        </w:rPr>
        <w:t>platených úhrad.</w:t>
      </w:r>
    </w:p>
    <w:p w:rsidR="009713B0" w:rsidRPr="001A0167" w:rsidRDefault="00CB3129" w:rsidP="00CB3129">
      <w:pPr>
        <w:pStyle w:val="ManualConsidrant"/>
        <w:rPr>
          <w:noProof/>
        </w:rPr>
      </w:pPr>
      <w:r w:rsidRPr="00CB3129">
        <w:rPr>
          <w:noProof/>
        </w:rPr>
        <w:t>(3)</w:t>
      </w:r>
      <w:r w:rsidRPr="00CB3129">
        <w:rPr>
          <w:noProof/>
        </w:rPr>
        <w:tab/>
      </w:r>
      <w:r w:rsidR="004425F3" w:rsidRPr="001A0167">
        <w:rPr>
          <w:noProof/>
        </w:rPr>
        <w:t>Poskytovatelia platobných služieb by si mali plniť svoju povinnosť predkladať správy stanovenú</w:t>
      </w:r>
      <w:r w:rsidR="001A0167">
        <w:rPr>
          <w:noProof/>
        </w:rPr>
        <w:t xml:space="preserve"> v </w:t>
      </w:r>
      <w:r w:rsidR="004425F3" w:rsidRPr="001A0167">
        <w:rPr>
          <w:noProof/>
        </w:rPr>
        <w:t>článku 15 ods. 3 nariadenia (EÚ) č. 260/2012 na úrovni subjektu.</w:t>
      </w:r>
      <w:r w:rsidR="001A0167">
        <w:rPr>
          <w:noProof/>
        </w:rPr>
        <w:t xml:space="preserve"> V </w:t>
      </w:r>
      <w:r w:rsidR="004425F3" w:rsidRPr="001A0167">
        <w:rPr>
          <w:noProof/>
        </w:rPr>
        <w:t>záujme zosúladenia</w:t>
      </w:r>
      <w:r w:rsidR="001A0167">
        <w:rPr>
          <w:noProof/>
        </w:rPr>
        <w:t xml:space="preserve"> s </w:t>
      </w:r>
      <w:r w:rsidR="004425F3" w:rsidRPr="001A0167">
        <w:rPr>
          <w:noProof/>
        </w:rPr>
        <w:t>prístupom</w:t>
      </w:r>
      <w:r w:rsidR="001A0167">
        <w:rPr>
          <w:noProof/>
        </w:rPr>
        <w:t xml:space="preserve"> k </w:t>
      </w:r>
      <w:r w:rsidR="004425F3" w:rsidRPr="001A0167">
        <w:rPr>
          <w:noProof/>
        </w:rPr>
        <w:t>vykazovaniu platobných štatistických údajov Európskej centrálnej banke by pobočky poskytovateľov platobných služieb nachádzajúce sa</w:t>
      </w:r>
      <w:r w:rsidR="001A0167">
        <w:rPr>
          <w:noProof/>
        </w:rPr>
        <w:t xml:space="preserve"> v </w:t>
      </w:r>
      <w:r w:rsidR="004425F3" w:rsidRPr="001A0167">
        <w:rPr>
          <w:noProof/>
        </w:rPr>
        <w:t>iných členských štátoch, ako sú členské štáty ich materských subjektov, mali predkladať svoje údaje príslušnému orgánu hostiteľského členského štátu</w:t>
      </w:r>
      <w:r w:rsidR="001A0167">
        <w:rPr>
          <w:noProof/>
        </w:rPr>
        <w:t xml:space="preserve"> a </w:t>
      </w:r>
      <w:r w:rsidR="004425F3" w:rsidRPr="001A0167">
        <w:rPr>
          <w:noProof/>
        </w:rPr>
        <w:t>materské subjekty by mali samy za seba predkladať správy príslušnému orgánu svojho domovského členského štátu.</w:t>
      </w:r>
    </w:p>
    <w:p w:rsidR="009713B0" w:rsidRPr="001A0167" w:rsidRDefault="00CB3129" w:rsidP="00CB3129">
      <w:pPr>
        <w:pStyle w:val="ManualConsidrant"/>
        <w:rPr>
          <w:noProof/>
        </w:rPr>
      </w:pPr>
      <w:r w:rsidRPr="00CB3129">
        <w:rPr>
          <w:noProof/>
        </w:rPr>
        <w:t>(4)</w:t>
      </w:r>
      <w:r w:rsidRPr="00CB3129">
        <w:rPr>
          <w:noProof/>
        </w:rPr>
        <w:tab/>
      </w:r>
      <w:r w:rsidR="000D1771" w:rsidRPr="001A0167">
        <w:rPr>
          <w:noProof/>
        </w:rPr>
        <w:t>Poskytovatelia platobných služieb nachádzajúci sa</w:t>
      </w:r>
      <w:r w:rsidR="001A0167">
        <w:rPr>
          <w:noProof/>
        </w:rPr>
        <w:t xml:space="preserve"> v </w:t>
      </w:r>
      <w:r w:rsidR="000D1771" w:rsidRPr="001A0167">
        <w:rPr>
          <w:noProof/>
        </w:rPr>
        <w:t>členských štátoch, ktorých menou nie je euro, ktorí svojim používateľom platobných služieb ponúkajú platobnú službu prijímania</w:t>
      </w:r>
      <w:r w:rsidR="001A0167">
        <w:rPr>
          <w:noProof/>
        </w:rPr>
        <w:t xml:space="preserve"> a </w:t>
      </w:r>
      <w:r w:rsidR="000D1771" w:rsidRPr="001A0167">
        <w:rPr>
          <w:noProof/>
        </w:rPr>
        <w:t>zasielania pravidelných úhrad</w:t>
      </w:r>
      <w:r w:rsidR="001A0167">
        <w:rPr>
          <w:noProof/>
        </w:rPr>
        <w:t xml:space="preserve"> v </w:t>
      </w:r>
      <w:r w:rsidR="000D1771" w:rsidRPr="001A0167">
        <w:rPr>
          <w:noProof/>
        </w:rPr>
        <w:t>eurách, sú povinní začať ponúkať svojim používateľom platobných služieb platobnú službu prijímania okamžitých úhrad</w:t>
      </w:r>
      <w:r w:rsidR="001A0167">
        <w:rPr>
          <w:noProof/>
        </w:rPr>
        <w:t xml:space="preserve"> v </w:t>
      </w:r>
      <w:r w:rsidR="000D1771" w:rsidRPr="001A0167">
        <w:rPr>
          <w:noProof/>
        </w:rPr>
        <w:t>eurách do 9</w:t>
      </w:r>
      <w:r w:rsidR="001A0167">
        <w:rPr>
          <w:noProof/>
        </w:rPr>
        <w:t>. januára</w:t>
      </w:r>
      <w:r w:rsidR="000D1771" w:rsidRPr="001A0167">
        <w:rPr>
          <w:noProof/>
        </w:rPr>
        <w:t xml:space="preserve"> 2027</w:t>
      </w:r>
      <w:r w:rsidR="001A0167">
        <w:rPr>
          <w:noProof/>
        </w:rPr>
        <w:t xml:space="preserve"> a </w:t>
      </w:r>
      <w:r w:rsidR="000D1771" w:rsidRPr="001A0167">
        <w:rPr>
          <w:noProof/>
        </w:rPr>
        <w:t>platobnú službu zasielania okamžitých úhrad</w:t>
      </w:r>
      <w:r w:rsidR="001A0167">
        <w:rPr>
          <w:noProof/>
        </w:rPr>
        <w:t xml:space="preserve"> v </w:t>
      </w:r>
      <w:r w:rsidR="000D1771" w:rsidRPr="001A0167">
        <w:rPr>
          <w:noProof/>
        </w:rPr>
        <w:t>eurách do 9</w:t>
      </w:r>
      <w:r w:rsidR="001A0167">
        <w:rPr>
          <w:noProof/>
        </w:rPr>
        <w:t>. júla</w:t>
      </w:r>
      <w:r w:rsidR="000D1771" w:rsidRPr="001A0167">
        <w:rPr>
          <w:noProof/>
        </w:rPr>
        <w:t xml:space="preserve"> 2027, ako sa stanovuje</w:t>
      </w:r>
      <w:r w:rsidR="001A0167">
        <w:rPr>
          <w:noProof/>
        </w:rPr>
        <w:t xml:space="preserve"> v </w:t>
      </w:r>
      <w:r w:rsidR="000D1771" w:rsidRPr="001A0167">
        <w:rPr>
          <w:noProof/>
        </w:rPr>
        <w:t>článku 5a ods. 8 nariadenia (EÚ) č. 260/2012. Títo poskytovatelia platobných služieb by mali do 9</w:t>
      </w:r>
      <w:r w:rsidR="001A0167">
        <w:rPr>
          <w:noProof/>
        </w:rPr>
        <w:t>. januára</w:t>
      </w:r>
      <w:r w:rsidR="000D1771" w:rsidRPr="001A0167">
        <w:rPr>
          <w:noProof/>
        </w:rPr>
        <w:t xml:space="preserve"> 2027 splniť aj povinnosti týkajúce sa poplatkov účtovaných platiteľom</w:t>
      </w:r>
      <w:r w:rsidR="001A0167">
        <w:rPr>
          <w:noProof/>
        </w:rPr>
        <w:t xml:space="preserve"> a </w:t>
      </w:r>
      <w:r w:rsidR="000D1771" w:rsidRPr="001A0167">
        <w:rPr>
          <w:noProof/>
        </w:rPr>
        <w:t>príjemcom</w:t>
      </w:r>
      <w:r w:rsidR="001A0167">
        <w:rPr>
          <w:noProof/>
        </w:rPr>
        <w:t xml:space="preserve"> v </w:t>
      </w:r>
      <w:r w:rsidR="000D1771" w:rsidRPr="001A0167">
        <w:rPr>
          <w:noProof/>
        </w:rPr>
        <w:t>súvislosti so zasielaním</w:t>
      </w:r>
      <w:r w:rsidR="001A0167">
        <w:rPr>
          <w:noProof/>
        </w:rPr>
        <w:t xml:space="preserve"> a </w:t>
      </w:r>
      <w:r w:rsidR="000D1771" w:rsidRPr="001A0167">
        <w:rPr>
          <w:noProof/>
        </w:rPr>
        <w:t>prijímaním okamžitých úhrad</w:t>
      </w:r>
      <w:r w:rsidR="001A0167">
        <w:rPr>
          <w:noProof/>
        </w:rPr>
        <w:t xml:space="preserve"> v </w:t>
      </w:r>
      <w:r w:rsidR="000D1771" w:rsidRPr="001A0167">
        <w:rPr>
          <w:noProof/>
        </w:rPr>
        <w:t>eurách,</w:t>
      </w:r>
      <w:r w:rsidR="001A0167">
        <w:rPr>
          <w:noProof/>
        </w:rPr>
        <w:t xml:space="preserve"> a </w:t>
      </w:r>
      <w:r w:rsidR="000D1771" w:rsidRPr="001A0167">
        <w:rPr>
          <w:noProof/>
        </w:rPr>
        <w:t>to</w:t>
      </w:r>
      <w:r w:rsidR="001A0167">
        <w:rPr>
          <w:noProof/>
        </w:rPr>
        <w:t xml:space="preserve"> v </w:t>
      </w:r>
      <w:r w:rsidR="000D1771" w:rsidRPr="001A0167">
        <w:rPr>
          <w:noProof/>
        </w:rPr>
        <w:t>súlade</w:t>
      </w:r>
      <w:r w:rsidR="001A0167">
        <w:rPr>
          <w:noProof/>
        </w:rPr>
        <w:t xml:space="preserve"> s </w:t>
      </w:r>
      <w:r w:rsidR="000D1771" w:rsidRPr="001A0167">
        <w:rPr>
          <w:noProof/>
        </w:rPr>
        <w:t>článkom 5b ods. 3 druhým pododsekom uvedeného nariadenia.</w:t>
      </w:r>
      <w:r w:rsidR="001A0167">
        <w:rPr>
          <w:noProof/>
        </w:rPr>
        <w:t xml:space="preserve"> S </w:t>
      </w:r>
      <w:r w:rsidR="000D1771" w:rsidRPr="001A0167">
        <w:rPr>
          <w:noProof/>
        </w:rPr>
        <w:t>cieľom umožniť Komisii vyhodnotiť vplyv nariadenia (EÚ) č. 260/2012 na výšku poplatkov za úhrady vrátane okamžitých úhrad denominovaných</w:t>
      </w:r>
      <w:r w:rsidR="001A0167">
        <w:rPr>
          <w:noProof/>
        </w:rPr>
        <w:t xml:space="preserve"> v </w:t>
      </w:r>
      <w:r w:rsidR="000D1771" w:rsidRPr="001A0167">
        <w:rPr>
          <w:noProof/>
        </w:rPr>
        <w:t>národnej mene členských štátov, ktorých menou nie je euro, podľa článku 15 ods. 2 písm. a) uvedeného nariadenia je vhodné, aby poskytovatelia platobných služieb, ktorí sa nachádzajú</w:t>
      </w:r>
      <w:r w:rsidR="001A0167">
        <w:rPr>
          <w:noProof/>
        </w:rPr>
        <w:t xml:space="preserve"> v </w:t>
      </w:r>
      <w:r w:rsidR="000D1771" w:rsidRPr="001A0167">
        <w:rPr>
          <w:noProof/>
        </w:rPr>
        <w:t>týchto členských štátoch</w:t>
      </w:r>
      <w:r w:rsidR="001A0167">
        <w:rPr>
          <w:noProof/>
        </w:rPr>
        <w:t xml:space="preserve"> a </w:t>
      </w:r>
      <w:r w:rsidR="000D1771" w:rsidRPr="001A0167">
        <w:rPr>
          <w:noProof/>
        </w:rPr>
        <w:t>ktorí svojim používateľom platobných služieb ponúkajú platobnú službu prijímania</w:t>
      </w:r>
      <w:r w:rsidR="001A0167">
        <w:rPr>
          <w:noProof/>
        </w:rPr>
        <w:t xml:space="preserve"> a </w:t>
      </w:r>
      <w:r w:rsidR="000D1771" w:rsidRPr="001A0167">
        <w:rPr>
          <w:noProof/>
        </w:rPr>
        <w:t>zasielania pravidelných úhrad</w:t>
      </w:r>
      <w:r w:rsidR="001A0167">
        <w:rPr>
          <w:noProof/>
        </w:rPr>
        <w:t xml:space="preserve"> v </w:t>
      </w:r>
      <w:r w:rsidR="000D1771" w:rsidRPr="001A0167">
        <w:rPr>
          <w:noProof/>
        </w:rPr>
        <w:t>eurách, predkladali správy</w:t>
      </w:r>
      <w:r w:rsidR="001A0167">
        <w:rPr>
          <w:noProof/>
        </w:rPr>
        <w:t xml:space="preserve"> o </w:t>
      </w:r>
      <w:r w:rsidR="000D1771" w:rsidRPr="001A0167">
        <w:rPr>
          <w:noProof/>
        </w:rPr>
        <w:t>počtoch</w:t>
      </w:r>
      <w:r w:rsidR="001A0167">
        <w:rPr>
          <w:noProof/>
        </w:rPr>
        <w:t xml:space="preserve"> a </w:t>
      </w:r>
      <w:r w:rsidR="000D1771" w:rsidRPr="001A0167">
        <w:rPr>
          <w:noProof/>
        </w:rPr>
        <w:t>hodnotách úhrad vrátane okamžitých úhrad denominovaných</w:t>
      </w:r>
      <w:r w:rsidR="001A0167">
        <w:rPr>
          <w:noProof/>
        </w:rPr>
        <w:t xml:space="preserve"> v </w:t>
      </w:r>
      <w:r w:rsidR="000D1771" w:rsidRPr="001A0167">
        <w:rPr>
          <w:noProof/>
        </w:rPr>
        <w:t>ich národnej mene</w:t>
      </w:r>
      <w:r w:rsidR="001A0167">
        <w:rPr>
          <w:noProof/>
        </w:rPr>
        <w:t xml:space="preserve"> a v </w:t>
      </w:r>
      <w:r w:rsidR="000D1771" w:rsidRPr="001A0167">
        <w:rPr>
          <w:noProof/>
        </w:rPr>
        <w:t>eurách</w:t>
      </w:r>
      <w:r w:rsidR="001A0167">
        <w:rPr>
          <w:noProof/>
        </w:rPr>
        <w:t xml:space="preserve"> a o </w:t>
      </w:r>
      <w:r w:rsidR="000D1771" w:rsidRPr="001A0167">
        <w:rPr>
          <w:noProof/>
        </w:rPr>
        <w:t>poplatkoch za ne.</w:t>
      </w:r>
    </w:p>
    <w:p w:rsidR="009713B0" w:rsidRPr="001A0167" w:rsidRDefault="00CB3129" w:rsidP="00CB3129">
      <w:pPr>
        <w:pStyle w:val="ManualConsidrant"/>
        <w:rPr>
          <w:noProof/>
        </w:rPr>
      </w:pPr>
      <w:r w:rsidRPr="00CB3129">
        <w:rPr>
          <w:noProof/>
        </w:rPr>
        <w:t>(5)</w:t>
      </w:r>
      <w:r w:rsidRPr="00CB3129">
        <w:rPr>
          <w:noProof/>
        </w:rPr>
        <w:tab/>
      </w:r>
      <w:r w:rsidR="009713B0" w:rsidRPr="001A0167">
        <w:rPr>
          <w:noProof/>
        </w:rPr>
        <w:t>Na účely predkladania správ</w:t>
      </w:r>
      <w:r w:rsidR="001A0167">
        <w:rPr>
          <w:noProof/>
        </w:rPr>
        <w:t xml:space="preserve"> v </w:t>
      </w:r>
      <w:r w:rsidR="009713B0" w:rsidRPr="001A0167">
        <w:rPr>
          <w:noProof/>
        </w:rPr>
        <w:t>súlade</w:t>
      </w:r>
      <w:r w:rsidR="001A0167">
        <w:rPr>
          <w:noProof/>
        </w:rPr>
        <w:t xml:space="preserve"> s </w:t>
      </w:r>
      <w:r w:rsidR="009713B0" w:rsidRPr="001A0167">
        <w:rPr>
          <w:noProof/>
        </w:rPr>
        <w:t>článkom 15 ods. 3 nariadenia (EÚ) č. 260/2012 by poskytovatelia platobných služieb mali svojim príslušným orgánom poskytnúť údaje</w:t>
      </w:r>
      <w:r w:rsidR="001A0167">
        <w:rPr>
          <w:noProof/>
        </w:rPr>
        <w:t xml:space="preserve"> o </w:t>
      </w:r>
      <w:r w:rsidR="009713B0" w:rsidRPr="001A0167">
        <w:rPr>
          <w:noProof/>
        </w:rPr>
        <w:t>celkovom počte platobných účtov</w:t>
      </w:r>
      <w:r w:rsidR="001A0167">
        <w:rPr>
          <w:noProof/>
        </w:rPr>
        <w:t xml:space="preserve"> a o </w:t>
      </w:r>
      <w:r w:rsidR="009713B0" w:rsidRPr="001A0167">
        <w:rPr>
          <w:noProof/>
        </w:rPr>
        <w:t>súhrnnej výške celkových poplatkov za platobné účty.</w:t>
      </w:r>
      <w:r w:rsidR="001A0167">
        <w:rPr>
          <w:noProof/>
        </w:rPr>
        <w:t xml:space="preserve"> S </w:t>
      </w:r>
      <w:r w:rsidR="009713B0" w:rsidRPr="001A0167">
        <w:rPr>
          <w:noProof/>
        </w:rPr>
        <w:t>cieľom umožniť Komisii posúdiť, či existuje súvislosť medzi potenciálnymi zmenami</w:t>
      </w:r>
      <w:r w:rsidR="001A0167">
        <w:rPr>
          <w:noProof/>
        </w:rPr>
        <w:t xml:space="preserve"> v </w:t>
      </w:r>
      <w:r w:rsidR="009713B0" w:rsidRPr="001A0167">
        <w:rPr>
          <w:noProof/>
        </w:rPr>
        <w:t>poplatkoch za platobné účty</w:t>
      </w:r>
      <w:r w:rsidR="001A0167">
        <w:rPr>
          <w:noProof/>
        </w:rPr>
        <w:t xml:space="preserve"> a </w:t>
      </w:r>
      <w:r w:rsidR="009713B0" w:rsidRPr="001A0167">
        <w:rPr>
          <w:noProof/>
        </w:rPr>
        <w:t>zmenami poplatkov za úhrady</w:t>
      </w:r>
      <w:r w:rsidR="001A0167">
        <w:rPr>
          <w:noProof/>
        </w:rPr>
        <w:t xml:space="preserve"> a </w:t>
      </w:r>
      <w:r w:rsidR="009713B0" w:rsidRPr="001A0167">
        <w:rPr>
          <w:noProof/>
        </w:rPr>
        <w:t>okamžité úhrady, by predkladanie správ malo obsahovať poplatky za vedenie účtu</w:t>
      </w:r>
      <w:r w:rsidR="001A0167">
        <w:rPr>
          <w:noProof/>
        </w:rPr>
        <w:t xml:space="preserve"> v </w:t>
      </w:r>
      <w:r w:rsidR="009713B0" w:rsidRPr="001A0167">
        <w:rPr>
          <w:noProof/>
        </w:rPr>
        <w:t>príslušnom členení.</w:t>
      </w:r>
    </w:p>
    <w:p w:rsidR="001A0167" w:rsidRDefault="00CB3129" w:rsidP="00CB3129">
      <w:pPr>
        <w:pStyle w:val="ManualConsidrant"/>
        <w:rPr>
          <w:noProof/>
        </w:rPr>
      </w:pPr>
      <w:r w:rsidRPr="00CB3129">
        <w:rPr>
          <w:noProof/>
        </w:rPr>
        <w:t>(6)</w:t>
      </w:r>
      <w:r w:rsidRPr="00CB3129">
        <w:rPr>
          <w:noProof/>
        </w:rPr>
        <w:tab/>
      </w:r>
      <w:r w:rsidR="00136075" w:rsidRPr="001A0167">
        <w:rPr>
          <w:noProof/>
        </w:rPr>
        <w:t>S cieľom umožniť Komisii posúdiť podiel zamietnutých okamžitých úhrad</w:t>
      </w:r>
      <w:r w:rsidR="001A0167">
        <w:rPr>
          <w:noProof/>
        </w:rPr>
        <w:t xml:space="preserve"> v </w:t>
      </w:r>
      <w:r w:rsidR="00136075" w:rsidRPr="001A0167">
        <w:rPr>
          <w:noProof/>
        </w:rPr>
        <w:t>dôsledku uplatňovania cielených finančných reštriktívnych opatrení prijatých</w:t>
      </w:r>
      <w:r w:rsidR="001A0167">
        <w:rPr>
          <w:noProof/>
        </w:rPr>
        <w:t xml:space="preserve"> v </w:t>
      </w:r>
      <w:r w:rsidR="00136075" w:rsidRPr="001A0167">
        <w:rPr>
          <w:noProof/>
        </w:rPr>
        <w:t>súlade</w:t>
      </w:r>
      <w:r w:rsidR="001A0167">
        <w:rPr>
          <w:noProof/>
        </w:rPr>
        <w:t xml:space="preserve"> s </w:t>
      </w:r>
      <w:r w:rsidR="00136075" w:rsidRPr="001A0167">
        <w:rPr>
          <w:noProof/>
        </w:rPr>
        <w:t>článkom 215 Zmluvy</w:t>
      </w:r>
      <w:r w:rsidR="001A0167">
        <w:rPr>
          <w:noProof/>
        </w:rPr>
        <w:t xml:space="preserve"> o </w:t>
      </w:r>
      <w:r w:rsidR="00136075" w:rsidRPr="001A0167">
        <w:rPr>
          <w:noProof/>
        </w:rPr>
        <w:t>fungovaní Európskej únie</w:t>
      </w:r>
      <w:r w:rsidR="001A0167">
        <w:rPr>
          <w:noProof/>
        </w:rPr>
        <w:t xml:space="preserve"> a </w:t>
      </w:r>
      <w:r w:rsidR="00136075" w:rsidRPr="001A0167">
        <w:rPr>
          <w:noProof/>
        </w:rPr>
        <w:t>posúdiť, či sa tento podiel zmenil po tom, ako sa začali uplatňovať zmeny nariadenia (EÚ) č. 260/2012 zavedené nariadením Európskeho parlamentu</w:t>
      </w:r>
      <w:r w:rsidR="001A0167">
        <w:rPr>
          <w:noProof/>
        </w:rPr>
        <w:t xml:space="preserve"> a </w:t>
      </w:r>
      <w:r w:rsidR="00136075" w:rsidRPr="001A0167">
        <w:rPr>
          <w:noProof/>
        </w:rPr>
        <w:t>Rady (EÚ) 2024/886</w:t>
      </w:r>
      <w:r w:rsidR="00136075" w:rsidRPr="001A0167">
        <w:rPr>
          <w:rStyle w:val="FootnoteReference"/>
          <w:noProof/>
        </w:rPr>
        <w:footnoteReference w:id="3"/>
      </w:r>
      <w:r w:rsidR="00136075" w:rsidRPr="001A0167">
        <w:rPr>
          <w:noProof/>
        </w:rPr>
        <w:t>, by poskytovatelia platobných služieb mali svojim príslušným orgánom poskytnúť údaje</w:t>
      </w:r>
      <w:r w:rsidR="001A0167">
        <w:rPr>
          <w:noProof/>
        </w:rPr>
        <w:t xml:space="preserve"> o </w:t>
      </w:r>
      <w:r w:rsidR="00136075" w:rsidRPr="001A0167">
        <w:rPr>
          <w:noProof/>
        </w:rPr>
        <w:t>tomto podiele</w:t>
      </w:r>
      <w:r w:rsidR="001A0167">
        <w:rPr>
          <w:noProof/>
        </w:rPr>
        <w:t xml:space="preserve"> v </w:t>
      </w:r>
      <w:r w:rsidR="00136075" w:rsidRPr="001A0167">
        <w:rPr>
          <w:noProof/>
        </w:rPr>
        <w:t>danom roku vrátane počtu prípadov, keď sa okamžité úhrady nevykonali alebo keď došlo</w:t>
      </w:r>
      <w:r w:rsidR="001A0167">
        <w:rPr>
          <w:noProof/>
        </w:rPr>
        <w:t xml:space="preserve"> k </w:t>
      </w:r>
      <w:r w:rsidR="00136075" w:rsidRPr="001A0167">
        <w:rPr>
          <w:noProof/>
        </w:rPr>
        <w:t>zmrazeniu finančných prostriedkov na strane poskytovateľa platobných služieb platiteľa alebo príjemcu</w:t>
      </w:r>
      <w:r w:rsidR="001A0167">
        <w:rPr>
          <w:noProof/>
        </w:rPr>
        <w:t>.</w:t>
      </w:r>
    </w:p>
    <w:p w:rsidR="0039723A" w:rsidRPr="001A0167" w:rsidRDefault="00CB3129" w:rsidP="00CB3129">
      <w:pPr>
        <w:pStyle w:val="ManualConsidrant"/>
        <w:rPr>
          <w:noProof/>
        </w:rPr>
      </w:pPr>
      <w:r w:rsidRPr="00CB3129">
        <w:rPr>
          <w:noProof/>
        </w:rPr>
        <w:t>(7)</w:t>
      </w:r>
      <w:r w:rsidRPr="00CB3129">
        <w:rPr>
          <w:noProof/>
        </w:rPr>
        <w:tab/>
      </w:r>
      <w:r w:rsidR="00B17DF1" w:rsidRPr="001A0167">
        <w:rPr>
          <w:noProof/>
        </w:rPr>
        <w:t>V záujme harmonizácie predkladania správ by poskytovatelia platobných služieb mali používať model údajových bodov</w:t>
      </w:r>
      <w:r w:rsidR="001A0167">
        <w:rPr>
          <w:noProof/>
        </w:rPr>
        <w:t xml:space="preserve"> a </w:t>
      </w:r>
      <w:r w:rsidR="00B17DF1" w:rsidRPr="001A0167">
        <w:rPr>
          <w:noProof/>
        </w:rPr>
        <w:t>vzorce pre validáciu sprístupnené na webovom sídle Európskeho orgánu pre bankovníctvo (EBA).</w:t>
      </w:r>
      <w:r w:rsidR="001A0167">
        <w:rPr>
          <w:noProof/>
        </w:rPr>
        <w:t xml:space="preserve"> S </w:t>
      </w:r>
      <w:r w:rsidR="00B17DF1" w:rsidRPr="001A0167">
        <w:rPr>
          <w:noProof/>
        </w:rPr>
        <w:t>cieľom znížiť záťaž spojenú</w:t>
      </w:r>
      <w:r w:rsidR="001A0167">
        <w:rPr>
          <w:noProof/>
        </w:rPr>
        <w:t xml:space="preserve"> s </w:t>
      </w:r>
      <w:r w:rsidR="00B17DF1" w:rsidRPr="001A0167">
        <w:rPr>
          <w:noProof/>
        </w:rPr>
        <w:t>predkladaním správ</w:t>
      </w:r>
      <w:r w:rsidR="001A0167">
        <w:rPr>
          <w:noProof/>
        </w:rPr>
        <w:t xml:space="preserve"> a </w:t>
      </w:r>
      <w:r w:rsidR="00B17DF1" w:rsidRPr="001A0167">
        <w:rPr>
          <w:noProof/>
        </w:rPr>
        <w:t>zabrániť akejkoľvek duplicite by príslušné orgány okrem toho mali mať možnosť povoliť poskytovateľom platobných služieb nachádzajúcim sa</w:t>
      </w:r>
      <w:r w:rsidR="001A0167">
        <w:rPr>
          <w:noProof/>
        </w:rPr>
        <w:t xml:space="preserve"> v </w:t>
      </w:r>
      <w:r w:rsidR="00B17DF1" w:rsidRPr="001A0167">
        <w:rPr>
          <w:noProof/>
        </w:rPr>
        <w:t>ich jurisdikcii, aby predkladanie správ obmedzili na tie údajové body, ktoré ešte neboli predložené.</w:t>
      </w:r>
    </w:p>
    <w:p w:rsidR="009713B0" w:rsidRPr="001A0167" w:rsidRDefault="00CB3129" w:rsidP="00CB3129">
      <w:pPr>
        <w:pStyle w:val="ManualConsidrant"/>
        <w:rPr>
          <w:noProof/>
        </w:rPr>
      </w:pPr>
      <w:r w:rsidRPr="00CB3129">
        <w:rPr>
          <w:noProof/>
        </w:rPr>
        <w:t>(8)</w:t>
      </w:r>
      <w:r w:rsidRPr="00CB3129">
        <w:rPr>
          <w:noProof/>
        </w:rPr>
        <w:tab/>
      </w:r>
      <w:r w:rsidR="009713B0" w:rsidRPr="001A0167">
        <w:rPr>
          <w:noProof/>
        </w:rPr>
        <w:t>Toto nariadenie vychádza</w:t>
      </w:r>
      <w:r w:rsidR="001A0167">
        <w:rPr>
          <w:noProof/>
        </w:rPr>
        <w:t xml:space="preserve"> z </w:t>
      </w:r>
      <w:r w:rsidR="009713B0" w:rsidRPr="001A0167">
        <w:rPr>
          <w:noProof/>
        </w:rPr>
        <w:t>návrhu vykonávacích technických predpisov, ktorý Komisii predložil orgán EBA.</w:t>
      </w:r>
    </w:p>
    <w:p w:rsidR="009713B0" w:rsidRPr="001A0167" w:rsidRDefault="00CB3129" w:rsidP="00CB3129">
      <w:pPr>
        <w:pStyle w:val="ManualConsidrant"/>
        <w:rPr>
          <w:noProof/>
        </w:rPr>
      </w:pPr>
      <w:r w:rsidRPr="00CB3129">
        <w:rPr>
          <w:noProof/>
        </w:rPr>
        <w:t>(9)</w:t>
      </w:r>
      <w:r w:rsidRPr="00CB3129">
        <w:rPr>
          <w:noProof/>
        </w:rPr>
        <w:tab/>
      </w:r>
      <w:r w:rsidR="009713B0" w:rsidRPr="001A0167">
        <w:rPr>
          <w:noProof/>
        </w:rPr>
        <w:t>Orgán EBA uskutočnil otvorené verejné konzultácie</w:t>
      </w:r>
      <w:r w:rsidR="001A0167">
        <w:rPr>
          <w:noProof/>
        </w:rPr>
        <w:t xml:space="preserve"> o </w:t>
      </w:r>
      <w:r w:rsidR="009713B0" w:rsidRPr="001A0167">
        <w:rPr>
          <w:noProof/>
        </w:rPr>
        <w:t>návrhu vykonávacích technických predpisov,</w:t>
      </w:r>
      <w:r w:rsidR="001A0167">
        <w:rPr>
          <w:noProof/>
        </w:rPr>
        <w:t xml:space="preserve"> z </w:t>
      </w:r>
      <w:r w:rsidR="009713B0" w:rsidRPr="001A0167">
        <w:rPr>
          <w:noProof/>
        </w:rPr>
        <w:t>ktorého vychádza toto nariadenie, analyzoval možné súvisiace náklady</w:t>
      </w:r>
      <w:r w:rsidR="001A0167">
        <w:rPr>
          <w:noProof/>
        </w:rPr>
        <w:t xml:space="preserve"> a </w:t>
      </w:r>
      <w:r w:rsidR="009713B0" w:rsidRPr="001A0167">
        <w:rPr>
          <w:noProof/>
        </w:rPr>
        <w:t>prínosy</w:t>
      </w:r>
      <w:r w:rsidR="001A0167">
        <w:rPr>
          <w:noProof/>
        </w:rPr>
        <w:t xml:space="preserve"> a </w:t>
      </w:r>
      <w:r w:rsidR="009713B0" w:rsidRPr="001A0167">
        <w:rPr>
          <w:noProof/>
        </w:rPr>
        <w:t>požiadal</w:t>
      </w:r>
      <w:r w:rsidR="001A0167">
        <w:rPr>
          <w:noProof/>
        </w:rPr>
        <w:t xml:space="preserve"> o </w:t>
      </w:r>
      <w:r w:rsidR="009713B0" w:rsidRPr="001A0167">
        <w:rPr>
          <w:noProof/>
        </w:rPr>
        <w:t>poradenstvo Skupinu zainteresovaných strán</w:t>
      </w:r>
      <w:r w:rsidR="001A0167">
        <w:rPr>
          <w:noProof/>
        </w:rPr>
        <w:t xml:space="preserve"> v </w:t>
      </w:r>
      <w:r w:rsidR="009713B0" w:rsidRPr="001A0167">
        <w:rPr>
          <w:noProof/>
        </w:rPr>
        <w:t>bankovníctve vytvorenú</w:t>
      </w:r>
      <w:r w:rsidR="001A0167">
        <w:rPr>
          <w:noProof/>
        </w:rPr>
        <w:t xml:space="preserve"> v </w:t>
      </w:r>
      <w:r w:rsidR="009713B0" w:rsidRPr="001A0167">
        <w:rPr>
          <w:noProof/>
        </w:rPr>
        <w:t>súlade</w:t>
      </w:r>
      <w:r w:rsidR="001A0167">
        <w:rPr>
          <w:noProof/>
        </w:rPr>
        <w:t xml:space="preserve"> s </w:t>
      </w:r>
      <w:r w:rsidR="009713B0" w:rsidRPr="001A0167">
        <w:rPr>
          <w:noProof/>
        </w:rPr>
        <w:t>článkom 37 nariadenia Európskeho parlamentu</w:t>
      </w:r>
      <w:r w:rsidR="001A0167">
        <w:rPr>
          <w:noProof/>
        </w:rPr>
        <w:t xml:space="preserve"> a </w:t>
      </w:r>
      <w:r w:rsidR="009713B0" w:rsidRPr="001A0167">
        <w:rPr>
          <w:noProof/>
        </w:rPr>
        <w:t>Rady (EÚ) č. 1093/2010</w:t>
      </w:r>
      <w:r w:rsidR="009713B0" w:rsidRPr="001A0167">
        <w:rPr>
          <w:rStyle w:val="FootnoteReference"/>
          <w:noProof/>
        </w:rPr>
        <w:footnoteReference w:id="4"/>
      </w:r>
      <w:r w:rsidR="009713B0" w:rsidRPr="001A0167">
        <w:rPr>
          <w:noProof/>
        </w:rPr>
        <w:t>,</w:t>
      </w:r>
    </w:p>
    <w:p w:rsidR="009713B0" w:rsidRPr="001A0167" w:rsidRDefault="009713B0" w:rsidP="009713B0">
      <w:pPr>
        <w:pStyle w:val="Formuledadoption"/>
        <w:rPr>
          <w:noProof/>
        </w:rPr>
      </w:pPr>
      <w:r w:rsidRPr="001A0167">
        <w:rPr>
          <w:noProof/>
        </w:rPr>
        <w:t>PRIJALA TOTO NARIADENIE:</w:t>
      </w:r>
    </w:p>
    <w:p w:rsidR="009713B0" w:rsidRPr="001A0167" w:rsidRDefault="009713B0" w:rsidP="009713B0">
      <w:pPr>
        <w:pStyle w:val="Titrearticle"/>
        <w:rPr>
          <w:noProof/>
        </w:rPr>
      </w:pPr>
      <w:r w:rsidRPr="001A0167">
        <w:rPr>
          <w:noProof/>
        </w:rPr>
        <w:t>Článok 1</w:t>
      </w:r>
    </w:p>
    <w:p w:rsidR="009713B0" w:rsidRPr="001A0167" w:rsidRDefault="009713B0" w:rsidP="009713B0">
      <w:pPr>
        <w:jc w:val="center"/>
        <w:rPr>
          <w:b/>
          <w:bCs/>
          <w:noProof/>
        </w:rPr>
      </w:pPr>
      <w:r w:rsidRPr="001A0167">
        <w:rPr>
          <w:b/>
          <w:noProof/>
        </w:rPr>
        <w:t>Predkladanie správ</w:t>
      </w:r>
      <w:r w:rsidR="001A0167">
        <w:rPr>
          <w:b/>
          <w:noProof/>
        </w:rPr>
        <w:t xml:space="preserve"> o </w:t>
      </w:r>
      <w:r w:rsidRPr="001A0167">
        <w:rPr>
          <w:b/>
          <w:noProof/>
        </w:rPr>
        <w:t>výške poplatkov</w:t>
      </w:r>
    </w:p>
    <w:p w:rsidR="009713B0" w:rsidRPr="001A0167" w:rsidRDefault="009713B0" w:rsidP="009713B0">
      <w:pPr>
        <w:pStyle w:val="Point0"/>
        <w:rPr>
          <w:noProof/>
        </w:rPr>
      </w:pPr>
      <w:r w:rsidRPr="001A0167">
        <w:rPr>
          <w:noProof/>
        </w:rPr>
        <w:t>1.</w:t>
      </w:r>
      <w:r w:rsidRPr="001A0167">
        <w:rPr>
          <w:noProof/>
        </w:rPr>
        <w:tab/>
        <w:t>Poskytovatelia platobných služieb predkladajú správy</w:t>
      </w:r>
      <w:r w:rsidR="001A0167">
        <w:rPr>
          <w:noProof/>
        </w:rPr>
        <w:t xml:space="preserve"> o </w:t>
      </w:r>
      <w:r w:rsidRPr="001A0167">
        <w:rPr>
          <w:noProof/>
        </w:rPr>
        <w:t>výške poplatkov za úhrady, okamžité úhrady</w:t>
      </w:r>
      <w:r w:rsidR="001A0167">
        <w:rPr>
          <w:noProof/>
        </w:rPr>
        <w:t xml:space="preserve"> a </w:t>
      </w:r>
      <w:r w:rsidRPr="001A0167">
        <w:rPr>
          <w:noProof/>
        </w:rPr>
        <w:t>platobné účty tak, že predkladajú informácie uvedené vo vzoroch 1.1, 1.2, 2.1, 2.2</w:t>
      </w:r>
      <w:r w:rsidR="001A0167">
        <w:rPr>
          <w:noProof/>
        </w:rPr>
        <w:t xml:space="preserve"> a </w:t>
      </w:r>
      <w:r w:rsidRPr="001A0167">
        <w:rPr>
          <w:noProof/>
        </w:rPr>
        <w:t>3 stanovených</w:t>
      </w:r>
      <w:r w:rsidR="001A0167">
        <w:rPr>
          <w:noProof/>
        </w:rPr>
        <w:t xml:space="preserve"> v </w:t>
      </w:r>
      <w:r w:rsidRPr="001A0167">
        <w:rPr>
          <w:noProof/>
        </w:rPr>
        <w:t>prílohe I,</w:t>
      </w:r>
      <w:r w:rsidR="001A0167">
        <w:rPr>
          <w:noProof/>
        </w:rPr>
        <w:t xml:space="preserve"> a v </w:t>
      </w:r>
      <w:r w:rsidRPr="001A0167">
        <w:rPr>
          <w:noProof/>
        </w:rPr>
        <w:t>súlade</w:t>
      </w:r>
      <w:r w:rsidR="001A0167">
        <w:rPr>
          <w:noProof/>
        </w:rPr>
        <w:t xml:space="preserve"> s </w:t>
      </w:r>
      <w:r w:rsidRPr="001A0167">
        <w:rPr>
          <w:noProof/>
        </w:rPr>
        <w:t>pokynmi stanovenými</w:t>
      </w:r>
      <w:r w:rsidR="001A0167">
        <w:rPr>
          <w:noProof/>
        </w:rPr>
        <w:t xml:space="preserve"> v </w:t>
      </w:r>
      <w:r w:rsidRPr="001A0167">
        <w:rPr>
          <w:noProof/>
        </w:rPr>
        <w:t>prílohe II.</w:t>
      </w:r>
    </w:p>
    <w:p w:rsidR="009713B0" w:rsidRPr="001A0167" w:rsidRDefault="009713B0" w:rsidP="009713B0">
      <w:pPr>
        <w:pStyle w:val="Point0"/>
        <w:rPr>
          <w:noProof/>
        </w:rPr>
      </w:pPr>
      <w:r w:rsidRPr="001A0167">
        <w:rPr>
          <w:noProof/>
        </w:rPr>
        <w:t>2.</w:t>
      </w:r>
      <w:r w:rsidRPr="001A0167">
        <w:rPr>
          <w:noProof/>
        </w:rPr>
        <w:tab/>
        <w:t>Poskytovatelia platobných služieb vykazujú ročné súhrnné údaje za obdobie do 31</w:t>
      </w:r>
      <w:r w:rsidR="001A0167">
        <w:rPr>
          <w:noProof/>
        </w:rPr>
        <w:t>. decembra</w:t>
      </w:r>
      <w:r w:rsidRPr="001A0167">
        <w:rPr>
          <w:noProof/>
        </w:rPr>
        <w:t xml:space="preserve"> kalendárneho roka, ktorý predchádza roku,</w:t>
      </w:r>
      <w:r w:rsidR="001A0167">
        <w:rPr>
          <w:noProof/>
        </w:rPr>
        <w:t xml:space="preserve"> v </w:t>
      </w:r>
      <w:r w:rsidRPr="001A0167">
        <w:rPr>
          <w:noProof/>
        </w:rPr>
        <w:t>ktorom sa správa predkladá.</w:t>
      </w:r>
    </w:p>
    <w:p w:rsidR="009713B0" w:rsidRPr="001A0167" w:rsidRDefault="009713B0" w:rsidP="009713B0">
      <w:pPr>
        <w:pStyle w:val="Point0"/>
        <w:rPr>
          <w:noProof/>
        </w:rPr>
      </w:pPr>
      <w:r w:rsidRPr="001A0167">
        <w:rPr>
          <w:noProof/>
        </w:rPr>
        <w:t>3.</w:t>
      </w:r>
      <w:r w:rsidRPr="001A0167">
        <w:rPr>
          <w:noProof/>
        </w:rPr>
        <w:tab/>
        <w:t>Odchylne od odseku 2 musí prvá harmonizovaná správa obsahovať súhrnné údaje za každý rok predchádzajúci roku,</w:t>
      </w:r>
      <w:r w:rsidR="001A0167">
        <w:rPr>
          <w:noProof/>
        </w:rPr>
        <w:t xml:space="preserve"> v </w:t>
      </w:r>
      <w:r w:rsidRPr="001A0167">
        <w:rPr>
          <w:noProof/>
        </w:rPr>
        <w:t>ktorom sa správa predkladá, počnúc obdobím od 26</w:t>
      </w:r>
      <w:r w:rsidR="001A0167">
        <w:rPr>
          <w:noProof/>
        </w:rPr>
        <w:t>. októbra</w:t>
      </w:r>
      <w:r w:rsidRPr="001A0167">
        <w:rPr>
          <w:noProof/>
        </w:rPr>
        <w:t xml:space="preserve"> 2022 do 31</w:t>
      </w:r>
      <w:r w:rsidR="001A0167">
        <w:rPr>
          <w:noProof/>
        </w:rPr>
        <w:t>. decembra</w:t>
      </w:r>
      <w:r w:rsidRPr="001A0167">
        <w:rPr>
          <w:noProof/>
        </w:rPr>
        <w:t xml:space="preserve"> 2022 za rok 2022.</w:t>
      </w:r>
    </w:p>
    <w:p w:rsidR="009713B0" w:rsidRPr="001A0167" w:rsidRDefault="009713B0" w:rsidP="009713B0">
      <w:pPr>
        <w:pStyle w:val="Titrearticle"/>
        <w:rPr>
          <w:noProof/>
        </w:rPr>
      </w:pPr>
      <w:r w:rsidRPr="001A0167">
        <w:rPr>
          <w:noProof/>
        </w:rPr>
        <w:t>Článok 2</w:t>
      </w:r>
    </w:p>
    <w:p w:rsidR="009713B0" w:rsidRPr="001A0167" w:rsidRDefault="009713B0" w:rsidP="009713B0">
      <w:pPr>
        <w:jc w:val="center"/>
        <w:rPr>
          <w:b/>
          <w:bCs/>
          <w:noProof/>
        </w:rPr>
      </w:pPr>
      <w:r w:rsidRPr="001A0167">
        <w:rPr>
          <w:b/>
          <w:noProof/>
        </w:rPr>
        <w:t>Predkladanie správ</w:t>
      </w:r>
      <w:r w:rsidR="001A0167">
        <w:rPr>
          <w:b/>
          <w:noProof/>
        </w:rPr>
        <w:t xml:space="preserve"> o </w:t>
      </w:r>
      <w:r w:rsidRPr="001A0167">
        <w:rPr>
          <w:b/>
          <w:noProof/>
        </w:rPr>
        <w:t>podiele zamietnutých okamžitých úhrad</w:t>
      </w:r>
      <w:r w:rsidR="001A0167">
        <w:rPr>
          <w:b/>
          <w:noProof/>
        </w:rPr>
        <w:t xml:space="preserve"> a </w:t>
      </w:r>
      <w:r w:rsidRPr="001A0167">
        <w:rPr>
          <w:b/>
          <w:noProof/>
        </w:rPr>
        <w:t>referenčné obdobia</w:t>
      </w:r>
    </w:p>
    <w:p w:rsidR="009713B0" w:rsidRPr="001A0167" w:rsidRDefault="009713B0" w:rsidP="009713B0">
      <w:pPr>
        <w:pStyle w:val="Point0"/>
        <w:rPr>
          <w:noProof/>
        </w:rPr>
      </w:pPr>
      <w:r w:rsidRPr="001A0167">
        <w:rPr>
          <w:noProof/>
        </w:rPr>
        <w:t>1.</w:t>
      </w:r>
      <w:r w:rsidRPr="001A0167">
        <w:rPr>
          <w:noProof/>
        </w:rPr>
        <w:tab/>
        <w:t>Poskytovatelia platobných služieb predkladajú správy</w:t>
      </w:r>
      <w:r w:rsidR="001A0167">
        <w:rPr>
          <w:noProof/>
        </w:rPr>
        <w:t xml:space="preserve"> o </w:t>
      </w:r>
      <w:r w:rsidRPr="001A0167">
        <w:rPr>
          <w:noProof/>
        </w:rPr>
        <w:t>podiele okamžitých úhrad, ktoré boli zamietnuté</w:t>
      </w:r>
      <w:r w:rsidR="001A0167">
        <w:rPr>
          <w:noProof/>
        </w:rPr>
        <w:t xml:space="preserve"> z </w:t>
      </w:r>
      <w:r w:rsidRPr="001A0167">
        <w:rPr>
          <w:noProof/>
        </w:rPr>
        <w:t>dôvodu cielených finančných reštriktívnych opatrení, ako sa uvádza</w:t>
      </w:r>
      <w:r w:rsidR="001A0167">
        <w:rPr>
          <w:noProof/>
        </w:rPr>
        <w:t xml:space="preserve"> v </w:t>
      </w:r>
      <w:r w:rsidRPr="001A0167">
        <w:rPr>
          <w:noProof/>
        </w:rPr>
        <w:t>článku 15 ods. 3 nariadenia (EÚ) č. 260/2012, vrátane samostatných údajov za vnútroštátne</w:t>
      </w:r>
      <w:r w:rsidR="001A0167">
        <w:rPr>
          <w:noProof/>
        </w:rPr>
        <w:t xml:space="preserve"> a </w:t>
      </w:r>
      <w:r w:rsidRPr="001A0167">
        <w:rPr>
          <w:noProof/>
        </w:rPr>
        <w:t>cezhraničné transakcie tak, že predkladajú informácie uvedené vo vzore 4 stanovenom</w:t>
      </w:r>
      <w:r w:rsidR="001A0167">
        <w:rPr>
          <w:noProof/>
        </w:rPr>
        <w:t xml:space="preserve"> v </w:t>
      </w:r>
      <w:r w:rsidRPr="001A0167">
        <w:rPr>
          <w:noProof/>
        </w:rPr>
        <w:t>prílohe I,</w:t>
      </w:r>
      <w:r w:rsidR="001A0167">
        <w:rPr>
          <w:noProof/>
        </w:rPr>
        <w:t xml:space="preserve"> a v </w:t>
      </w:r>
      <w:r w:rsidRPr="001A0167">
        <w:rPr>
          <w:noProof/>
        </w:rPr>
        <w:t>súlade</w:t>
      </w:r>
      <w:r w:rsidR="001A0167">
        <w:rPr>
          <w:noProof/>
        </w:rPr>
        <w:t xml:space="preserve"> s </w:t>
      </w:r>
      <w:r w:rsidRPr="001A0167">
        <w:rPr>
          <w:noProof/>
        </w:rPr>
        <w:t>pokynmi stanovenými</w:t>
      </w:r>
      <w:r w:rsidR="001A0167">
        <w:rPr>
          <w:noProof/>
        </w:rPr>
        <w:t xml:space="preserve"> v </w:t>
      </w:r>
      <w:r w:rsidRPr="001A0167">
        <w:rPr>
          <w:noProof/>
        </w:rPr>
        <w:t>prílohe II.</w:t>
      </w:r>
    </w:p>
    <w:p w:rsidR="009713B0" w:rsidRPr="001A0167" w:rsidRDefault="009713B0" w:rsidP="009713B0">
      <w:pPr>
        <w:pStyle w:val="Point0"/>
        <w:rPr>
          <w:noProof/>
        </w:rPr>
      </w:pPr>
      <w:r w:rsidRPr="001A0167">
        <w:rPr>
          <w:noProof/>
        </w:rPr>
        <w:t>2.</w:t>
      </w:r>
      <w:r w:rsidRPr="001A0167">
        <w:rPr>
          <w:noProof/>
        </w:rPr>
        <w:tab/>
        <w:t>Správy musia obsahovať počet zamietnutí za kalendárny rok predchádzajúci roku,</w:t>
      </w:r>
      <w:r w:rsidR="001A0167">
        <w:rPr>
          <w:noProof/>
        </w:rPr>
        <w:t xml:space="preserve"> v </w:t>
      </w:r>
      <w:r w:rsidRPr="001A0167">
        <w:rPr>
          <w:noProof/>
        </w:rPr>
        <w:t>ktorom sa správa predkladá.</w:t>
      </w:r>
    </w:p>
    <w:p w:rsidR="00AD7B15" w:rsidRPr="001A0167" w:rsidRDefault="009713B0" w:rsidP="009713B0">
      <w:pPr>
        <w:pStyle w:val="Point0"/>
        <w:rPr>
          <w:noProof/>
        </w:rPr>
      </w:pPr>
      <w:r w:rsidRPr="001A0167">
        <w:rPr>
          <w:noProof/>
        </w:rPr>
        <w:t>3.</w:t>
      </w:r>
      <w:r w:rsidRPr="001A0167">
        <w:rPr>
          <w:noProof/>
        </w:rPr>
        <w:tab/>
        <w:t>Odchylne od odseku 2 musí prvá harmonizovaná správa obsahovať vyplnené vzory</w:t>
      </w:r>
      <w:r w:rsidR="001A0167">
        <w:rPr>
          <w:noProof/>
        </w:rPr>
        <w:t xml:space="preserve"> s </w:t>
      </w:r>
      <w:r w:rsidRPr="001A0167">
        <w:rPr>
          <w:noProof/>
        </w:rPr>
        <w:t>počtom zamietnutí za každý rok predchádzajúci roku,</w:t>
      </w:r>
      <w:r w:rsidR="001A0167">
        <w:rPr>
          <w:noProof/>
        </w:rPr>
        <w:t xml:space="preserve"> v </w:t>
      </w:r>
      <w:r w:rsidRPr="001A0167">
        <w:rPr>
          <w:noProof/>
        </w:rPr>
        <w:t>ktorom sa správa predkladá, počnúc obdobím od 26</w:t>
      </w:r>
      <w:r w:rsidR="001A0167">
        <w:rPr>
          <w:noProof/>
        </w:rPr>
        <w:t>. októbra</w:t>
      </w:r>
      <w:r w:rsidRPr="001A0167">
        <w:rPr>
          <w:noProof/>
        </w:rPr>
        <w:t xml:space="preserve"> 2022 do 31</w:t>
      </w:r>
      <w:r w:rsidR="001A0167">
        <w:rPr>
          <w:noProof/>
        </w:rPr>
        <w:t>. decembra</w:t>
      </w:r>
      <w:r w:rsidRPr="001A0167">
        <w:rPr>
          <w:noProof/>
        </w:rPr>
        <w:t xml:space="preserve"> 2022 za rok 2022.</w:t>
      </w:r>
    </w:p>
    <w:p w:rsidR="00AD7B15" w:rsidRPr="001A0167" w:rsidRDefault="00AD7B15">
      <w:pPr>
        <w:spacing w:before="0" w:after="200" w:line="276" w:lineRule="auto"/>
        <w:jc w:val="left"/>
        <w:rPr>
          <w:noProof/>
        </w:rPr>
      </w:pPr>
      <w:r w:rsidRPr="001A0167">
        <w:rPr>
          <w:noProof/>
        </w:rPr>
        <w:br w:type="page"/>
      </w:r>
    </w:p>
    <w:p w:rsidR="009713B0" w:rsidRPr="001A0167" w:rsidRDefault="009713B0" w:rsidP="009713B0">
      <w:pPr>
        <w:pStyle w:val="Titrearticle"/>
        <w:rPr>
          <w:noProof/>
        </w:rPr>
      </w:pPr>
      <w:r w:rsidRPr="001A0167">
        <w:rPr>
          <w:noProof/>
        </w:rPr>
        <w:t>Článok 3</w:t>
      </w:r>
    </w:p>
    <w:p w:rsidR="009713B0" w:rsidRPr="001A0167" w:rsidRDefault="009713B0" w:rsidP="009713B0">
      <w:pPr>
        <w:jc w:val="center"/>
        <w:rPr>
          <w:b/>
          <w:bCs/>
          <w:noProof/>
        </w:rPr>
      </w:pPr>
      <w:r w:rsidRPr="001A0167">
        <w:rPr>
          <w:b/>
          <w:noProof/>
        </w:rPr>
        <w:t>Formáty výmeny údajov</w:t>
      </w:r>
      <w:r w:rsidR="001A0167">
        <w:rPr>
          <w:b/>
          <w:noProof/>
        </w:rPr>
        <w:t xml:space="preserve"> a </w:t>
      </w:r>
      <w:r w:rsidRPr="001A0167">
        <w:rPr>
          <w:b/>
          <w:noProof/>
        </w:rPr>
        <w:t>sprievodné informácie</w:t>
      </w:r>
      <w:r w:rsidR="001A0167">
        <w:rPr>
          <w:b/>
          <w:noProof/>
        </w:rPr>
        <w:t xml:space="preserve"> k </w:t>
      </w:r>
      <w:r w:rsidRPr="001A0167">
        <w:rPr>
          <w:b/>
          <w:noProof/>
        </w:rPr>
        <w:t>predkladaným údajom</w:t>
      </w:r>
    </w:p>
    <w:p w:rsidR="009713B0" w:rsidRPr="001A0167" w:rsidRDefault="009713B0" w:rsidP="009713B0">
      <w:pPr>
        <w:rPr>
          <w:noProof/>
        </w:rPr>
      </w:pPr>
      <w:r w:rsidRPr="001A0167">
        <w:rPr>
          <w:noProof/>
        </w:rPr>
        <w:t>Poskytovatelia platobných služieb predkladajú informácie uvedené</w:t>
      </w:r>
      <w:r w:rsidR="001A0167">
        <w:rPr>
          <w:noProof/>
        </w:rPr>
        <w:t xml:space="preserve"> v </w:t>
      </w:r>
      <w:r w:rsidRPr="001A0167">
        <w:rPr>
          <w:noProof/>
        </w:rPr>
        <w:t>článkoch 1</w:t>
      </w:r>
      <w:r w:rsidR="001A0167">
        <w:rPr>
          <w:noProof/>
        </w:rPr>
        <w:t xml:space="preserve"> a </w:t>
      </w:r>
      <w:r w:rsidRPr="001A0167">
        <w:rPr>
          <w:noProof/>
        </w:rPr>
        <w:t>2 tohto nariadenia vo formátoch výmeny údajov</w:t>
      </w:r>
      <w:r w:rsidR="001A0167">
        <w:rPr>
          <w:noProof/>
        </w:rPr>
        <w:t xml:space="preserve"> a v </w:t>
      </w:r>
      <w:r w:rsidRPr="001A0167">
        <w:rPr>
          <w:noProof/>
        </w:rPr>
        <w:t>podobách, ktoré stanovili príslušné orgány, pričom dodržiavajú vymedzenie údajového bodu daného modelu údajových bodov</w:t>
      </w:r>
      <w:r w:rsidR="001A0167">
        <w:rPr>
          <w:noProof/>
        </w:rPr>
        <w:t xml:space="preserve"> a </w:t>
      </w:r>
      <w:r w:rsidRPr="001A0167">
        <w:rPr>
          <w:noProof/>
        </w:rPr>
        <w:t>vzorce pre validáciu sprístupnené na webovom sídle Európskeho orgánu pre bankovníctvo. Poskytovatelia platobných služieb musia dodržiavať tieto špecifikácie:</w:t>
      </w:r>
    </w:p>
    <w:p w:rsidR="009713B0" w:rsidRPr="001A0167" w:rsidRDefault="001A0167" w:rsidP="001A0167">
      <w:pPr>
        <w:pStyle w:val="Point0"/>
        <w:rPr>
          <w:noProof/>
        </w:rPr>
      </w:pPr>
      <w:r>
        <w:rPr>
          <w:noProof/>
        </w:rPr>
        <w:t>a)</w:t>
      </w:r>
      <w:r>
        <w:rPr>
          <w:noProof/>
        </w:rPr>
        <w:tab/>
      </w:r>
      <w:r w:rsidR="009713B0" w:rsidRPr="001A0167">
        <w:rPr>
          <w:noProof/>
        </w:rPr>
        <w:t>informácie, ktoré sa nepožadujú alebo neuplatňujú, sa do predložených údajov nezahŕňajú;</w:t>
      </w:r>
    </w:p>
    <w:p w:rsidR="009713B0" w:rsidRPr="001A0167" w:rsidRDefault="001A0167" w:rsidP="001A0167">
      <w:pPr>
        <w:pStyle w:val="Point0"/>
        <w:rPr>
          <w:noProof/>
        </w:rPr>
      </w:pPr>
      <w:r>
        <w:rPr>
          <w:noProof/>
        </w:rPr>
        <w:t>b)</w:t>
      </w:r>
      <w:r>
        <w:rPr>
          <w:noProof/>
        </w:rPr>
        <w:tab/>
      </w:r>
      <w:r w:rsidR="009713B0" w:rsidRPr="001A0167">
        <w:rPr>
          <w:noProof/>
        </w:rPr>
        <w:t>číselné hodnoty sa predkladajú takto:</w:t>
      </w:r>
    </w:p>
    <w:p w:rsidR="009713B0" w:rsidRPr="001A0167" w:rsidRDefault="0055071E" w:rsidP="009713B0">
      <w:pPr>
        <w:pStyle w:val="Point1"/>
        <w:rPr>
          <w:noProof/>
        </w:rPr>
      </w:pPr>
      <w:r w:rsidRPr="001A0167">
        <w:rPr>
          <w:noProof/>
        </w:rPr>
        <w:t>i)</w:t>
      </w:r>
      <w:r w:rsidRPr="001A0167">
        <w:rPr>
          <w:noProof/>
        </w:rPr>
        <w:tab/>
        <w:t>poskytovatelia platobných služieb vykazujú údajové body</w:t>
      </w:r>
      <w:r w:rsidR="001A0167">
        <w:rPr>
          <w:noProof/>
        </w:rPr>
        <w:t xml:space="preserve"> s </w:t>
      </w:r>
      <w:r w:rsidRPr="001A0167">
        <w:rPr>
          <w:noProof/>
        </w:rPr>
        <w:t>druhom údajov „peňažné“</w:t>
      </w:r>
      <w:r w:rsidR="001A0167">
        <w:rPr>
          <w:noProof/>
        </w:rPr>
        <w:t xml:space="preserve"> s </w:t>
      </w:r>
      <w:r w:rsidRPr="001A0167">
        <w:rPr>
          <w:noProof/>
        </w:rPr>
        <w:t>minimálnou presnosťou zodpovedajúcou tisícom jednotiek;</w:t>
      </w:r>
    </w:p>
    <w:p w:rsidR="009713B0" w:rsidRPr="001A0167" w:rsidRDefault="0055071E" w:rsidP="009713B0">
      <w:pPr>
        <w:pStyle w:val="Point1"/>
        <w:rPr>
          <w:noProof/>
        </w:rPr>
      </w:pPr>
      <w:r w:rsidRPr="001A0167">
        <w:rPr>
          <w:noProof/>
        </w:rPr>
        <w:t>ii)</w:t>
      </w:r>
      <w:r w:rsidRPr="001A0167">
        <w:rPr>
          <w:noProof/>
        </w:rPr>
        <w:tab/>
        <w:t>poskytovatelia platobných služieb pri vykazovaní údajových bodov</w:t>
      </w:r>
      <w:r w:rsidR="001A0167">
        <w:rPr>
          <w:noProof/>
        </w:rPr>
        <w:t xml:space="preserve"> s </w:t>
      </w:r>
      <w:r w:rsidRPr="001A0167">
        <w:rPr>
          <w:noProof/>
        </w:rPr>
        <w:t>druhom údajov „celé číslo“ nepoužívajú desatinné miesta</w:t>
      </w:r>
      <w:r w:rsidR="001A0167">
        <w:rPr>
          <w:noProof/>
        </w:rPr>
        <w:t xml:space="preserve"> a </w:t>
      </w:r>
      <w:r w:rsidRPr="001A0167">
        <w:rPr>
          <w:noProof/>
        </w:rPr>
        <w:t>používajú presnosť zodpovedajúcu jednotkám;</w:t>
      </w:r>
    </w:p>
    <w:p w:rsidR="009713B0" w:rsidRPr="001A0167" w:rsidRDefault="009713B0" w:rsidP="009713B0">
      <w:pPr>
        <w:pStyle w:val="Titrearticle"/>
        <w:rPr>
          <w:noProof/>
        </w:rPr>
      </w:pPr>
      <w:r w:rsidRPr="001A0167">
        <w:rPr>
          <w:noProof/>
        </w:rPr>
        <w:t>Článok 4</w:t>
      </w:r>
    </w:p>
    <w:p w:rsidR="009713B0" w:rsidRPr="001A0167" w:rsidRDefault="009713B0" w:rsidP="009713B0">
      <w:pPr>
        <w:jc w:val="center"/>
        <w:rPr>
          <w:noProof/>
        </w:rPr>
      </w:pPr>
      <w:r w:rsidRPr="001A0167">
        <w:rPr>
          <w:b/>
          <w:noProof/>
        </w:rPr>
        <w:t>Nadobudnutie účinnosti</w:t>
      </w:r>
    </w:p>
    <w:p w:rsidR="009713B0" w:rsidRPr="001A0167" w:rsidRDefault="009713B0" w:rsidP="009713B0">
      <w:pPr>
        <w:rPr>
          <w:noProof/>
        </w:rPr>
      </w:pPr>
      <w:r w:rsidRPr="001A0167">
        <w:rPr>
          <w:noProof/>
        </w:rPr>
        <w:t>Toto nariadenie nadobúda účinnosť dvadsiatym dňom nasledujúcim po jeho uverejnení</w:t>
      </w:r>
      <w:r w:rsidR="001A0167">
        <w:rPr>
          <w:noProof/>
        </w:rPr>
        <w:t xml:space="preserve"> v </w:t>
      </w:r>
      <w:r w:rsidRPr="001A0167">
        <w:rPr>
          <w:i/>
          <w:noProof/>
        </w:rPr>
        <w:t>Úradnom vestníku Európskej únie</w:t>
      </w:r>
      <w:r w:rsidRPr="001A0167">
        <w:rPr>
          <w:noProof/>
        </w:rPr>
        <w:t>.</w:t>
      </w:r>
    </w:p>
    <w:p w:rsidR="009713B0" w:rsidRPr="001A0167" w:rsidRDefault="009713B0" w:rsidP="009713B0">
      <w:pPr>
        <w:pStyle w:val="Applicationdirecte"/>
        <w:rPr>
          <w:noProof/>
        </w:rPr>
      </w:pPr>
      <w:r w:rsidRPr="001A0167">
        <w:rPr>
          <w:noProof/>
        </w:rPr>
        <w:t>Toto nariadenie je záväzné</w:t>
      </w:r>
      <w:r w:rsidR="001A0167">
        <w:rPr>
          <w:noProof/>
        </w:rPr>
        <w:t xml:space="preserve"> v </w:t>
      </w:r>
      <w:r w:rsidRPr="001A0167">
        <w:rPr>
          <w:noProof/>
        </w:rPr>
        <w:t>celom rozsahu</w:t>
      </w:r>
      <w:r w:rsidR="001A0167">
        <w:rPr>
          <w:noProof/>
        </w:rPr>
        <w:t xml:space="preserve"> a </w:t>
      </w:r>
      <w:r w:rsidRPr="001A0167">
        <w:rPr>
          <w:noProof/>
        </w:rPr>
        <w:t>priamo uplatniteľné vo všetkých členských štátoch.</w:t>
      </w:r>
    </w:p>
    <w:p w:rsidR="009713B0" w:rsidRPr="001A0167" w:rsidRDefault="00656859" w:rsidP="004752C1">
      <w:pPr>
        <w:pStyle w:val="Fait"/>
        <w:rPr>
          <w:noProof/>
        </w:rPr>
      </w:pPr>
      <w:r>
        <w:rPr>
          <w:noProof/>
        </w:rPr>
        <w:t>V Bruseli 1. 10. 2025</w:t>
      </w:r>
    </w:p>
    <w:p w:rsidR="009713B0" w:rsidRPr="001A0167" w:rsidRDefault="009713B0" w:rsidP="004752C1">
      <w:pPr>
        <w:pStyle w:val="Institutionquisigne"/>
        <w:rPr>
          <w:noProof/>
        </w:rPr>
      </w:pPr>
      <w:r w:rsidRPr="001A0167">
        <w:rPr>
          <w:noProof/>
        </w:rPr>
        <w:tab/>
        <w:t>Za Komisiu</w:t>
      </w:r>
    </w:p>
    <w:p w:rsidR="00FE7FED" w:rsidRPr="001A0167" w:rsidRDefault="00B964EE" w:rsidP="009713B0">
      <w:pPr>
        <w:pStyle w:val="Personnequisigne"/>
        <w:rPr>
          <w:noProof/>
        </w:rPr>
      </w:pPr>
      <w:r>
        <w:rPr>
          <w:noProof/>
        </w:rPr>
        <w:tab/>
        <w:t>predsedníčka</w:t>
      </w:r>
      <w:r>
        <w:rPr>
          <w:noProof/>
        </w:rPr>
        <w:br/>
      </w:r>
      <w:r>
        <w:rPr>
          <w:noProof/>
        </w:rPr>
        <w:tab/>
        <w:t>Ursula VON DER LEYEN</w:t>
      </w:r>
    </w:p>
    <w:sectPr w:rsidR="00FE7FED" w:rsidRPr="001A0167" w:rsidSect="00A141D7">
      <w:headerReference w:type="even" r:id="rId14"/>
      <w:footerReference w:type="even" r:id="rId15"/>
      <w:footerReference w:type="default" r:id="rId16"/>
      <w:headerReference w:type="first" r:id="rId17"/>
      <w:footerReference w:type="first" r:id="rId18"/>
      <w:pgSz w:w="11907" w:h="16839"/>
      <w:pgMar w:top="1134" w:right="1417" w:bottom="1134"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5097" w:rsidRDefault="004B5097" w:rsidP="00FE7FED">
      <w:pPr>
        <w:spacing w:before="0" w:after="0"/>
      </w:pPr>
      <w:r>
        <w:separator/>
      </w:r>
    </w:p>
  </w:endnote>
  <w:endnote w:type="continuationSeparator" w:id="0">
    <w:p w:rsidR="004B5097" w:rsidRDefault="004B5097" w:rsidP="00FE7FED">
      <w:pPr>
        <w:spacing w:before="0" w:after="0"/>
      </w:pPr>
      <w:r>
        <w:continuationSeparator/>
      </w:r>
    </w:p>
  </w:endnote>
  <w:endnote w:type="continuationNotice" w:id="1">
    <w:p w:rsidR="004B5097" w:rsidRDefault="004B509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41D7" w:rsidRPr="00A141D7" w:rsidRDefault="00A141D7" w:rsidP="00A141D7">
    <w:pPr>
      <w:pStyle w:val="Footer"/>
      <w:rPr>
        <w:rFonts w:ascii="Arial" w:hAnsi="Arial" w:cs="Arial"/>
        <w:b/>
        <w:sz w:val="48"/>
      </w:rPr>
    </w:pPr>
    <w:r w:rsidRPr="00A141D7">
      <w:rPr>
        <w:rFonts w:ascii="Arial" w:hAnsi="Arial" w:cs="Arial"/>
        <w:b/>
        <w:sz w:val="48"/>
      </w:rPr>
      <w:t>SK</w:t>
    </w:r>
    <w:r w:rsidRPr="00A141D7">
      <w:rPr>
        <w:rFonts w:ascii="Arial" w:hAnsi="Arial" w:cs="Arial"/>
        <w:b/>
        <w:sz w:val="48"/>
      </w:rPr>
      <w:tab/>
    </w:r>
    <w:r w:rsidRPr="00A141D7">
      <w:rPr>
        <w:rFonts w:ascii="Arial" w:hAnsi="Arial" w:cs="Arial"/>
        <w:b/>
        <w:sz w:val="48"/>
      </w:rPr>
      <w:tab/>
    </w:r>
    <w:r w:rsidRPr="00A141D7">
      <w:tab/>
    </w:r>
    <w:r w:rsidRPr="00A141D7">
      <w:rPr>
        <w:rFonts w:ascii="Arial" w:hAnsi="Arial" w:cs="Arial"/>
        <w:b/>
        <w:sz w:val="48"/>
      </w:rPr>
      <w:t>SK</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41D7" w:rsidRPr="00A141D7" w:rsidRDefault="00A141D7" w:rsidP="00A141D7">
    <w:pPr>
      <w:pStyle w:val="Footer"/>
      <w:rPr>
        <w:rFonts w:ascii="Arial" w:hAnsi="Arial" w:cs="Arial"/>
        <w:b/>
        <w:sz w:val="48"/>
      </w:rPr>
    </w:pPr>
    <w:r w:rsidRPr="00A141D7">
      <w:rPr>
        <w:rFonts w:ascii="Arial" w:hAnsi="Arial" w:cs="Arial"/>
        <w:b/>
        <w:sz w:val="48"/>
      </w:rPr>
      <w:t>SK</w:t>
    </w:r>
    <w:r w:rsidRPr="00A141D7">
      <w:rPr>
        <w:rFonts w:ascii="Arial" w:hAnsi="Arial" w:cs="Arial"/>
        <w:b/>
        <w:sz w:val="48"/>
      </w:rPr>
      <w:tab/>
    </w:r>
    <w:r w:rsidRPr="00A141D7">
      <w:rPr>
        <w:rFonts w:ascii="Arial" w:hAnsi="Arial" w:cs="Arial"/>
        <w:b/>
        <w:sz w:val="48"/>
      </w:rPr>
      <w:tab/>
    </w:r>
    <w:r w:rsidRPr="00A141D7">
      <w:tab/>
    </w:r>
    <w:r w:rsidRPr="00A141D7">
      <w:rPr>
        <w:rFonts w:ascii="Arial" w:hAnsi="Arial" w:cs="Arial"/>
        <w:b/>
        <w:sz w:val="48"/>
      </w:rPr>
      <w:t>SK</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41D7" w:rsidRDefault="00A141D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41D7" w:rsidRPr="00A141D7" w:rsidRDefault="00A141D7" w:rsidP="00A141D7">
    <w:pPr>
      <w:pStyle w:val="Footer"/>
      <w:rPr>
        <w:rFonts w:ascii="Arial" w:hAnsi="Arial" w:cs="Arial"/>
        <w:b/>
        <w:sz w:val="48"/>
      </w:rPr>
    </w:pPr>
    <w:r w:rsidRPr="00A141D7">
      <w:rPr>
        <w:rFonts w:ascii="Arial" w:hAnsi="Arial" w:cs="Arial"/>
        <w:b/>
        <w:sz w:val="48"/>
      </w:rPr>
      <w:t>SK</w:t>
    </w:r>
    <w:r w:rsidRPr="00A141D7">
      <w:rPr>
        <w:rFonts w:ascii="Arial" w:hAnsi="Arial" w:cs="Arial"/>
        <w:b/>
        <w:sz w:val="48"/>
      </w:rPr>
      <w:tab/>
    </w:r>
    <w:r>
      <w:fldChar w:fldCharType="begin"/>
    </w:r>
    <w:r>
      <w:instrText xml:space="preserve"> PAGE  \* MERGEFORMAT </w:instrText>
    </w:r>
    <w:r>
      <w:fldChar w:fldCharType="separate"/>
    </w:r>
    <w:r w:rsidR="004752C1">
      <w:rPr>
        <w:noProof/>
      </w:rPr>
      <w:t>5</w:t>
    </w:r>
    <w:r>
      <w:fldChar w:fldCharType="end"/>
    </w:r>
    <w:r>
      <w:tab/>
    </w:r>
    <w:r w:rsidRPr="00A141D7">
      <w:tab/>
    </w:r>
    <w:r w:rsidRPr="00A141D7">
      <w:rPr>
        <w:rFonts w:ascii="Arial" w:hAnsi="Arial" w:cs="Arial"/>
        <w:b/>
        <w:sz w:val="48"/>
      </w:rPr>
      <w:t>SK</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41D7" w:rsidRDefault="00A141D7" w:rsidP="00A141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5097" w:rsidRDefault="004B5097" w:rsidP="00FE7FED">
      <w:pPr>
        <w:spacing w:before="0" w:after="0"/>
      </w:pPr>
      <w:r>
        <w:separator/>
      </w:r>
    </w:p>
  </w:footnote>
  <w:footnote w:type="continuationSeparator" w:id="0">
    <w:p w:rsidR="004B5097" w:rsidRDefault="004B5097" w:rsidP="00FE7FED">
      <w:pPr>
        <w:spacing w:before="0" w:after="0"/>
      </w:pPr>
      <w:r>
        <w:continuationSeparator/>
      </w:r>
    </w:p>
  </w:footnote>
  <w:footnote w:type="continuationNotice" w:id="1">
    <w:p w:rsidR="004B5097" w:rsidRDefault="004B5097">
      <w:pPr>
        <w:spacing w:before="0" w:after="0"/>
      </w:pPr>
    </w:p>
  </w:footnote>
  <w:footnote w:id="2">
    <w:p w:rsidR="00A8350B" w:rsidRPr="00A20E96" w:rsidRDefault="00A8350B">
      <w:pPr>
        <w:pStyle w:val="FootnoteText"/>
      </w:pPr>
      <w:r>
        <w:rPr>
          <w:rStyle w:val="FootnoteReference"/>
        </w:rPr>
        <w:footnoteRef/>
      </w:r>
      <w:r>
        <w:tab/>
        <w:t xml:space="preserve">Ú. v. EÚ L 94, 30.3.2012, s. 22, ELI: http://data.europa.eu/eli/reg/2012/260/oj. </w:t>
      </w:r>
    </w:p>
  </w:footnote>
  <w:footnote w:id="3">
    <w:p w:rsidR="00AD7B15" w:rsidRPr="00AD7B15" w:rsidRDefault="00AD7B15" w:rsidP="00D05942">
      <w:pPr>
        <w:pStyle w:val="FootnoteText"/>
        <w:ind w:left="0" w:firstLine="0"/>
      </w:pPr>
      <w:r>
        <w:rPr>
          <w:rStyle w:val="FootnoteReference"/>
        </w:rPr>
        <w:footnoteRef/>
      </w:r>
      <w:r>
        <w:tab/>
        <w:t>Nariadenie Európskeho parlamentu a Rady (EÚ) 2024/886 z 13. marca 2024, ktorým sa menia nariadenia (EÚ) č. 260/2012 a (EÚ) 2021/1230 a smernice 98/26/ES a (EÚ) 2015/2366, pokiaľ ide o okamžité úhrady v eurách (Ú. v. EÚ L, 2024/886, 19.3.2024, ELI: http://data.europa.eu/eli/reg/2024/886/oj).</w:t>
      </w:r>
    </w:p>
  </w:footnote>
  <w:footnote w:id="4">
    <w:p w:rsidR="009713B0" w:rsidRPr="00AD7B15" w:rsidRDefault="009713B0" w:rsidP="009713B0">
      <w:pPr>
        <w:pStyle w:val="FootnoteText"/>
      </w:pPr>
      <w:r>
        <w:rPr>
          <w:rStyle w:val="FootnoteReference"/>
        </w:rPr>
        <w:footnoteRef/>
      </w:r>
      <w:r>
        <w:tab/>
        <w:t>Nariadenie Európskeho parlamentu a Rady (EÚ) č. 1093/2010 z 24. novembra 2010, ktorým sa zriaďuje Európsky orgán dohľadu (Európsky orgán pre bankovníctvo) a ktorým sa mení a dopĺňa rozhodnutie č. 716/2009/ES a zrušuje rozhodnutie Komisie 2009/78/ES (Ú. v. EÚ L 331, 15.12.2010, s. 12, ELI: http://data.europa.eu/eli/reg/2010/1093/oj).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41D7" w:rsidRDefault="00A141D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41D7" w:rsidRDefault="00A141D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F9DE80BA"/>
    <w:lvl w:ilvl="0">
      <w:start w:val="1"/>
      <w:numFmt w:val="decimal"/>
      <w:pStyle w:val="ListNumber2"/>
      <w:lvlText w:val="%1."/>
      <w:lvlJc w:val="left"/>
      <w:pPr>
        <w:tabs>
          <w:tab w:val="num" w:pos="643"/>
        </w:tabs>
        <w:ind w:left="643" w:hanging="360"/>
      </w:pPr>
    </w:lvl>
  </w:abstractNum>
  <w:abstractNum w:abstractNumId="1" w15:restartNumberingAfterBreak="0">
    <w:nsid w:val="FFFFFF81"/>
    <w:multiLevelType w:val="singleLevel"/>
    <w:tmpl w:val="16C0063C"/>
    <w:lvl w:ilvl="0">
      <w:start w:val="1"/>
      <w:numFmt w:val="bullet"/>
      <w:pStyle w:val="ListBullet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7FDEC95E"/>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36CE0050"/>
    <w:lvl w:ilvl="0">
      <w:start w:val="1"/>
      <w:numFmt w:val="bullet"/>
      <w:pStyle w:val="ListBullet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5"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8"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0"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1"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2"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3"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4"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5"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7"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19"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4"/>
  </w:num>
  <w:num w:numId="2">
    <w:abstractNumId w:val="19"/>
    <w:lvlOverride w:ilvl="0">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0"/>
  </w:num>
  <w:num w:numId="6">
    <w:abstractNumId w:val="2"/>
  </w:num>
  <w:num w:numId="7">
    <w:abstractNumId w:val="1"/>
  </w:num>
  <w:num w:numId="8">
    <w:abstractNumId w:val="16"/>
  </w:num>
  <w:num w:numId="9">
    <w:abstractNumId w:val="9"/>
  </w:num>
  <w:num w:numId="10">
    <w:abstractNumId w:val="18"/>
  </w:num>
  <w:num w:numId="11">
    <w:abstractNumId w:val="8"/>
  </w:num>
  <w:num w:numId="12">
    <w:abstractNumId w:val="10"/>
  </w:num>
  <w:num w:numId="13">
    <w:abstractNumId w:val="11"/>
  </w:num>
  <w:num w:numId="14">
    <w:abstractNumId w:val="6"/>
  </w:num>
  <w:num w:numId="15">
    <w:abstractNumId w:val="17"/>
  </w:num>
  <w:num w:numId="16">
    <w:abstractNumId w:val="5"/>
  </w:num>
  <w:num w:numId="17">
    <w:abstractNumId w:val="12"/>
  </w:num>
  <w:num w:numId="18">
    <w:abstractNumId w:val="14"/>
  </w:num>
  <w:num w:numId="19">
    <w:abstractNumId w:val="15"/>
  </w:num>
  <w:num w:numId="20">
    <w:abstractNumId w:val="7"/>
  </w:num>
  <w:num w:numId="21">
    <w:abstractNumId w:val="13"/>
  </w:num>
  <w:num w:numId="22">
    <w:abstractNumId w:val="19"/>
  </w:num>
  <w:num w:numId="23">
    <w:abstractNumId w:val="16"/>
  </w:num>
  <w:num w:numId="24">
    <w:abstractNumId w:val="9"/>
  </w:num>
  <w:num w:numId="25">
    <w:abstractNumId w:val="18"/>
  </w:num>
  <w:num w:numId="26">
    <w:abstractNumId w:val="8"/>
  </w:num>
  <w:num w:numId="27">
    <w:abstractNumId w:val="10"/>
  </w:num>
  <w:num w:numId="28">
    <w:abstractNumId w:val="11"/>
  </w:num>
  <w:num w:numId="29">
    <w:abstractNumId w:val="6"/>
  </w:num>
  <w:num w:numId="30">
    <w:abstractNumId w:val="17"/>
  </w:num>
  <w:num w:numId="31">
    <w:abstractNumId w:val="5"/>
  </w:num>
  <w:num w:numId="32">
    <w:abstractNumId w:val="12"/>
  </w:num>
  <w:num w:numId="33">
    <w:abstractNumId w:val="14"/>
  </w:num>
  <w:num w:numId="34">
    <w:abstractNumId w:val="15"/>
  </w:num>
  <w:num w:numId="35">
    <w:abstractNumId w:val="7"/>
  </w:num>
  <w:num w:numId="36">
    <w:abstractNumId w:val="13"/>
  </w:num>
  <w:num w:numId="37">
    <w:abstractNumId w:val="1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ttachedTemplate r:id="rId1"/>
  <w:revisionView w:markup="0"/>
  <w:defaultTabStop w:val="72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DQCDateTime" w:val="2025-09-30 17:23:16"/>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27480B5C-0C77-4EC2-A9DC-5CBB684AC4AC"/>
    <w:docVar w:name="LW_COVERPAGE_TYPE" w:val="1"/>
    <w:docVar w:name="LW_CreatedUtc" w:val="2025-02-25T08:25:43.0388982Z"/>
    <w:docVar w:name="LW_CROSSREFERENCE" w:val="&lt;UNUSED&gt;"/>
    <w:docVar w:name="LW_DATE.ADOPT.CP" w:val="z 1. 10. 2025,"/>
    <w:docVar w:name="LW_DATE.ADOPT.CP_DATEFORMAT" w:val="z %DATE%,"/>
    <w:docVar w:name="LW_DATE.ADOPT.CP_ISODATE" w:val="2025-10-01"/>
    <w:docVar w:name="LW_DocType" w:val="COM"/>
    <w:docVar w:name="LW_EMISSION" w:val="1. 10. 2025"/>
    <w:docVar w:name="LW_EMISSION_ISODATE" w:val="2025-10-01"/>
    <w:docVar w:name="LW_EMISSION_LOCATION" w:val="BRX"/>
    <w:docVar w:name="LW_EMISSION_PREFIX" w:val="V Bruseli"/>
    <w:docVar w:name="LW_EMISSION_SUFFIX" w:val=" "/>
    <w:docVar w:name="LW_ID_DOCMODEL" w:val="SJ-004"/>
    <w:docVar w:name="LW_ID_DOCSIGNATURE" w:val="SJ-004"/>
    <w:docVar w:name="LW_ID_DOCSTRUCTURE" w:val="COM/AA"/>
    <w:docVar w:name="LW_ID_DOCTYPE" w:val="SJ-004"/>
    <w:docVar w:name="LW_INTERETEEE.CP" w:val="&lt;UNUSED&gt;"/>
    <w:docVar w:name="LW_LANGUE" w:val="SK"/>
    <w:docVar w:name="LW_LANGUESFAISANTFOI.CP" w:val="&lt;UNUSED&gt;"/>
    <w:docVar w:name="LW_LEVEL_OF_SENSITIVITY" w:val="Standard treatment"/>
    <w:docVar w:name="LW_NOM.INST" w:val="EURÓPSKA KOMISIA"/>
    <w:docVar w:name="LW_NOM.INST_JOINTDOC" w:val="&lt;EMPTY&gt;"/>
    <w:docVar w:name="LW_PART_NBR" w:val="1"/>
    <w:docVar w:name="LW_PART_NBR_TOTAL" w:val="1"/>
    <w:docVar w:name="LW_REF.INST.NEW" w:val="C"/>
    <w:docVar w:name="LW_REF.INST.NEW_ADOPTED" w:val="final"/>
    <w:docVar w:name="LW_REF.INST.NEW_TEXT" w:val="(2025) 6570"/>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ktorým sa stanovujú vykonávacie technické predpisy na uplat\u328?ovanie nariadenia Európskeho parlamentu a Rady (EÚ) \u269?. 260/2012, pokia\u318? ide o jednotné vzory na vykazovanie, pokyny a metodiku na vykazovanie vý\u353?ky poplatkov za úhrady, okam\u382?ité úhrady a platobné ú\u269?ty, ako aj podielu zamietnutých transakcií"/>
    <w:docVar w:name="LW_TYPE.DOC.CP" w:val="VYKONÁVACIE NARIADENIE KOMISIE (EÚ) \u8230?/..."/>
    <w:docVar w:name="LwApiVersions" w:val="LW4CoDe 1.24.5.0; LW 9.0, Build 20240221"/>
  </w:docVars>
  <w:rsids>
    <w:rsidRoot w:val="00FE7FED"/>
    <w:rsid w:val="00001BC7"/>
    <w:rsid w:val="000066ED"/>
    <w:rsid w:val="000068B4"/>
    <w:rsid w:val="000079A5"/>
    <w:rsid w:val="00014C12"/>
    <w:rsid w:val="00016168"/>
    <w:rsid w:val="00025818"/>
    <w:rsid w:val="0002592C"/>
    <w:rsid w:val="0002598B"/>
    <w:rsid w:val="00033F48"/>
    <w:rsid w:val="000373AB"/>
    <w:rsid w:val="000421B5"/>
    <w:rsid w:val="00042488"/>
    <w:rsid w:val="0004347B"/>
    <w:rsid w:val="00047478"/>
    <w:rsid w:val="000504E3"/>
    <w:rsid w:val="0006406A"/>
    <w:rsid w:val="000642D0"/>
    <w:rsid w:val="00072E61"/>
    <w:rsid w:val="000744DD"/>
    <w:rsid w:val="00075170"/>
    <w:rsid w:val="000758A1"/>
    <w:rsid w:val="000768B7"/>
    <w:rsid w:val="0008161A"/>
    <w:rsid w:val="0008224E"/>
    <w:rsid w:val="000847C4"/>
    <w:rsid w:val="00096BAD"/>
    <w:rsid w:val="000A4172"/>
    <w:rsid w:val="000A41FC"/>
    <w:rsid w:val="000A4298"/>
    <w:rsid w:val="000A454E"/>
    <w:rsid w:val="000B2C1B"/>
    <w:rsid w:val="000B7C50"/>
    <w:rsid w:val="000C0B38"/>
    <w:rsid w:val="000C387D"/>
    <w:rsid w:val="000C449F"/>
    <w:rsid w:val="000C4F0E"/>
    <w:rsid w:val="000D043A"/>
    <w:rsid w:val="000D1771"/>
    <w:rsid w:val="000D391D"/>
    <w:rsid w:val="000D5A8B"/>
    <w:rsid w:val="000D6822"/>
    <w:rsid w:val="000E041A"/>
    <w:rsid w:val="000E08FA"/>
    <w:rsid w:val="000E15A7"/>
    <w:rsid w:val="000E50E2"/>
    <w:rsid w:val="000E7CB2"/>
    <w:rsid w:val="000F0AA0"/>
    <w:rsid w:val="000F26D8"/>
    <w:rsid w:val="000F4AF6"/>
    <w:rsid w:val="001030E9"/>
    <w:rsid w:val="00104199"/>
    <w:rsid w:val="001065F5"/>
    <w:rsid w:val="001066B5"/>
    <w:rsid w:val="0010750E"/>
    <w:rsid w:val="00114B61"/>
    <w:rsid w:val="0011569B"/>
    <w:rsid w:val="0011705A"/>
    <w:rsid w:val="00117E87"/>
    <w:rsid w:val="001238EF"/>
    <w:rsid w:val="00123A96"/>
    <w:rsid w:val="00124229"/>
    <w:rsid w:val="001254D0"/>
    <w:rsid w:val="00126A52"/>
    <w:rsid w:val="001309E5"/>
    <w:rsid w:val="00130A11"/>
    <w:rsid w:val="0013354A"/>
    <w:rsid w:val="00136075"/>
    <w:rsid w:val="00140C92"/>
    <w:rsid w:val="00141111"/>
    <w:rsid w:val="00141C39"/>
    <w:rsid w:val="00142A94"/>
    <w:rsid w:val="00143368"/>
    <w:rsid w:val="0014583F"/>
    <w:rsid w:val="00145DAF"/>
    <w:rsid w:val="001475E9"/>
    <w:rsid w:val="00150298"/>
    <w:rsid w:val="001519B1"/>
    <w:rsid w:val="00152432"/>
    <w:rsid w:val="00153975"/>
    <w:rsid w:val="00153E27"/>
    <w:rsid w:val="00154745"/>
    <w:rsid w:val="00154E88"/>
    <w:rsid w:val="00154ED4"/>
    <w:rsid w:val="00155F1D"/>
    <w:rsid w:val="00156590"/>
    <w:rsid w:val="00160FDD"/>
    <w:rsid w:val="00162F28"/>
    <w:rsid w:val="0016376B"/>
    <w:rsid w:val="0016398E"/>
    <w:rsid w:val="00171733"/>
    <w:rsid w:val="001721CC"/>
    <w:rsid w:val="00180D6D"/>
    <w:rsid w:val="001840A1"/>
    <w:rsid w:val="001913B0"/>
    <w:rsid w:val="00191CEA"/>
    <w:rsid w:val="00197613"/>
    <w:rsid w:val="001A0167"/>
    <w:rsid w:val="001A1FA1"/>
    <w:rsid w:val="001A5381"/>
    <w:rsid w:val="001A6744"/>
    <w:rsid w:val="001A7B61"/>
    <w:rsid w:val="001B081E"/>
    <w:rsid w:val="001C0071"/>
    <w:rsid w:val="001C0950"/>
    <w:rsid w:val="001C3C75"/>
    <w:rsid w:val="001C6408"/>
    <w:rsid w:val="001C7C6B"/>
    <w:rsid w:val="001D08D6"/>
    <w:rsid w:val="001D6BB7"/>
    <w:rsid w:val="001E0062"/>
    <w:rsid w:val="001F78E3"/>
    <w:rsid w:val="00203CF1"/>
    <w:rsid w:val="002102D8"/>
    <w:rsid w:val="00210337"/>
    <w:rsid w:val="00215208"/>
    <w:rsid w:val="002174F2"/>
    <w:rsid w:val="00220F9F"/>
    <w:rsid w:val="00223E24"/>
    <w:rsid w:val="0022745F"/>
    <w:rsid w:val="00227D76"/>
    <w:rsid w:val="00230E4C"/>
    <w:rsid w:val="00232FDF"/>
    <w:rsid w:val="002339C3"/>
    <w:rsid w:val="00233DC7"/>
    <w:rsid w:val="0023679A"/>
    <w:rsid w:val="00240C3D"/>
    <w:rsid w:val="00244629"/>
    <w:rsid w:val="002464E8"/>
    <w:rsid w:val="00247779"/>
    <w:rsid w:val="00251C02"/>
    <w:rsid w:val="00251D78"/>
    <w:rsid w:val="002537B3"/>
    <w:rsid w:val="00253A7F"/>
    <w:rsid w:val="00255D10"/>
    <w:rsid w:val="00260F3C"/>
    <w:rsid w:val="002614D0"/>
    <w:rsid w:val="002619F9"/>
    <w:rsid w:val="00262DE1"/>
    <w:rsid w:val="00270578"/>
    <w:rsid w:val="00281B09"/>
    <w:rsid w:val="00285BEE"/>
    <w:rsid w:val="00287FAC"/>
    <w:rsid w:val="00293F82"/>
    <w:rsid w:val="0029533F"/>
    <w:rsid w:val="002A2EE8"/>
    <w:rsid w:val="002A5779"/>
    <w:rsid w:val="002A5E80"/>
    <w:rsid w:val="002B1522"/>
    <w:rsid w:val="002B30AF"/>
    <w:rsid w:val="002B4662"/>
    <w:rsid w:val="002C0286"/>
    <w:rsid w:val="002C10B5"/>
    <w:rsid w:val="002C1A4F"/>
    <w:rsid w:val="002C5B13"/>
    <w:rsid w:val="002D2CC4"/>
    <w:rsid w:val="002D3A91"/>
    <w:rsid w:val="002D6964"/>
    <w:rsid w:val="002E15CA"/>
    <w:rsid w:val="002E2315"/>
    <w:rsid w:val="002E3165"/>
    <w:rsid w:val="002E53A7"/>
    <w:rsid w:val="002F1C71"/>
    <w:rsid w:val="002F1EE7"/>
    <w:rsid w:val="002F4C83"/>
    <w:rsid w:val="00303696"/>
    <w:rsid w:val="00311576"/>
    <w:rsid w:val="003119D5"/>
    <w:rsid w:val="00311E05"/>
    <w:rsid w:val="00316FD9"/>
    <w:rsid w:val="003213CE"/>
    <w:rsid w:val="003253A9"/>
    <w:rsid w:val="0033033C"/>
    <w:rsid w:val="00331F2E"/>
    <w:rsid w:val="003327E2"/>
    <w:rsid w:val="0033344A"/>
    <w:rsid w:val="00333E44"/>
    <w:rsid w:val="003429AC"/>
    <w:rsid w:val="00342B4F"/>
    <w:rsid w:val="003444B9"/>
    <w:rsid w:val="00345DA0"/>
    <w:rsid w:val="00350A45"/>
    <w:rsid w:val="003525DD"/>
    <w:rsid w:val="00352F0E"/>
    <w:rsid w:val="00354C7E"/>
    <w:rsid w:val="00356ADE"/>
    <w:rsid w:val="00360631"/>
    <w:rsid w:val="00361593"/>
    <w:rsid w:val="00361846"/>
    <w:rsid w:val="0036449E"/>
    <w:rsid w:val="003657C0"/>
    <w:rsid w:val="00365DE4"/>
    <w:rsid w:val="00374796"/>
    <w:rsid w:val="00375715"/>
    <w:rsid w:val="003803FC"/>
    <w:rsid w:val="00380DD8"/>
    <w:rsid w:val="00383FF9"/>
    <w:rsid w:val="00385766"/>
    <w:rsid w:val="00386A30"/>
    <w:rsid w:val="003904C2"/>
    <w:rsid w:val="00395A2F"/>
    <w:rsid w:val="0039723A"/>
    <w:rsid w:val="003975E5"/>
    <w:rsid w:val="003A0056"/>
    <w:rsid w:val="003A5115"/>
    <w:rsid w:val="003B549F"/>
    <w:rsid w:val="003B57CD"/>
    <w:rsid w:val="003B5A1D"/>
    <w:rsid w:val="003B7CFF"/>
    <w:rsid w:val="003C1B52"/>
    <w:rsid w:val="003C33CB"/>
    <w:rsid w:val="003C4CAE"/>
    <w:rsid w:val="003D371C"/>
    <w:rsid w:val="003D73DF"/>
    <w:rsid w:val="003E167C"/>
    <w:rsid w:val="003E4FA2"/>
    <w:rsid w:val="003E5CF0"/>
    <w:rsid w:val="003F018F"/>
    <w:rsid w:val="003F0EC5"/>
    <w:rsid w:val="003F1E03"/>
    <w:rsid w:val="004019E8"/>
    <w:rsid w:val="00403029"/>
    <w:rsid w:val="00404CFA"/>
    <w:rsid w:val="00405044"/>
    <w:rsid w:val="00411FBF"/>
    <w:rsid w:val="00412F99"/>
    <w:rsid w:val="00412FDD"/>
    <w:rsid w:val="00415B42"/>
    <w:rsid w:val="004163A8"/>
    <w:rsid w:val="00421245"/>
    <w:rsid w:val="0042648E"/>
    <w:rsid w:val="00427029"/>
    <w:rsid w:val="00427E22"/>
    <w:rsid w:val="00431B0E"/>
    <w:rsid w:val="00432F41"/>
    <w:rsid w:val="0043372F"/>
    <w:rsid w:val="004425F3"/>
    <w:rsid w:val="004442AF"/>
    <w:rsid w:val="00444B3C"/>
    <w:rsid w:val="0045254B"/>
    <w:rsid w:val="00452C9A"/>
    <w:rsid w:val="00455F8A"/>
    <w:rsid w:val="00460097"/>
    <w:rsid w:val="00461F43"/>
    <w:rsid w:val="00462A07"/>
    <w:rsid w:val="00463137"/>
    <w:rsid w:val="00464680"/>
    <w:rsid w:val="00466E33"/>
    <w:rsid w:val="0047014B"/>
    <w:rsid w:val="004711D5"/>
    <w:rsid w:val="00472FD8"/>
    <w:rsid w:val="004752C1"/>
    <w:rsid w:val="00477A35"/>
    <w:rsid w:val="00477CD9"/>
    <w:rsid w:val="00481E97"/>
    <w:rsid w:val="004822DC"/>
    <w:rsid w:val="004853C6"/>
    <w:rsid w:val="004868D0"/>
    <w:rsid w:val="004871A7"/>
    <w:rsid w:val="004901D3"/>
    <w:rsid w:val="004936D2"/>
    <w:rsid w:val="00497ECB"/>
    <w:rsid w:val="004A4894"/>
    <w:rsid w:val="004A7134"/>
    <w:rsid w:val="004B03D1"/>
    <w:rsid w:val="004B2FFA"/>
    <w:rsid w:val="004B5097"/>
    <w:rsid w:val="004C15AA"/>
    <w:rsid w:val="004C5916"/>
    <w:rsid w:val="004C60B0"/>
    <w:rsid w:val="004C635B"/>
    <w:rsid w:val="004C79F1"/>
    <w:rsid w:val="004D084C"/>
    <w:rsid w:val="004D4226"/>
    <w:rsid w:val="004E047A"/>
    <w:rsid w:val="004E1BAA"/>
    <w:rsid w:val="004E2937"/>
    <w:rsid w:val="004E572C"/>
    <w:rsid w:val="004E7796"/>
    <w:rsid w:val="004F15B9"/>
    <w:rsid w:val="00501867"/>
    <w:rsid w:val="0050376F"/>
    <w:rsid w:val="00503AAA"/>
    <w:rsid w:val="00507BC8"/>
    <w:rsid w:val="005128D6"/>
    <w:rsid w:val="00520EC8"/>
    <w:rsid w:val="00523CF7"/>
    <w:rsid w:val="0052515F"/>
    <w:rsid w:val="005261A7"/>
    <w:rsid w:val="00530551"/>
    <w:rsid w:val="00531AAF"/>
    <w:rsid w:val="00532147"/>
    <w:rsid w:val="005330E9"/>
    <w:rsid w:val="005347DC"/>
    <w:rsid w:val="00535135"/>
    <w:rsid w:val="00536042"/>
    <w:rsid w:val="005423FA"/>
    <w:rsid w:val="00542EE6"/>
    <w:rsid w:val="005432C7"/>
    <w:rsid w:val="005450B1"/>
    <w:rsid w:val="0055071E"/>
    <w:rsid w:val="00551113"/>
    <w:rsid w:val="00551319"/>
    <w:rsid w:val="0056023D"/>
    <w:rsid w:val="00561BB5"/>
    <w:rsid w:val="00561C47"/>
    <w:rsid w:val="00561ED7"/>
    <w:rsid w:val="00564B4F"/>
    <w:rsid w:val="00565BEF"/>
    <w:rsid w:val="00566B29"/>
    <w:rsid w:val="00566E44"/>
    <w:rsid w:val="00570ADD"/>
    <w:rsid w:val="00570C41"/>
    <w:rsid w:val="00571DF5"/>
    <w:rsid w:val="00574906"/>
    <w:rsid w:val="00574D2C"/>
    <w:rsid w:val="00576696"/>
    <w:rsid w:val="00582116"/>
    <w:rsid w:val="00596FA4"/>
    <w:rsid w:val="005A206D"/>
    <w:rsid w:val="005A31F7"/>
    <w:rsid w:val="005A5967"/>
    <w:rsid w:val="005B1EB6"/>
    <w:rsid w:val="005B4B70"/>
    <w:rsid w:val="005B5F79"/>
    <w:rsid w:val="005C1F32"/>
    <w:rsid w:val="005C23A8"/>
    <w:rsid w:val="005C2C67"/>
    <w:rsid w:val="005C58BF"/>
    <w:rsid w:val="005C5BEE"/>
    <w:rsid w:val="005D090B"/>
    <w:rsid w:val="005D2EB4"/>
    <w:rsid w:val="005D4C37"/>
    <w:rsid w:val="005D5907"/>
    <w:rsid w:val="005D67F4"/>
    <w:rsid w:val="005E141A"/>
    <w:rsid w:val="00602DFC"/>
    <w:rsid w:val="006033A9"/>
    <w:rsid w:val="00604C25"/>
    <w:rsid w:val="0060533B"/>
    <w:rsid w:val="0060742C"/>
    <w:rsid w:val="00612113"/>
    <w:rsid w:val="006158F4"/>
    <w:rsid w:val="006162FE"/>
    <w:rsid w:val="00620589"/>
    <w:rsid w:val="00626B53"/>
    <w:rsid w:val="00626E74"/>
    <w:rsid w:val="006307D8"/>
    <w:rsid w:val="00633C43"/>
    <w:rsid w:val="00637401"/>
    <w:rsid w:val="00637578"/>
    <w:rsid w:val="00637A53"/>
    <w:rsid w:val="00642ABC"/>
    <w:rsid w:val="006443C4"/>
    <w:rsid w:val="0064496B"/>
    <w:rsid w:val="00645810"/>
    <w:rsid w:val="00653EFF"/>
    <w:rsid w:val="006563C0"/>
    <w:rsid w:val="00656859"/>
    <w:rsid w:val="00670C78"/>
    <w:rsid w:val="00672EFA"/>
    <w:rsid w:val="00674252"/>
    <w:rsid w:val="00674AAE"/>
    <w:rsid w:val="00676C8D"/>
    <w:rsid w:val="0067704C"/>
    <w:rsid w:val="00677FED"/>
    <w:rsid w:val="0068377C"/>
    <w:rsid w:val="00684931"/>
    <w:rsid w:val="00686892"/>
    <w:rsid w:val="0069142A"/>
    <w:rsid w:val="006914F4"/>
    <w:rsid w:val="00691552"/>
    <w:rsid w:val="0069173A"/>
    <w:rsid w:val="0069225A"/>
    <w:rsid w:val="00692762"/>
    <w:rsid w:val="00694295"/>
    <w:rsid w:val="0069517A"/>
    <w:rsid w:val="006960A4"/>
    <w:rsid w:val="006A2582"/>
    <w:rsid w:val="006A44B8"/>
    <w:rsid w:val="006A6123"/>
    <w:rsid w:val="006A74A3"/>
    <w:rsid w:val="006A7F77"/>
    <w:rsid w:val="006B0215"/>
    <w:rsid w:val="006B62A8"/>
    <w:rsid w:val="006B7EB5"/>
    <w:rsid w:val="006C06F3"/>
    <w:rsid w:val="006C4B71"/>
    <w:rsid w:val="006E28FD"/>
    <w:rsid w:val="006E39FA"/>
    <w:rsid w:val="006E5C4A"/>
    <w:rsid w:val="006E64E5"/>
    <w:rsid w:val="006E6B2D"/>
    <w:rsid w:val="006E78FA"/>
    <w:rsid w:val="006E7992"/>
    <w:rsid w:val="006E7F11"/>
    <w:rsid w:val="006F0053"/>
    <w:rsid w:val="006F089E"/>
    <w:rsid w:val="006F0FDC"/>
    <w:rsid w:val="006F68C4"/>
    <w:rsid w:val="006F7400"/>
    <w:rsid w:val="00700210"/>
    <w:rsid w:val="00706DDD"/>
    <w:rsid w:val="00706E59"/>
    <w:rsid w:val="0071264F"/>
    <w:rsid w:val="007147E3"/>
    <w:rsid w:val="00720C74"/>
    <w:rsid w:val="00722EF3"/>
    <w:rsid w:val="00724289"/>
    <w:rsid w:val="00726798"/>
    <w:rsid w:val="00726A58"/>
    <w:rsid w:val="00727E53"/>
    <w:rsid w:val="00734A8B"/>
    <w:rsid w:val="00734D8A"/>
    <w:rsid w:val="00735833"/>
    <w:rsid w:val="00736120"/>
    <w:rsid w:val="00737F09"/>
    <w:rsid w:val="007406AE"/>
    <w:rsid w:val="00743ADA"/>
    <w:rsid w:val="00743E70"/>
    <w:rsid w:val="00745A56"/>
    <w:rsid w:val="007464B1"/>
    <w:rsid w:val="00750F39"/>
    <w:rsid w:val="00752C41"/>
    <w:rsid w:val="00755584"/>
    <w:rsid w:val="0075651E"/>
    <w:rsid w:val="007605D9"/>
    <w:rsid w:val="00761345"/>
    <w:rsid w:val="00764A2C"/>
    <w:rsid w:val="00770A0E"/>
    <w:rsid w:val="00770C5B"/>
    <w:rsid w:val="00773331"/>
    <w:rsid w:val="00774B57"/>
    <w:rsid w:val="007809A1"/>
    <w:rsid w:val="00780FEA"/>
    <w:rsid w:val="007836A8"/>
    <w:rsid w:val="00787878"/>
    <w:rsid w:val="00792105"/>
    <w:rsid w:val="007932EF"/>
    <w:rsid w:val="007951B8"/>
    <w:rsid w:val="007A16D3"/>
    <w:rsid w:val="007A4891"/>
    <w:rsid w:val="007B1166"/>
    <w:rsid w:val="007B118F"/>
    <w:rsid w:val="007B5227"/>
    <w:rsid w:val="007C059D"/>
    <w:rsid w:val="007C17A2"/>
    <w:rsid w:val="007C470E"/>
    <w:rsid w:val="007C493D"/>
    <w:rsid w:val="007D150D"/>
    <w:rsid w:val="007D3B08"/>
    <w:rsid w:val="007D4717"/>
    <w:rsid w:val="007D6756"/>
    <w:rsid w:val="007E05B0"/>
    <w:rsid w:val="007E601F"/>
    <w:rsid w:val="007E6EFD"/>
    <w:rsid w:val="007E71CE"/>
    <w:rsid w:val="007E7C74"/>
    <w:rsid w:val="007F104A"/>
    <w:rsid w:val="007F4E83"/>
    <w:rsid w:val="007F4F35"/>
    <w:rsid w:val="00801E87"/>
    <w:rsid w:val="0080243C"/>
    <w:rsid w:val="00802964"/>
    <w:rsid w:val="00804319"/>
    <w:rsid w:val="00805CF7"/>
    <w:rsid w:val="00805ED6"/>
    <w:rsid w:val="00806337"/>
    <w:rsid w:val="00807467"/>
    <w:rsid w:val="008101A8"/>
    <w:rsid w:val="0081488B"/>
    <w:rsid w:val="00816042"/>
    <w:rsid w:val="00816AFC"/>
    <w:rsid w:val="00817CF7"/>
    <w:rsid w:val="008231E0"/>
    <w:rsid w:val="00827C4D"/>
    <w:rsid w:val="0083038A"/>
    <w:rsid w:val="0083128A"/>
    <w:rsid w:val="0083272F"/>
    <w:rsid w:val="00835D9A"/>
    <w:rsid w:val="0083730D"/>
    <w:rsid w:val="00840128"/>
    <w:rsid w:val="008413EA"/>
    <w:rsid w:val="00841AE1"/>
    <w:rsid w:val="00847508"/>
    <w:rsid w:val="008525C0"/>
    <w:rsid w:val="008553FF"/>
    <w:rsid w:val="00865668"/>
    <w:rsid w:val="00865D84"/>
    <w:rsid w:val="008664F6"/>
    <w:rsid w:val="0087059E"/>
    <w:rsid w:val="00874D22"/>
    <w:rsid w:val="00877882"/>
    <w:rsid w:val="00880425"/>
    <w:rsid w:val="00881518"/>
    <w:rsid w:val="0088282D"/>
    <w:rsid w:val="00883037"/>
    <w:rsid w:val="008836F9"/>
    <w:rsid w:val="00886942"/>
    <w:rsid w:val="00887571"/>
    <w:rsid w:val="00890216"/>
    <w:rsid w:val="00890246"/>
    <w:rsid w:val="00891706"/>
    <w:rsid w:val="00893DA7"/>
    <w:rsid w:val="008A2914"/>
    <w:rsid w:val="008B0DB8"/>
    <w:rsid w:val="008B6C23"/>
    <w:rsid w:val="008C0AC8"/>
    <w:rsid w:val="008C258F"/>
    <w:rsid w:val="008C29E2"/>
    <w:rsid w:val="008C2B35"/>
    <w:rsid w:val="008C386A"/>
    <w:rsid w:val="008C4818"/>
    <w:rsid w:val="008C486C"/>
    <w:rsid w:val="008C4B71"/>
    <w:rsid w:val="008C5385"/>
    <w:rsid w:val="008C6C71"/>
    <w:rsid w:val="008C7227"/>
    <w:rsid w:val="008D2B36"/>
    <w:rsid w:val="008D2E1C"/>
    <w:rsid w:val="008D68E8"/>
    <w:rsid w:val="008E17A3"/>
    <w:rsid w:val="008E1A3A"/>
    <w:rsid w:val="008E4D8E"/>
    <w:rsid w:val="008E4DD2"/>
    <w:rsid w:val="008E5C8A"/>
    <w:rsid w:val="008E6BEE"/>
    <w:rsid w:val="008F0117"/>
    <w:rsid w:val="008F0F5E"/>
    <w:rsid w:val="008F5762"/>
    <w:rsid w:val="00900DD3"/>
    <w:rsid w:val="009013F8"/>
    <w:rsid w:val="00911C72"/>
    <w:rsid w:val="00912850"/>
    <w:rsid w:val="00914C54"/>
    <w:rsid w:val="0091508E"/>
    <w:rsid w:val="00915816"/>
    <w:rsid w:val="00917E85"/>
    <w:rsid w:val="009203A5"/>
    <w:rsid w:val="00925CEE"/>
    <w:rsid w:val="00930421"/>
    <w:rsid w:val="00930648"/>
    <w:rsid w:val="00933431"/>
    <w:rsid w:val="00936D2B"/>
    <w:rsid w:val="0094211A"/>
    <w:rsid w:val="00944EE3"/>
    <w:rsid w:val="0094607C"/>
    <w:rsid w:val="00947057"/>
    <w:rsid w:val="00951211"/>
    <w:rsid w:val="00952943"/>
    <w:rsid w:val="009537E1"/>
    <w:rsid w:val="00953813"/>
    <w:rsid w:val="00954A2A"/>
    <w:rsid w:val="00957327"/>
    <w:rsid w:val="00957789"/>
    <w:rsid w:val="00960C4B"/>
    <w:rsid w:val="009638BD"/>
    <w:rsid w:val="0096627D"/>
    <w:rsid w:val="009664CD"/>
    <w:rsid w:val="009713B0"/>
    <w:rsid w:val="00971653"/>
    <w:rsid w:val="009724F4"/>
    <w:rsid w:val="00973EBC"/>
    <w:rsid w:val="00976DB6"/>
    <w:rsid w:val="00980990"/>
    <w:rsid w:val="0098199B"/>
    <w:rsid w:val="009850E8"/>
    <w:rsid w:val="00986335"/>
    <w:rsid w:val="00986892"/>
    <w:rsid w:val="009927FD"/>
    <w:rsid w:val="00994CA3"/>
    <w:rsid w:val="00996030"/>
    <w:rsid w:val="0099612E"/>
    <w:rsid w:val="0099719C"/>
    <w:rsid w:val="009A2B3E"/>
    <w:rsid w:val="009B28D4"/>
    <w:rsid w:val="009C1173"/>
    <w:rsid w:val="009C6440"/>
    <w:rsid w:val="009C69FE"/>
    <w:rsid w:val="009D1DF0"/>
    <w:rsid w:val="009D60FA"/>
    <w:rsid w:val="009D7A56"/>
    <w:rsid w:val="009E1471"/>
    <w:rsid w:val="009E14C2"/>
    <w:rsid w:val="009E1AC1"/>
    <w:rsid w:val="009E4560"/>
    <w:rsid w:val="009F1CCA"/>
    <w:rsid w:val="009F2458"/>
    <w:rsid w:val="009F531D"/>
    <w:rsid w:val="009F5DB9"/>
    <w:rsid w:val="009F7E43"/>
    <w:rsid w:val="00A008CD"/>
    <w:rsid w:val="00A02384"/>
    <w:rsid w:val="00A0408F"/>
    <w:rsid w:val="00A05D20"/>
    <w:rsid w:val="00A06E20"/>
    <w:rsid w:val="00A10562"/>
    <w:rsid w:val="00A11DC5"/>
    <w:rsid w:val="00A121B1"/>
    <w:rsid w:val="00A125DA"/>
    <w:rsid w:val="00A141D7"/>
    <w:rsid w:val="00A1626C"/>
    <w:rsid w:val="00A17923"/>
    <w:rsid w:val="00A20E96"/>
    <w:rsid w:val="00A24555"/>
    <w:rsid w:val="00A31053"/>
    <w:rsid w:val="00A369EE"/>
    <w:rsid w:val="00A409A9"/>
    <w:rsid w:val="00A43A59"/>
    <w:rsid w:val="00A514E3"/>
    <w:rsid w:val="00A51981"/>
    <w:rsid w:val="00A54C7E"/>
    <w:rsid w:val="00A55753"/>
    <w:rsid w:val="00A607D3"/>
    <w:rsid w:val="00A61EB7"/>
    <w:rsid w:val="00A62121"/>
    <w:rsid w:val="00A6338B"/>
    <w:rsid w:val="00A71A56"/>
    <w:rsid w:val="00A72B2F"/>
    <w:rsid w:val="00A744A9"/>
    <w:rsid w:val="00A75188"/>
    <w:rsid w:val="00A80233"/>
    <w:rsid w:val="00A813B3"/>
    <w:rsid w:val="00A8350B"/>
    <w:rsid w:val="00A8635C"/>
    <w:rsid w:val="00A87301"/>
    <w:rsid w:val="00AA2317"/>
    <w:rsid w:val="00AA3CA4"/>
    <w:rsid w:val="00AA7D65"/>
    <w:rsid w:val="00AB14B1"/>
    <w:rsid w:val="00AB1C6F"/>
    <w:rsid w:val="00AB297D"/>
    <w:rsid w:val="00AB3556"/>
    <w:rsid w:val="00AB3B3D"/>
    <w:rsid w:val="00AB50BC"/>
    <w:rsid w:val="00AB6762"/>
    <w:rsid w:val="00AC0006"/>
    <w:rsid w:val="00AC13E5"/>
    <w:rsid w:val="00AC1934"/>
    <w:rsid w:val="00AC36A5"/>
    <w:rsid w:val="00AC67B2"/>
    <w:rsid w:val="00AD6EF4"/>
    <w:rsid w:val="00AD7B15"/>
    <w:rsid w:val="00AD7CC1"/>
    <w:rsid w:val="00AE31D5"/>
    <w:rsid w:val="00AE6AB7"/>
    <w:rsid w:val="00AE7D22"/>
    <w:rsid w:val="00AF278E"/>
    <w:rsid w:val="00AF71F5"/>
    <w:rsid w:val="00B053FF"/>
    <w:rsid w:val="00B10032"/>
    <w:rsid w:val="00B12237"/>
    <w:rsid w:val="00B14FD7"/>
    <w:rsid w:val="00B15792"/>
    <w:rsid w:val="00B17DF1"/>
    <w:rsid w:val="00B200E2"/>
    <w:rsid w:val="00B22153"/>
    <w:rsid w:val="00B25070"/>
    <w:rsid w:val="00B27A92"/>
    <w:rsid w:val="00B42926"/>
    <w:rsid w:val="00B432CA"/>
    <w:rsid w:val="00B4331F"/>
    <w:rsid w:val="00B434C1"/>
    <w:rsid w:val="00B52D63"/>
    <w:rsid w:val="00B53B73"/>
    <w:rsid w:val="00B552A9"/>
    <w:rsid w:val="00B62E49"/>
    <w:rsid w:val="00B65EDF"/>
    <w:rsid w:val="00B674DA"/>
    <w:rsid w:val="00B71A89"/>
    <w:rsid w:val="00B750C9"/>
    <w:rsid w:val="00B75148"/>
    <w:rsid w:val="00B756F7"/>
    <w:rsid w:val="00B75BFE"/>
    <w:rsid w:val="00B76C25"/>
    <w:rsid w:val="00B810D9"/>
    <w:rsid w:val="00B817BF"/>
    <w:rsid w:val="00B835B2"/>
    <w:rsid w:val="00B86274"/>
    <w:rsid w:val="00B875E1"/>
    <w:rsid w:val="00B9119D"/>
    <w:rsid w:val="00B9253B"/>
    <w:rsid w:val="00B93228"/>
    <w:rsid w:val="00B941FE"/>
    <w:rsid w:val="00B9538B"/>
    <w:rsid w:val="00B95AE2"/>
    <w:rsid w:val="00B964EE"/>
    <w:rsid w:val="00BA2F7E"/>
    <w:rsid w:val="00BA4508"/>
    <w:rsid w:val="00BA5155"/>
    <w:rsid w:val="00BA541B"/>
    <w:rsid w:val="00BA5DC4"/>
    <w:rsid w:val="00BA7EBC"/>
    <w:rsid w:val="00BB2FF0"/>
    <w:rsid w:val="00BB69ED"/>
    <w:rsid w:val="00BB732E"/>
    <w:rsid w:val="00BB76D6"/>
    <w:rsid w:val="00BB7776"/>
    <w:rsid w:val="00BC3B91"/>
    <w:rsid w:val="00BC5FF4"/>
    <w:rsid w:val="00BC6865"/>
    <w:rsid w:val="00BD13AE"/>
    <w:rsid w:val="00BD1FB6"/>
    <w:rsid w:val="00BD3934"/>
    <w:rsid w:val="00BD5B82"/>
    <w:rsid w:val="00BD7AB4"/>
    <w:rsid w:val="00BE02EC"/>
    <w:rsid w:val="00BE19A1"/>
    <w:rsid w:val="00BF1DAA"/>
    <w:rsid w:val="00BF2FE5"/>
    <w:rsid w:val="00BF3180"/>
    <w:rsid w:val="00BF6D71"/>
    <w:rsid w:val="00BF7F77"/>
    <w:rsid w:val="00C00730"/>
    <w:rsid w:val="00C01E11"/>
    <w:rsid w:val="00C12301"/>
    <w:rsid w:val="00C263CE"/>
    <w:rsid w:val="00C272D0"/>
    <w:rsid w:val="00C27DF8"/>
    <w:rsid w:val="00C3410B"/>
    <w:rsid w:val="00C411B0"/>
    <w:rsid w:val="00C43AAE"/>
    <w:rsid w:val="00C44190"/>
    <w:rsid w:val="00C442F9"/>
    <w:rsid w:val="00C50BFD"/>
    <w:rsid w:val="00C60F19"/>
    <w:rsid w:val="00C64FFA"/>
    <w:rsid w:val="00C67CD8"/>
    <w:rsid w:val="00C70712"/>
    <w:rsid w:val="00C70E12"/>
    <w:rsid w:val="00C714E1"/>
    <w:rsid w:val="00C716B4"/>
    <w:rsid w:val="00C71B6C"/>
    <w:rsid w:val="00C7687B"/>
    <w:rsid w:val="00C85915"/>
    <w:rsid w:val="00C90983"/>
    <w:rsid w:val="00C91E13"/>
    <w:rsid w:val="00C9233E"/>
    <w:rsid w:val="00C9347C"/>
    <w:rsid w:val="00C93B85"/>
    <w:rsid w:val="00CA0E7E"/>
    <w:rsid w:val="00CA37F7"/>
    <w:rsid w:val="00CA4EC5"/>
    <w:rsid w:val="00CA5FB6"/>
    <w:rsid w:val="00CA7160"/>
    <w:rsid w:val="00CB0889"/>
    <w:rsid w:val="00CB3129"/>
    <w:rsid w:val="00CB64E4"/>
    <w:rsid w:val="00CC16BC"/>
    <w:rsid w:val="00CC3F90"/>
    <w:rsid w:val="00CC4458"/>
    <w:rsid w:val="00CC499B"/>
    <w:rsid w:val="00CC62BC"/>
    <w:rsid w:val="00CD063F"/>
    <w:rsid w:val="00CD4C73"/>
    <w:rsid w:val="00CE1C7A"/>
    <w:rsid w:val="00CE36B8"/>
    <w:rsid w:val="00CE6123"/>
    <w:rsid w:val="00CF3EE5"/>
    <w:rsid w:val="00CF5164"/>
    <w:rsid w:val="00CF5750"/>
    <w:rsid w:val="00CF5C60"/>
    <w:rsid w:val="00CF6A8C"/>
    <w:rsid w:val="00CF7490"/>
    <w:rsid w:val="00CF787A"/>
    <w:rsid w:val="00D029AA"/>
    <w:rsid w:val="00D05942"/>
    <w:rsid w:val="00D106E8"/>
    <w:rsid w:val="00D12544"/>
    <w:rsid w:val="00D13C79"/>
    <w:rsid w:val="00D14832"/>
    <w:rsid w:val="00D15205"/>
    <w:rsid w:val="00D170AB"/>
    <w:rsid w:val="00D20381"/>
    <w:rsid w:val="00D21FD8"/>
    <w:rsid w:val="00D234CB"/>
    <w:rsid w:val="00D2656D"/>
    <w:rsid w:val="00D324E1"/>
    <w:rsid w:val="00D352B4"/>
    <w:rsid w:val="00D353BF"/>
    <w:rsid w:val="00D40EFF"/>
    <w:rsid w:val="00D4512D"/>
    <w:rsid w:val="00D5242D"/>
    <w:rsid w:val="00D54A61"/>
    <w:rsid w:val="00D5503F"/>
    <w:rsid w:val="00D621FB"/>
    <w:rsid w:val="00D62456"/>
    <w:rsid w:val="00D62E5E"/>
    <w:rsid w:val="00D665C4"/>
    <w:rsid w:val="00D674F4"/>
    <w:rsid w:val="00D6777E"/>
    <w:rsid w:val="00D70B60"/>
    <w:rsid w:val="00D7463F"/>
    <w:rsid w:val="00D76A56"/>
    <w:rsid w:val="00D825B6"/>
    <w:rsid w:val="00D82CC1"/>
    <w:rsid w:val="00D87245"/>
    <w:rsid w:val="00D87300"/>
    <w:rsid w:val="00D90E08"/>
    <w:rsid w:val="00DB0501"/>
    <w:rsid w:val="00DB250A"/>
    <w:rsid w:val="00DB3C35"/>
    <w:rsid w:val="00DB3D14"/>
    <w:rsid w:val="00DB6B05"/>
    <w:rsid w:val="00DC04AA"/>
    <w:rsid w:val="00DC32EC"/>
    <w:rsid w:val="00DC551D"/>
    <w:rsid w:val="00DC60AA"/>
    <w:rsid w:val="00DD50D0"/>
    <w:rsid w:val="00DD57BC"/>
    <w:rsid w:val="00DE0B07"/>
    <w:rsid w:val="00DE2ADF"/>
    <w:rsid w:val="00DF1A15"/>
    <w:rsid w:val="00DF1CB4"/>
    <w:rsid w:val="00DF324D"/>
    <w:rsid w:val="00DF792D"/>
    <w:rsid w:val="00DF7D1B"/>
    <w:rsid w:val="00E00723"/>
    <w:rsid w:val="00E0498A"/>
    <w:rsid w:val="00E04C8B"/>
    <w:rsid w:val="00E0505F"/>
    <w:rsid w:val="00E06ADC"/>
    <w:rsid w:val="00E104B1"/>
    <w:rsid w:val="00E1502C"/>
    <w:rsid w:val="00E1544B"/>
    <w:rsid w:val="00E21874"/>
    <w:rsid w:val="00E258F8"/>
    <w:rsid w:val="00E30766"/>
    <w:rsid w:val="00E3171F"/>
    <w:rsid w:val="00E31C61"/>
    <w:rsid w:val="00E31F15"/>
    <w:rsid w:val="00E327E6"/>
    <w:rsid w:val="00E34F0D"/>
    <w:rsid w:val="00E35CB0"/>
    <w:rsid w:val="00E3769D"/>
    <w:rsid w:val="00E420D2"/>
    <w:rsid w:val="00E4311E"/>
    <w:rsid w:val="00E448AB"/>
    <w:rsid w:val="00E50AFC"/>
    <w:rsid w:val="00E54884"/>
    <w:rsid w:val="00E57015"/>
    <w:rsid w:val="00E60348"/>
    <w:rsid w:val="00E6043D"/>
    <w:rsid w:val="00E60C11"/>
    <w:rsid w:val="00E61C60"/>
    <w:rsid w:val="00E73351"/>
    <w:rsid w:val="00E74596"/>
    <w:rsid w:val="00E80981"/>
    <w:rsid w:val="00E81E68"/>
    <w:rsid w:val="00E84AAA"/>
    <w:rsid w:val="00E922D8"/>
    <w:rsid w:val="00E9561F"/>
    <w:rsid w:val="00E95689"/>
    <w:rsid w:val="00EA277C"/>
    <w:rsid w:val="00EA38FC"/>
    <w:rsid w:val="00EA3971"/>
    <w:rsid w:val="00EA3C60"/>
    <w:rsid w:val="00EA3D90"/>
    <w:rsid w:val="00EA5973"/>
    <w:rsid w:val="00EA64C3"/>
    <w:rsid w:val="00EB039C"/>
    <w:rsid w:val="00EB2C34"/>
    <w:rsid w:val="00EB4BCD"/>
    <w:rsid w:val="00EB72E1"/>
    <w:rsid w:val="00EC6C39"/>
    <w:rsid w:val="00EC78BD"/>
    <w:rsid w:val="00EC7DBC"/>
    <w:rsid w:val="00ED0099"/>
    <w:rsid w:val="00ED02D5"/>
    <w:rsid w:val="00ED297C"/>
    <w:rsid w:val="00EE1C59"/>
    <w:rsid w:val="00EE3BEE"/>
    <w:rsid w:val="00EE4413"/>
    <w:rsid w:val="00EE613B"/>
    <w:rsid w:val="00EE7555"/>
    <w:rsid w:val="00EF35ED"/>
    <w:rsid w:val="00F02E3E"/>
    <w:rsid w:val="00F04DAB"/>
    <w:rsid w:val="00F0743A"/>
    <w:rsid w:val="00F105CA"/>
    <w:rsid w:val="00F133B9"/>
    <w:rsid w:val="00F13429"/>
    <w:rsid w:val="00F16F48"/>
    <w:rsid w:val="00F17A3B"/>
    <w:rsid w:val="00F229A7"/>
    <w:rsid w:val="00F27941"/>
    <w:rsid w:val="00F308C1"/>
    <w:rsid w:val="00F308DA"/>
    <w:rsid w:val="00F35509"/>
    <w:rsid w:val="00F36671"/>
    <w:rsid w:val="00F40A90"/>
    <w:rsid w:val="00F41E71"/>
    <w:rsid w:val="00F424E2"/>
    <w:rsid w:val="00F46ECF"/>
    <w:rsid w:val="00F53272"/>
    <w:rsid w:val="00F558D2"/>
    <w:rsid w:val="00F6156F"/>
    <w:rsid w:val="00F66B95"/>
    <w:rsid w:val="00F672C7"/>
    <w:rsid w:val="00F67493"/>
    <w:rsid w:val="00F6791B"/>
    <w:rsid w:val="00F75BAC"/>
    <w:rsid w:val="00F824D3"/>
    <w:rsid w:val="00F84BE4"/>
    <w:rsid w:val="00F8766D"/>
    <w:rsid w:val="00F91E2B"/>
    <w:rsid w:val="00F92092"/>
    <w:rsid w:val="00F951F3"/>
    <w:rsid w:val="00F95871"/>
    <w:rsid w:val="00FA00A7"/>
    <w:rsid w:val="00FA7030"/>
    <w:rsid w:val="00FA7B48"/>
    <w:rsid w:val="00FB0717"/>
    <w:rsid w:val="00FB4D9B"/>
    <w:rsid w:val="00FB7673"/>
    <w:rsid w:val="00FB7914"/>
    <w:rsid w:val="00FC0031"/>
    <w:rsid w:val="00FC0B30"/>
    <w:rsid w:val="00FC2202"/>
    <w:rsid w:val="00FC38F8"/>
    <w:rsid w:val="00FD15D6"/>
    <w:rsid w:val="00FD1FD5"/>
    <w:rsid w:val="00FD3AB2"/>
    <w:rsid w:val="00FD71F7"/>
    <w:rsid w:val="00FE392C"/>
    <w:rsid w:val="00FE7FED"/>
    <w:rsid w:val="00FF1134"/>
    <w:rsid w:val="00FF15A2"/>
    <w:rsid w:val="00FF265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5:docId w15:val="{8D37355B-58DB-4A35-B16E-3173BFAAA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sk-SK"/>
    </w:rPr>
  </w:style>
  <w:style w:type="paragraph" w:styleId="Heading1">
    <w:name w:val="heading 1"/>
    <w:basedOn w:val="Normal"/>
    <w:next w:val="Text1"/>
    <w:link w:val="Heading1Char"/>
    <w:uiPriority w:val="9"/>
    <w:qFormat/>
    <w:pPr>
      <w:keepNext/>
      <w:numPr>
        <w:numId w:val="30"/>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30"/>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30"/>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30"/>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30"/>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30"/>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30"/>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FE7FED"/>
    <w:pPr>
      <w:numPr>
        <w:numId w:val="1"/>
      </w:numPr>
    </w:pPr>
    <w:rPr>
      <w:rFonts w:eastAsia="Times New Roman"/>
      <w:lang w:eastAsia="en-GB"/>
    </w:rPr>
  </w:style>
  <w:style w:type="character" w:styleId="Hyperlink">
    <w:name w:val="Hyperlink"/>
    <w:basedOn w:val="DefaultParagraphFont"/>
    <w:rsid w:val="009713B0"/>
    <w:rPr>
      <w:color w:val="2F5773"/>
      <w:u w:val="single"/>
    </w:rPr>
  </w:style>
  <w:style w:type="paragraph" w:styleId="ListBullet2">
    <w:name w:val="List Bullet 2"/>
    <w:basedOn w:val="Normal"/>
    <w:uiPriority w:val="99"/>
    <w:semiHidden/>
    <w:unhideWhenUsed/>
    <w:rsid w:val="009713B0"/>
    <w:pPr>
      <w:numPr>
        <w:numId w:val="4"/>
      </w:numPr>
      <w:contextualSpacing/>
    </w:pPr>
  </w:style>
  <w:style w:type="paragraph" w:styleId="ListNumber2">
    <w:name w:val="List Number 2"/>
    <w:basedOn w:val="Normal"/>
    <w:uiPriority w:val="99"/>
    <w:semiHidden/>
    <w:unhideWhenUsed/>
    <w:rsid w:val="009713B0"/>
    <w:pPr>
      <w:numPr>
        <w:numId w:val="5"/>
      </w:numPr>
      <w:contextualSpacing/>
    </w:pPr>
  </w:style>
  <w:style w:type="paragraph" w:styleId="ListBullet3">
    <w:name w:val="List Bullet 3"/>
    <w:basedOn w:val="Normal"/>
    <w:uiPriority w:val="99"/>
    <w:semiHidden/>
    <w:unhideWhenUsed/>
    <w:rsid w:val="001840A1"/>
    <w:pPr>
      <w:numPr>
        <w:numId w:val="6"/>
      </w:numPr>
      <w:contextualSpacing/>
    </w:pPr>
  </w:style>
  <w:style w:type="paragraph" w:styleId="ListBullet4">
    <w:name w:val="List Bullet 4"/>
    <w:basedOn w:val="Normal"/>
    <w:uiPriority w:val="99"/>
    <w:semiHidden/>
    <w:unhideWhenUsed/>
    <w:rsid w:val="001840A1"/>
    <w:pPr>
      <w:numPr>
        <w:numId w:val="7"/>
      </w:numPr>
      <w:contextualSpacing/>
    </w:pPr>
  </w:style>
  <w:style w:type="character" w:styleId="CommentReference">
    <w:name w:val="annotation reference"/>
    <w:basedOn w:val="DefaultParagraphFont"/>
    <w:uiPriority w:val="99"/>
    <w:semiHidden/>
    <w:unhideWhenUsed/>
    <w:rsid w:val="00F6156F"/>
    <w:rPr>
      <w:sz w:val="16"/>
      <w:szCs w:val="16"/>
    </w:rPr>
  </w:style>
  <w:style w:type="paragraph" w:styleId="CommentText">
    <w:name w:val="annotation text"/>
    <w:basedOn w:val="Normal"/>
    <w:link w:val="CommentTextChar"/>
    <w:uiPriority w:val="99"/>
    <w:unhideWhenUsed/>
    <w:rsid w:val="00F6156F"/>
    <w:rPr>
      <w:sz w:val="20"/>
      <w:szCs w:val="20"/>
    </w:rPr>
  </w:style>
  <w:style w:type="character" w:customStyle="1" w:styleId="CommentTextChar">
    <w:name w:val="Comment Text Char"/>
    <w:basedOn w:val="DefaultParagraphFont"/>
    <w:link w:val="CommentText"/>
    <w:uiPriority w:val="99"/>
    <w:rsid w:val="00F6156F"/>
    <w:rPr>
      <w:rFonts w:ascii="Times New Roman" w:hAnsi="Times New Roman" w:cs="Times New Roman"/>
      <w:sz w:val="20"/>
      <w:szCs w:val="20"/>
      <w:lang w:val="sk-SK"/>
    </w:rPr>
  </w:style>
  <w:style w:type="paragraph" w:styleId="CommentSubject">
    <w:name w:val="annotation subject"/>
    <w:basedOn w:val="CommentText"/>
    <w:next w:val="CommentText"/>
    <w:link w:val="CommentSubjectChar"/>
    <w:uiPriority w:val="99"/>
    <w:semiHidden/>
    <w:unhideWhenUsed/>
    <w:rsid w:val="00F6156F"/>
    <w:rPr>
      <w:b/>
      <w:bCs/>
    </w:rPr>
  </w:style>
  <w:style w:type="character" w:customStyle="1" w:styleId="CommentSubjectChar">
    <w:name w:val="Comment Subject Char"/>
    <w:basedOn w:val="CommentTextChar"/>
    <w:link w:val="CommentSubject"/>
    <w:uiPriority w:val="99"/>
    <w:semiHidden/>
    <w:rsid w:val="00F6156F"/>
    <w:rPr>
      <w:rFonts w:ascii="Times New Roman" w:hAnsi="Times New Roman" w:cs="Times New Roman"/>
      <w:b/>
      <w:bCs/>
      <w:sz w:val="20"/>
      <w:szCs w:val="20"/>
      <w:lang w:val="sk-SK"/>
    </w:rPr>
  </w:style>
  <w:style w:type="character" w:customStyle="1" w:styleId="UnresolvedMention">
    <w:name w:val="Unresolved Mention"/>
    <w:basedOn w:val="DefaultParagraphFont"/>
    <w:uiPriority w:val="99"/>
    <w:semiHidden/>
    <w:unhideWhenUsed/>
    <w:rsid w:val="00F6156F"/>
    <w:rPr>
      <w:color w:val="605E5C"/>
      <w:shd w:val="clear" w:color="auto" w:fill="E1DFDD"/>
    </w:rPr>
  </w:style>
  <w:style w:type="paragraph" w:styleId="Revision">
    <w:name w:val="Revision"/>
    <w:hidden/>
    <w:uiPriority w:val="99"/>
    <w:semiHidden/>
    <w:rsid w:val="00F6156F"/>
    <w:pPr>
      <w:spacing w:after="0" w:line="240" w:lineRule="auto"/>
    </w:pPr>
    <w:rPr>
      <w:rFonts w:ascii="Times New Roman" w:hAnsi="Times New Roman" w:cs="Times New Roman"/>
      <w:sz w:val="24"/>
    </w:rPr>
  </w:style>
  <w:style w:type="character" w:customStyle="1" w:styleId="HeaderChar">
    <w:name w:val="Header Char"/>
    <w:basedOn w:val="DefaultParagraphFont"/>
    <w:link w:val="Header"/>
    <w:uiPriority w:val="99"/>
    <w:rsid w:val="00A141D7"/>
    <w:rPr>
      <w:rFonts w:ascii="Times New Roman" w:hAnsi="Times New Roman" w:cs="Times New Roman"/>
      <w:sz w:val="24"/>
      <w:lang w:val="sk-SK"/>
    </w:rPr>
  </w:style>
  <w:style w:type="character" w:customStyle="1" w:styleId="FooterChar">
    <w:name w:val="Footer Char"/>
    <w:basedOn w:val="DefaultParagraphFont"/>
    <w:link w:val="Footer"/>
    <w:uiPriority w:val="99"/>
    <w:rsid w:val="00A141D7"/>
    <w:rPr>
      <w:rFonts w:ascii="Times New Roman" w:hAnsi="Times New Roman" w:cs="Times New Roman"/>
      <w:sz w:val="24"/>
      <w:lang w:val="sk-SK"/>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shd w:val="clear" w:color="auto" w:fill="auto"/>
      <w:lang w:val="en-GB"/>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shd w:val="clear" w:color="auto" w:fill="auto"/>
      <w:lang w:val="en-GB"/>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shd w:val="clear" w:color="auto" w:fill="auto"/>
      <w:lang w:val="en-GB"/>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shd w:val="clear" w:color="auto" w:fill="auto"/>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A141D7"/>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A141D7"/>
    <w:pPr>
      <w:spacing w:before="0"/>
      <w:jc w:val="right"/>
    </w:pPr>
    <w:rPr>
      <w:sz w:val="28"/>
    </w:rPr>
  </w:style>
  <w:style w:type="paragraph" w:customStyle="1" w:styleId="FooterSensitivity">
    <w:name w:val="Footer Sensitivity"/>
    <w:basedOn w:val="Normal"/>
    <w:rsid w:val="00A141D7"/>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23"/>
      </w:numPr>
    </w:pPr>
  </w:style>
  <w:style w:type="paragraph" w:customStyle="1" w:styleId="Tiret1">
    <w:name w:val="Tiret 1"/>
    <w:basedOn w:val="Point1"/>
    <w:pPr>
      <w:numPr>
        <w:numId w:val="24"/>
      </w:numPr>
    </w:pPr>
  </w:style>
  <w:style w:type="paragraph" w:customStyle="1" w:styleId="Tiret2">
    <w:name w:val="Tiret 2"/>
    <w:basedOn w:val="Point2"/>
    <w:pPr>
      <w:numPr>
        <w:numId w:val="25"/>
      </w:numPr>
    </w:pPr>
  </w:style>
  <w:style w:type="paragraph" w:customStyle="1" w:styleId="Tiret3">
    <w:name w:val="Tiret 3"/>
    <w:basedOn w:val="Point3"/>
    <w:pPr>
      <w:numPr>
        <w:numId w:val="26"/>
      </w:numPr>
    </w:pPr>
  </w:style>
  <w:style w:type="paragraph" w:customStyle="1" w:styleId="Tiret4">
    <w:name w:val="Tiret 4"/>
    <w:basedOn w:val="Point4"/>
    <w:pPr>
      <w:numPr>
        <w:numId w:val="27"/>
      </w:numPr>
    </w:pPr>
  </w:style>
  <w:style w:type="paragraph" w:customStyle="1" w:styleId="Tiret5">
    <w:name w:val="Tiret 5"/>
    <w:basedOn w:val="Point5"/>
    <w:pPr>
      <w:numPr>
        <w:numId w:val="28"/>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29"/>
      </w:numPr>
    </w:pPr>
  </w:style>
  <w:style w:type="paragraph" w:customStyle="1" w:styleId="NumPar2">
    <w:name w:val="NumPar 2"/>
    <w:basedOn w:val="Normal"/>
    <w:next w:val="Text1"/>
    <w:pPr>
      <w:numPr>
        <w:ilvl w:val="1"/>
        <w:numId w:val="29"/>
      </w:numPr>
    </w:pPr>
  </w:style>
  <w:style w:type="paragraph" w:customStyle="1" w:styleId="NumPar3">
    <w:name w:val="NumPar 3"/>
    <w:basedOn w:val="Normal"/>
    <w:next w:val="Text1"/>
    <w:pPr>
      <w:numPr>
        <w:ilvl w:val="2"/>
        <w:numId w:val="29"/>
      </w:numPr>
    </w:pPr>
  </w:style>
  <w:style w:type="paragraph" w:customStyle="1" w:styleId="NumPar4">
    <w:name w:val="NumPar 4"/>
    <w:basedOn w:val="Normal"/>
    <w:next w:val="Text1"/>
    <w:pPr>
      <w:numPr>
        <w:ilvl w:val="3"/>
        <w:numId w:val="29"/>
      </w:numPr>
    </w:pPr>
  </w:style>
  <w:style w:type="paragraph" w:customStyle="1" w:styleId="NumPar5">
    <w:name w:val="NumPar 5"/>
    <w:basedOn w:val="Normal"/>
    <w:next w:val="Text2"/>
    <w:pPr>
      <w:numPr>
        <w:ilvl w:val="4"/>
        <w:numId w:val="29"/>
      </w:numPr>
    </w:pPr>
  </w:style>
  <w:style w:type="paragraph" w:customStyle="1" w:styleId="NumPar6">
    <w:name w:val="NumPar 6"/>
    <w:basedOn w:val="Normal"/>
    <w:next w:val="Text2"/>
    <w:pPr>
      <w:numPr>
        <w:ilvl w:val="5"/>
        <w:numId w:val="29"/>
      </w:numPr>
    </w:pPr>
  </w:style>
  <w:style w:type="paragraph" w:customStyle="1" w:styleId="NumPar7">
    <w:name w:val="NumPar 7"/>
    <w:basedOn w:val="Normal"/>
    <w:next w:val="Text2"/>
    <w:pPr>
      <w:numPr>
        <w:ilvl w:val="6"/>
        <w:numId w:val="29"/>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1"/>
      </w:numPr>
    </w:pPr>
  </w:style>
  <w:style w:type="paragraph" w:customStyle="1" w:styleId="Point1number">
    <w:name w:val="Point 1 (number)"/>
    <w:basedOn w:val="Normal"/>
    <w:pPr>
      <w:numPr>
        <w:ilvl w:val="2"/>
        <w:numId w:val="31"/>
      </w:numPr>
    </w:pPr>
  </w:style>
  <w:style w:type="paragraph" w:customStyle="1" w:styleId="Point2number">
    <w:name w:val="Point 2 (number)"/>
    <w:basedOn w:val="Normal"/>
    <w:pPr>
      <w:numPr>
        <w:ilvl w:val="4"/>
        <w:numId w:val="31"/>
      </w:numPr>
    </w:pPr>
  </w:style>
  <w:style w:type="paragraph" w:customStyle="1" w:styleId="Point3number">
    <w:name w:val="Point 3 (number)"/>
    <w:basedOn w:val="Normal"/>
    <w:pPr>
      <w:numPr>
        <w:ilvl w:val="6"/>
        <w:numId w:val="31"/>
      </w:numPr>
    </w:pPr>
  </w:style>
  <w:style w:type="paragraph" w:customStyle="1" w:styleId="Point0letter">
    <w:name w:val="Point 0 (letter)"/>
    <w:basedOn w:val="Normal"/>
    <w:pPr>
      <w:numPr>
        <w:ilvl w:val="1"/>
        <w:numId w:val="31"/>
      </w:numPr>
    </w:pPr>
  </w:style>
  <w:style w:type="paragraph" w:customStyle="1" w:styleId="Point1letter">
    <w:name w:val="Point 1 (letter)"/>
    <w:basedOn w:val="Normal"/>
    <w:pPr>
      <w:numPr>
        <w:ilvl w:val="3"/>
        <w:numId w:val="31"/>
      </w:numPr>
    </w:pPr>
  </w:style>
  <w:style w:type="paragraph" w:customStyle="1" w:styleId="Point2letter">
    <w:name w:val="Point 2 (letter)"/>
    <w:basedOn w:val="Normal"/>
    <w:pPr>
      <w:numPr>
        <w:ilvl w:val="5"/>
        <w:numId w:val="31"/>
      </w:numPr>
    </w:pPr>
  </w:style>
  <w:style w:type="paragraph" w:customStyle="1" w:styleId="Point3letter">
    <w:name w:val="Point 3 (letter)"/>
    <w:basedOn w:val="Normal"/>
    <w:pPr>
      <w:numPr>
        <w:ilvl w:val="7"/>
        <w:numId w:val="31"/>
      </w:numPr>
    </w:pPr>
  </w:style>
  <w:style w:type="paragraph" w:customStyle="1" w:styleId="Point4letter">
    <w:name w:val="Point 4 (letter)"/>
    <w:basedOn w:val="Normal"/>
    <w:pPr>
      <w:numPr>
        <w:ilvl w:val="8"/>
        <w:numId w:val="31"/>
      </w:numPr>
    </w:pPr>
  </w:style>
  <w:style w:type="paragraph" w:customStyle="1" w:styleId="Bullet0">
    <w:name w:val="Bullet 0"/>
    <w:basedOn w:val="Normal"/>
    <w:pPr>
      <w:numPr>
        <w:numId w:val="32"/>
      </w:numPr>
    </w:pPr>
  </w:style>
  <w:style w:type="paragraph" w:customStyle="1" w:styleId="Bullet1">
    <w:name w:val="Bullet 1"/>
    <w:basedOn w:val="Normal"/>
    <w:pPr>
      <w:numPr>
        <w:numId w:val="33"/>
      </w:numPr>
    </w:pPr>
  </w:style>
  <w:style w:type="paragraph" w:customStyle="1" w:styleId="Bullet2">
    <w:name w:val="Bullet 2"/>
    <w:basedOn w:val="Normal"/>
    <w:pPr>
      <w:numPr>
        <w:numId w:val="34"/>
      </w:numPr>
    </w:pPr>
  </w:style>
  <w:style w:type="paragraph" w:customStyle="1" w:styleId="Bullet3">
    <w:name w:val="Bullet 3"/>
    <w:basedOn w:val="Normal"/>
    <w:pPr>
      <w:numPr>
        <w:numId w:val="35"/>
      </w:numPr>
    </w:pPr>
  </w:style>
  <w:style w:type="paragraph" w:customStyle="1" w:styleId="Bullet4">
    <w:name w:val="Bullet 4"/>
    <w:basedOn w:val="Normal"/>
    <w:pPr>
      <w:numPr>
        <w:numId w:val="36"/>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37"/>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styleId="Header">
    <w:name w:val="header"/>
    <w:basedOn w:val="Normal"/>
    <w:link w:val="HeaderChar"/>
    <w:uiPriority w:val="99"/>
    <w:unhideWhenUsed/>
    <w:rsid w:val="00A141D7"/>
    <w:pPr>
      <w:tabs>
        <w:tab w:val="center" w:pos="4535"/>
        <w:tab w:val="right" w:pos="9071"/>
      </w:tabs>
      <w:spacing w:before="0"/>
    </w:pPr>
  </w:style>
  <w:style w:type="paragraph" w:customStyle="1" w:styleId="HeaderLandscape">
    <w:name w:val="HeaderLandscape"/>
    <w:basedOn w:val="Normal"/>
    <w:rsid w:val="00A141D7"/>
    <w:pPr>
      <w:tabs>
        <w:tab w:val="center" w:pos="7285"/>
        <w:tab w:val="right" w:pos="14003"/>
      </w:tabs>
      <w:spacing w:before="0"/>
    </w:pPr>
  </w:style>
  <w:style w:type="paragraph" w:styleId="Footer">
    <w:name w:val="footer"/>
    <w:basedOn w:val="Normal"/>
    <w:link w:val="FooterChar"/>
    <w:uiPriority w:val="99"/>
    <w:unhideWhenUsed/>
    <w:rsid w:val="00A141D7"/>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A141D7"/>
    <w:pPr>
      <w:tabs>
        <w:tab w:val="center" w:pos="7285"/>
        <w:tab w:val="center" w:pos="10913"/>
        <w:tab w:val="right" w:pos="15137"/>
      </w:tabs>
      <w:spacing w:before="360" w:after="0"/>
      <w:ind w:left="-567" w:right="-567"/>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300798">
      <w:bodyDiv w:val="1"/>
      <w:marLeft w:val="0"/>
      <w:marRight w:val="0"/>
      <w:marTop w:val="0"/>
      <w:marBottom w:val="0"/>
      <w:divBdr>
        <w:top w:val="none" w:sz="0" w:space="0" w:color="auto"/>
        <w:left w:val="none" w:sz="0" w:space="0" w:color="auto"/>
        <w:bottom w:val="none" w:sz="0" w:space="0" w:color="auto"/>
        <w:right w:val="none" w:sz="0" w:space="0" w:color="auto"/>
      </w:divBdr>
    </w:div>
    <w:div w:id="550653829">
      <w:bodyDiv w:val="1"/>
      <w:marLeft w:val="0"/>
      <w:marRight w:val="0"/>
      <w:marTop w:val="0"/>
      <w:marBottom w:val="0"/>
      <w:divBdr>
        <w:top w:val="none" w:sz="0" w:space="0" w:color="auto"/>
        <w:left w:val="none" w:sz="0" w:space="0" w:color="auto"/>
        <w:bottom w:val="none" w:sz="0" w:space="0" w:color="auto"/>
        <w:right w:val="none" w:sz="0" w:space="0" w:color="auto"/>
      </w:divBdr>
    </w:div>
    <w:div w:id="784278377">
      <w:bodyDiv w:val="1"/>
      <w:marLeft w:val="0"/>
      <w:marRight w:val="0"/>
      <w:marTop w:val="0"/>
      <w:marBottom w:val="0"/>
      <w:divBdr>
        <w:top w:val="none" w:sz="0" w:space="0" w:color="auto"/>
        <w:left w:val="none" w:sz="0" w:space="0" w:color="auto"/>
        <w:bottom w:val="none" w:sz="0" w:space="0" w:color="auto"/>
        <w:right w:val="none" w:sz="0" w:space="0" w:color="auto"/>
      </w:divBdr>
    </w:div>
    <w:div w:id="869949458">
      <w:bodyDiv w:val="1"/>
      <w:marLeft w:val="0"/>
      <w:marRight w:val="0"/>
      <w:marTop w:val="0"/>
      <w:marBottom w:val="0"/>
      <w:divBdr>
        <w:top w:val="none" w:sz="0" w:space="0" w:color="auto"/>
        <w:left w:val="none" w:sz="0" w:space="0" w:color="auto"/>
        <w:bottom w:val="none" w:sz="0" w:space="0" w:color="auto"/>
        <w:right w:val="none" w:sz="0" w:space="0" w:color="auto"/>
      </w:divBdr>
    </w:div>
    <w:div w:id="881015070">
      <w:bodyDiv w:val="1"/>
      <w:marLeft w:val="0"/>
      <w:marRight w:val="0"/>
      <w:marTop w:val="0"/>
      <w:marBottom w:val="0"/>
      <w:divBdr>
        <w:top w:val="none" w:sz="0" w:space="0" w:color="auto"/>
        <w:left w:val="none" w:sz="0" w:space="0" w:color="auto"/>
        <w:bottom w:val="none" w:sz="0" w:space="0" w:color="auto"/>
        <w:right w:val="none" w:sz="0" w:space="0" w:color="auto"/>
      </w:divBdr>
    </w:div>
    <w:div w:id="920212406">
      <w:bodyDiv w:val="1"/>
      <w:marLeft w:val="0"/>
      <w:marRight w:val="0"/>
      <w:marTop w:val="0"/>
      <w:marBottom w:val="0"/>
      <w:divBdr>
        <w:top w:val="none" w:sz="0" w:space="0" w:color="auto"/>
        <w:left w:val="none" w:sz="0" w:space="0" w:color="auto"/>
        <w:bottom w:val="none" w:sz="0" w:space="0" w:color="auto"/>
        <w:right w:val="none" w:sz="0" w:space="0" w:color="auto"/>
      </w:divBdr>
    </w:div>
    <w:div w:id="1095593330">
      <w:bodyDiv w:val="1"/>
      <w:marLeft w:val="0"/>
      <w:marRight w:val="0"/>
      <w:marTop w:val="0"/>
      <w:marBottom w:val="0"/>
      <w:divBdr>
        <w:top w:val="none" w:sz="0" w:space="0" w:color="auto"/>
        <w:left w:val="none" w:sz="0" w:space="0" w:color="auto"/>
        <w:bottom w:val="none" w:sz="0" w:space="0" w:color="auto"/>
        <w:right w:val="none" w:sz="0" w:space="0" w:color="auto"/>
      </w:divBdr>
    </w:div>
    <w:div w:id="1494568034">
      <w:bodyDiv w:val="1"/>
      <w:marLeft w:val="0"/>
      <w:marRight w:val="0"/>
      <w:marTop w:val="0"/>
      <w:marBottom w:val="0"/>
      <w:divBdr>
        <w:top w:val="none" w:sz="0" w:space="0" w:color="auto"/>
        <w:left w:val="none" w:sz="0" w:space="0" w:color="auto"/>
        <w:bottom w:val="none" w:sz="0" w:space="0" w:color="auto"/>
        <w:right w:val="none" w:sz="0" w:space="0" w:color="auto"/>
      </w:divBdr>
    </w:div>
    <w:div w:id="1989820838">
      <w:bodyDiv w:val="1"/>
      <w:marLeft w:val="0"/>
      <w:marRight w:val="0"/>
      <w:marTop w:val="0"/>
      <w:marBottom w:val="0"/>
      <w:divBdr>
        <w:top w:val="none" w:sz="0" w:space="0" w:color="auto"/>
        <w:left w:val="none" w:sz="0" w:space="0" w:color="auto"/>
        <w:bottom w:val="none" w:sz="0" w:space="0" w:color="auto"/>
        <w:right w:val="none" w:sz="0" w:space="0" w:color="auto"/>
      </w:divBdr>
    </w:div>
    <w:div w:id="2130515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BAD999D84E12C74482EA5120F5227F6F00217DECAAC21D6B43958DFE68658C192E" ma:contentTypeVersion="27" ma:contentTypeDescription="Create a new document in this library." ma:contentTypeScope="" ma:versionID="e7e27166b6ddd379314dbc4ffb647a9d">
  <xsd:schema xmlns:xsd="http://www.w3.org/2001/XMLSchema" xmlns:xs="http://www.w3.org/2001/XMLSchema" xmlns:p="http://schemas.microsoft.com/office/2006/metadata/properties" xmlns:ns2="http://schemas.microsoft.com/sharepoint/v3/fields" xmlns:ns3="144c03d0-0f03-451f-9d46-5279004462a4" xmlns:ns4="f7bb8512-91eb-4bfd-be42-d6f021407e9a" targetNamespace="http://schemas.microsoft.com/office/2006/metadata/properties" ma:root="true" ma:fieldsID="6ba0d890b3d934a84d947fa41105d8de" ns2:_="" ns3:_="" ns4:_="">
    <xsd:import namespace="http://schemas.microsoft.com/sharepoint/v3/fields"/>
    <xsd:import namespace="144c03d0-0f03-451f-9d46-5279004462a4"/>
    <xsd:import namespace="f7bb8512-91eb-4bfd-be42-d6f021407e9a"/>
    <xsd:element name="properties">
      <xsd:complexType>
        <xsd:sequence>
          <xsd:element name="documentManagement">
            <xsd:complexType>
              <xsd:all>
                <xsd:element ref="ns3:EC_Collab_Reference" minOccurs="0"/>
                <xsd:element ref="ns2:_Status" minOccurs="0"/>
                <xsd:element ref="ns3:EC_Collab_DocumentLanguage"/>
                <xsd:element ref="ns3:SharedWithUsers" minOccurs="0"/>
                <xsd:element ref="ns3:SharedWithDetails" minOccurs="0"/>
                <xsd:element ref="ns3:EC_Collab_Status" minOccurs="0"/>
                <xsd:element ref="ns4:MediaServiceSearchProperties" minOccurs="0"/>
                <xsd:element ref="ns4:lcf76f155ced4ddcb4097134ff3c332f" minOccurs="0"/>
                <xsd:element ref="ns3:TaxCatchAll" minOccurs="0"/>
                <xsd:element ref="ns4:MediaServiceDateTake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ma:readOnly="false">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144c03d0-0f03-451f-9d46-5279004462a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ma:readOnly="false">
      <xsd:simpleType>
        <xsd:restriction base="dms:Text"/>
      </xsd:simpleType>
    </xsd:element>
    <xsd:element name="EC_Collab_DocumentLanguage" ma:index="14" ma:displayName="Language" ma:default="EN" ma:format="Dropdown" ma:internalName="EC_Collab_DocumentLanguage" ma:readOnly="fals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EC_Collab_Status" ma:index="17" nillable="true" ma:displayName="EC Status" ma:default="Not Started" ma:format="Dropdown" ma:internalName="EC_Collab_Status" ma:readOnly="false">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TaxCatchAll" ma:index="21" nillable="true" ma:displayName="Taxonomy Catch All Column" ma:hidden="true" ma:list="{51513471-611d-4aba-ae12-e8d0e877eea6}" ma:internalName="TaxCatchAll" ma:showField="CatchAllData" ma:web="144c03d0-0f03-451f-9d46-5279004462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bb8512-91eb-4bfd-be42-d6f021407e9a" elementFormDefault="qualified">
    <xsd:import namespace="http://schemas.microsoft.com/office/2006/documentManagement/types"/>
    <xsd:import namespace="http://schemas.microsoft.com/office/infopath/2007/PartnerControls"/>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EC_Collab_Reference xmlns="144c03d0-0f03-451f-9d46-5279004462a4" xsi:nil="true"/>
    <EC_Collab_Status xmlns="144c03d0-0f03-451f-9d46-5279004462a4">Not Started</EC_Collab_Status>
    <_Status xmlns="http://schemas.microsoft.com/sharepoint/v3/fields">Not Started</_Status>
    <EC_Collab_DocumentLanguage xmlns="144c03d0-0f03-451f-9d46-5279004462a4">EN</EC_Collab_DocumentLanguage>
    <lcf76f155ced4ddcb4097134ff3c332f xmlns="f7bb8512-91eb-4bfd-be42-d6f021407e9a">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144c03d0-0f03-451f-9d46-5279004462a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6AA042-8990-48CF-9F49-CCC060D398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144c03d0-0f03-451f-9d46-5279004462a4"/>
    <ds:schemaRef ds:uri="f7bb8512-91eb-4bfd-be42-d6f021407e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89D5FD2-A6F3-4EB5-A6CF-7867F88AEFD4}">
  <ds:schemaRefs>
    <ds:schemaRef ds:uri="http://schemas.microsoft.com/sharepoint/v3/contenttype/forms"/>
  </ds:schemaRefs>
</ds:datastoreItem>
</file>

<file path=customXml/itemProps3.xml><?xml version="1.0" encoding="utf-8"?>
<ds:datastoreItem xmlns:ds="http://schemas.openxmlformats.org/officeDocument/2006/customXml" ds:itemID="{07EAE6E2-368D-42B0-9134-B6800FDB77A6}">
  <ds:schemaRefs>
    <ds:schemaRef ds:uri="http://schemas.microsoft.com/office/2006/metadata/properties"/>
    <ds:schemaRef ds:uri="http://schemas.microsoft.com/office/infopath/2007/PartnerControls"/>
    <ds:schemaRef ds:uri="144c03d0-0f03-451f-9d46-5279004462a4"/>
    <ds:schemaRef ds:uri="http://schemas.microsoft.com/sharepoint/v3/fields"/>
    <ds:schemaRef ds:uri="f7bb8512-91eb-4bfd-be42-d6f021407e9a"/>
  </ds:schemaRefs>
</ds:datastoreItem>
</file>

<file path=customXml/itemProps4.xml><?xml version="1.0" encoding="utf-8"?>
<ds:datastoreItem xmlns:ds="http://schemas.openxmlformats.org/officeDocument/2006/customXml" ds:itemID="{EC6AB807-383A-43E7-8E77-03ACC800AC12}">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COM.dotm</Template>
  <TotalTime>5</TotalTime>
  <Pages>6</Pages>
  <Words>1490</Words>
  <Characters>8494</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9965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32</cp:revision>
  <cp:lastPrinted>2025-05-08T07:59:00Z</cp:lastPrinted>
  <dcterms:created xsi:type="dcterms:W3CDTF">2025-09-16T13:52:00Z</dcterms:created>
  <dcterms:modified xsi:type="dcterms:W3CDTF">2025-09-30T15:23:00Z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8.0.25.0</vt:lpwstr>
  </property>
  <property fmtid="{D5CDD505-2E9C-101B-9397-08002B2CF9AE}" pid="4" name="Last edited using">
    <vt:lpwstr>LW 9.1, Build 20240808</vt:lpwstr>
  </property>
  <property fmtid="{D5CDD505-2E9C-101B-9397-08002B2CF9AE}" pid="5" name="Created using">
    <vt:lpwstr>LW 9.1, Build 20240808</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MSIP_Label_6bd9ddd1-4d20-43f6-abfa-fc3c07406f94_Enabled">
    <vt:lpwstr>true</vt:lpwstr>
  </property>
  <property fmtid="{D5CDD505-2E9C-101B-9397-08002B2CF9AE}" pid="11" name="MSIP_Label_6bd9ddd1-4d20-43f6-abfa-fc3c07406f94_SetDate">
    <vt:lpwstr>2025-02-25T08:26:14Z</vt:lpwstr>
  </property>
  <property fmtid="{D5CDD505-2E9C-101B-9397-08002B2CF9AE}" pid="12" name="MSIP_Label_6bd9ddd1-4d20-43f6-abfa-fc3c07406f94_Method">
    <vt:lpwstr>Standard</vt:lpwstr>
  </property>
  <property fmtid="{D5CDD505-2E9C-101B-9397-08002B2CF9AE}" pid="13" name="MSIP_Label_6bd9ddd1-4d20-43f6-abfa-fc3c07406f94_Name">
    <vt:lpwstr>Commission Use</vt:lpwstr>
  </property>
  <property fmtid="{D5CDD505-2E9C-101B-9397-08002B2CF9AE}" pid="14" name="MSIP_Label_6bd9ddd1-4d20-43f6-abfa-fc3c07406f94_SiteId">
    <vt:lpwstr>b24c8b06-522c-46fe-9080-70926f8dddb1</vt:lpwstr>
  </property>
  <property fmtid="{D5CDD505-2E9C-101B-9397-08002B2CF9AE}" pid="15" name="MSIP_Label_6bd9ddd1-4d20-43f6-abfa-fc3c07406f94_ActionId">
    <vt:lpwstr>be3cf09d-66c6-4ba0-8026-31162a6dd493</vt:lpwstr>
  </property>
  <property fmtid="{D5CDD505-2E9C-101B-9397-08002B2CF9AE}" pid="16" name="MSIP_Label_6bd9ddd1-4d20-43f6-abfa-fc3c07406f94_ContentBits">
    <vt:lpwstr>0</vt:lpwstr>
  </property>
  <property fmtid="{D5CDD505-2E9C-101B-9397-08002B2CF9AE}" pid="17" name="ContentTypeId">
    <vt:lpwstr>0x010100BAD999D84E12C74482EA5120F5227F6F00217DECAAC21D6B43958DFE68658C192E</vt:lpwstr>
  </property>
  <property fmtid="{D5CDD505-2E9C-101B-9397-08002B2CF9AE}" pid="18" name="MediaServiceImageTags">
    <vt:lpwstr/>
  </property>
  <property fmtid="{D5CDD505-2E9C-101B-9397-08002B2CF9AE}" pid="19" name="ClassificationContentMarkingHeaderShapeIds">
    <vt:lpwstr>20238a3b,33d08159,24cbf427,4ef86fca,5453675e,568b7bab</vt:lpwstr>
  </property>
  <property fmtid="{D5CDD505-2E9C-101B-9397-08002B2CF9AE}" pid="20" name="ClassificationContentMarkingHeaderFontProps">
    <vt:lpwstr>#000000,12,Aptos</vt:lpwstr>
  </property>
  <property fmtid="{D5CDD505-2E9C-101B-9397-08002B2CF9AE}" pid="21" name="ClassificationContentMarkingHeaderText">
    <vt:lpwstr>EBA Regular Use</vt:lpwstr>
  </property>
  <property fmtid="{D5CDD505-2E9C-101B-9397-08002B2CF9AE}" pid="22" name="DQCStatus">
    <vt:lpwstr>Green (DQC version 03)</vt:lpwstr>
  </property>
</Properties>
</file>