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725AE2" w:rsidRDefault="00092E1D" w:rsidP="00092E1D">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A1967CB-C3F3-48EA-9EE4-B9F5A210D448" style="width:455.25pt;height:383.25pt">
            <v:imagedata r:id="rId11" o:title=""/>
          </v:shape>
        </w:pict>
      </w:r>
    </w:p>
    <w:p w:rsidR="00FE7FED" w:rsidRPr="00725AE2" w:rsidRDefault="00FE7FED">
      <w:pPr>
        <w:rPr>
          <w:noProof/>
        </w:rPr>
        <w:sectPr w:rsidR="00FE7FED" w:rsidRPr="00725AE2" w:rsidSect="00092E1D">
          <w:footerReference w:type="even" r:id="rId12"/>
          <w:footerReference w:type="default" r:id="rId13"/>
          <w:pgSz w:w="11907" w:h="16839"/>
          <w:pgMar w:top="1134" w:right="1417" w:bottom="1134" w:left="1417" w:header="709" w:footer="709" w:gutter="0"/>
          <w:pgNumType w:start="0"/>
          <w:cols w:space="720"/>
          <w:docGrid w:linePitch="360"/>
        </w:sectPr>
      </w:pPr>
    </w:p>
    <w:p w:rsidR="009713B0" w:rsidRPr="00725AE2" w:rsidRDefault="00924D10" w:rsidP="00924D10">
      <w:pPr>
        <w:pStyle w:val="Typedudocument"/>
        <w:rPr>
          <w:noProof/>
        </w:rPr>
      </w:pPr>
      <w:bookmarkStart w:id="0" w:name="_GoBack"/>
      <w:bookmarkEnd w:id="0"/>
      <w:r w:rsidRPr="00924D10">
        <w:rPr>
          <w:noProof/>
        </w:rPr>
        <w:lastRenderedPageBreak/>
        <w:t>ROZPORZĄDZENIE WYKONAWCZE KOMISJI (UE) …/…</w:t>
      </w:r>
    </w:p>
    <w:p w:rsidR="009713B0" w:rsidRPr="00725AE2" w:rsidRDefault="00986B78" w:rsidP="00924D10">
      <w:pPr>
        <w:pStyle w:val="Datedadoption"/>
        <w:rPr>
          <w:noProof/>
        </w:rPr>
      </w:pPr>
      <w:r>
        <w:rPr>
          <w:noProof/>
        </w:rPr>
        <w:t>z dnia 1.10.2025 r.</w:t>
      </w:r>
    </w:p>
    <w:p w:rsidR="009713B0" w:rsidRPr="00725AE2" w:rsidRDefault="00924D10" w:rsidP="00924D10">
      <w:pPr>
        <w:pStyle w:val="Titreobjet"/>
        <w:rPr>
          <w:noProof/>
        </w:rPr>
      </w:pPr>
      <w:r w:rsidRPr="00924D10">
        <w:rPr>
          <w:noProof/>
        </w:rPr>
        <w:t>ustanawiające wykonawcze standardy techniczne do celów stosowania rozporządzenia Parlamentu Europejskiego i Rady (UE) nr 260/2012 w odniesieniu do jednolitych szablonów sprawozdawczych, instrukcji i metodyki przekazywania informacji na temat poziomu opłat za polecenia przelewu, polecenia przelewu natychmiastowego i rachunki płatnicze oraz odsetka odrzuconych transakcji</w:t>
      </w:r>
    </w:p>
    <w:p w:rsidR="009713B0" w:rsidRPr="00725AE2" w:rsidRDefault="009713B0" w:rsidP="009713B0">
      <w:pPr>
        <w:pStyle w:val="Institutionquiagit"/>
        <w:rPr>
          <w:noProof/>
        </w:rPr>
      </w:pPr>
      <w:r w:rsidRPr="00725AE2">
        <w:rPr>
          <w:noProof/>
        </w:rPr>
        <w:t>KOMISJA EUROPEJSKA,</w:t>
      </w:r>
    </w:p>
    <w:p w:rsidR="009713B0" w:rsidRPr="00725AE2" w:rsidRDefault="009713B0" w:rsidP="009713B0">
      <w:pPr>
        <w:rPr>
          <w:noProof/>
          <w:color w:val="000000"/>
        </w:rPr>
      </w:pPr>
      <w:r w:rsidRPr="00725AE2">
        <w:rPr>
          <w:noProof/>
          <w:color w:val="000000"/>
        </w:rPr>
        <w:t>uwzględniając Traktat</w:t>
      </w:r>
      <w:r w:rsidR="00D950DD" w:rsidRPr="00725AE2">
        <w:rPr>
          <w:noProof/>
          <w:color w:val="000000"/>
        </w:rPr>
        <w:t xml:space="preserve"> o</w:t>
      </w:r>
      <w:r w:rsidR="00D950DD">
        <w:rPr>
          <w:noProof/>
          <w:color w:val="000000"/>
        </w:rPr>
        <w:t> </w:t>
      </w:r>
      <w:r w:rsidR="00D950DD" w:rsidRPr="00725AE2">
        <w:rPr>
          <w:noProof/>
          <w:color w:val="000000"/>
        </w:rPr>
        <w:t>fun</w:t>
      </w:r>
      <w:r w:rsidRPr="00725AE2">
        <w:rPr>
          <w:noProof/>
          <w:color w:val="000000"/>
        </w:rPr>
        <w:t>kcjonowaniu Unii Europejskiej,</w:t>
      </w:r>
    </w:p>
    <w:p w:rsidR="009713B0" w:rsidRPr="00725AE2" w:rsidRDefault="009713B0" w:rsidP="009713B0">
      <w:pPr>
        <w:rPr>
          <w:noProof/>
          <w:color w:val="000000"/>
        </w:rPr>
      </w:pPr>
      <w:r w:rsidRPr="00725AE2">
        <w:rPr>
          <w:noProof/>
          <w:color w:val="000000"/>
        </w:rPr>
        <w:t>uwzględniając rozporządzenie Parlamentu Europejskiego</w:t>
      </w:r>
      <w:r w:rsidR="00D950DD" w:rsidRPr="00725AE2">
        <w:rPr>
          <w:noProof/>
          <w:color w:val="000000"/>
        </w:rPr>
        <w:t xml:space="preserve"> i</w:t>
      </w:r>
      <w:r w:rsidR="00D950DD">
        <w:rPr>
          <w:noProof/>
          <w:color w:val="000000"/>
        </w:rPr>
        <w:t> </w:t>
      </w:r>
      <w:r w:rsidR="00D950DD" w:rsidRPr="00725AE2">
        <w:rPr>
          <w:noProof/>
          <w:color w:val="000000"/>
        </w:rPr>
        <w:t>Rad</w:t>
      </w:r>
      <w:r w:rsidRPr="00725AE2">
        <w:rPr>
          <w:noProof/>
          <w:color w:val="000000"/>
        </w:rPr>
        <w:t xml:space="preserve">y (UE) </w:t>
      </w:r>
      <w:r w:rsidRPr="00D950DD">
        <w:rPr>
          <w:noProof/>
          <w:color w:val="000000"/>
        </w:rPr>
        <w:t>nr</w:t>
      </w:r>
      <w:r w:rsidR="00D950DD" w:rsidRPr="00D950DD">
        <w:rPr>
          <w:noProof/>
          <w:color w:val="000000"/>
        </w:rPr>
        <w:t> </w:t>
      </w:r>
      <w:r w:rsidRPr="00D950DD">
        <w:rPr>
          <w:noProof/>
          <w:color w:val="000000"/>
        </w:rPr>
        <w:t>2</w:t>
      </w:r>
      <w:r w:rsidRPr="00725AE2">
        <w:rPr>
          <w:noProof/>
          <w:color w:val="000000"/>
        </w:rPr>
        <w:t>60/2012</w:t>
      </w:r>
      <w:r w:rsidR="00D950DD" w:rsidRPr="00725AE2">
        <w:rPr>
          <w:noProof/>
          <w:color w:val="000000"/>
        </w:rPr>
        <w:t xml:space="preserve"> z</w:t>
      </w:r>
      <w:r w:rsidR="00D950DD">
        <w:rPr>
          <w:noProof/>
          <w:color w:val="000000"/>
        </w:rPr>
        <w:t> </w:t>
      </w:r>
      <w:r w:rsidR="00D950DD" w:rsidRPr="00725AE2">
        <w:rPr>
          <w:noProof/>
          <w:color w:val="000000"/>
        </w:rPr>
        <w:t>dni</w:t>
      </w:r>
      <w:r w:rsidRPr="00725AE2">
        <w:rPr>
          <w:noProof/>
          <w:color w:val="000000"/>
        </w:rPr>
        <w:t>a 14 marca 20</w:t>
      </w:r>
      <w:r w:rsidRPr="00D950DD">
        <w:rPr>
          <w:noProof/>
          <w:color w:val="000000"/>
        </w:rPr>
        <w:t>12</w:t>
      </w:r>
      <w:r w:rsidR="00D950DD" w:rsidRPr="00D950DD">
        <w:rPr>
          <w:noProof/>
          <w:color w:val="000000"/>
        </w:rPr>
        <w:t> </w:t>
      </w:r>
      <w:r w:rsidRPr="00D950DD">
        <w:rPr>
          <w:noProof/>
          <w:color w:val="000000"/>
        </w:rPr>
        <w:t>r.</w:t>
      </w:r>
      <w:r w:rsidRPr="00725AE2">
        <w:rPr>
          <w:noProof/>
          <w:color w:val="000000"/>
        </w:rPr>
        <w:t xml:space="preserve"> ustanawiające wymogi techniczne</w:t>
      </w:r>
      <w:r w:rsidR="00D950DD" w:rsidRPr="00725AE2">
        <w:rPr>
          <w:noProof/>
          <w:color w:val="000000"/>
        </w:rPr>
        <w:t xml:space="preserve"> i</w:t>
      </w:r>
      <w:r w:rsidR="00D950DD">
        <w:rPr>
          <w:noProof/>
          <w:color w:val="000000"/>
        </w:rPr>
        <w:t> </w:t>
      </w:r>
      <w:r w:rsidR="00D950DD" w:rsidRPr="00725AE2">
        <w:rPr>
          <w:noProof/>
          <w:color w:val="000000"/>
        </w:rPr>
        <w:t>han</w:t>
      </w:r>
      <w:r w:rsidRPr="00725AE2">
        <w:rPr>
          <w:noProof/>
          <w:color w:val="000000"/>
        </w:rPr>
        <w:t>dlowe</w:t>
      </w:r>
      <w:r w:rsidR="00D950DD" w:rsidRPr="00725AE2">
        <w:rPr>
          <w:noProof/>
          <w:color w:val="000000"/>
        </w:rPr>
        <w:t xml:space="preserve"> w</w:t>
      </w:r>
      <w:r w:rsidR="00D950DD">
        <w:rPr>
          <w:noProof/>
          <w:color w:val="000000"/>
        </w:rPr>
        <w:t> </w:t>
      </w:r>
      <w:r w:rsidR="00D950DD" w:rsidRPr="00725AE2">
        <w:rPr>
          <w:noProof/>
          <w:color w:val="000000"/>
        </w:rPr>
        <w:t>odn</w:t>
      </w:r>
      <w:r w:rsidRPr="00725AE2">
        <w:rPr>
          <w:noProof/>
          <w:color w:val="000000"/>
        </w:rPr>
        <w:t>iesieniu do poleceń przelewu</w:t>
      </w:r>
      <w:r w:rsidR="00D950DD" w:rsidRPr="00725AE2">
        <w:rPr>
          <w:noProof/>
          <w:color w:val="000000"/>
        </w:rPr>
        <w:t xml:space="preserve"> i</w:t>
      </w:r>
      <w:r w:rsidR="00D950DD">
        <w:rPr>
          <w:noProof/>
          <w:color w:val="000000"/>
        </w:rPr>
        <w:t> </w:t>
      </w:r>
      <w:r w:rsidR="00D950DD" w:rsidRPr="00725AE2">
        <w:rPr>
          <w:noProof/>
          <w:color w:val="000000"/>
        </w:rPr>
        <w:t>pol</w:t>
      </w:r>
      <w:r w:rsidRPr="00725AE2">
        <w:rPr>
          <w:noProof/>
          <w:color w:val="000000"/>
        </w:rPr>
        <w:t>eceń zapłaty</w:t>
      </w:r>
      <w:r w:rsidR="00D950DD" w:rsidRPr="00725AE2">
        <w:rPr>
          <w:noProof/>
          <w:color w:val="000000"/>
        </w:rPr>
        <w:t xml:space="preserve"> w</w:t>
      </w:r>
      <w:r w:rsidR="00D950DD">
        <w:rPr>
          <w:noProof/>
          <w:color w:val="000000"/>
        </w:rPr>
        <w:t> </w:t>
      </w:r>
      <w:r w:rsidR="00D950DD" w:rsidRPr="00725AE2">
        <w:rPr>
          <w:noProof/>
          <w:color w:val="000000"/>
        </w:rPr>
        <w:t>eur</w:t>
      </w:r>
      <w:r w:rsidRPr="00725AE2">
        <w:rPr>
          <w:noProof/>
          <w:color w:val="000000"/>
        </w:rPr>
        <w:t xml:space="preserve">o oraz zmieniające rozporządzenie (WE) </w:t>
      </w:r>
      <w:r w:rsidRPr="00D950DD">
        <w:rPr>
          <w:noProof/>
          <w:color w:val="000000"/>
        </w:rPr>
        <w:t>nr</w:t>
      </w:r>
      <w:r w:rsidR="00D950DD" w:rsidRPr="00D950DD">
        <w:rPr>
          <w:noProof/>
          <w:color w:val="000000"/>
        </w:rPr>
        <w:t> </w:t>
      </w:r>
      <w:r w:rsidRPr="00D950DD">
        <w:rPr>
          <w:noProof/>
          <w:color w:val="000000"/>
        </w:rPr>
        <w:t>9</w:t>
      </w:r>
      <w:r w:rsidRPr="00725AE2">
        <w:rPr>
          <w:noProof/>
          <w:color w:val="000000"/>
        </w:rPr>
        <w:t>24/2009</w:t>
      </w:r>
      <w:r w:rsidRPr="00725AE2">
        <w:rPr>
          <w:rStyle w:val="FootnoteReference"/>
          <w:noProof/>
          <w:color w:val="000000"/>
        </w:rPr>
        <w:footnoteReference w:id="2"/>
      </w:r>
      <w:r w:rsidRPr="00725AE2">
        <w:rPr>
          <w:noProof/>
          <w:color w:val="000000"/>
        </w:rPr>
        <w:t>,</w:t>
      </w:r>
      <w:r w:rsidR="00D950DD" w:rsidRPr="00725AE2">
        <w:rPr>
          <w:noProof/>
          <w:color w:val="000000"/>
        </w:rPr>
        <w:t xml:space="preserve"> w</w:t>
      </w:r>
      <w:r w:rsidR="00D950DD">
        <w:rPr>
          <w:noProof/>
          <w:color w:val="000000"/>
        </w:rPr>
        <w:t> </w:t>
      </w:r>
      <w:r w:rsidR="00D950DD" w:rsidRPr="00725AE2">
        <w:rPr>
          <w:noProof/>
          <w:color w:val="000000"/>
        </w:rPr>
        <w:t>szc</w:t>
      </w:r>
      <w:r w:rsidRPr="00725AE2">
        <w:rPr>
          <w:noProof/>
          <w:color w:val="000000"/>
        </w:rPr>
        <w:t xml:space="preserve">zególności jego </w:t>
      </w:r>
      <w:r w:rsidRPr="00D950DD">
        <w:rPr>
          <w:noProof/>
          <w:color w:val="000000"/>
        </w:rPr>
        <w:t>art.</w:t>
      </w:r>
      <w:r w:rsidR="00D950DD" w:rsidRPr="00D950DD">
        <w:rPr>
          <w:noProof/>
          <w:color w:val="000000"/>
        </w:rPr>
        <w:t> </w:t>
      </w:r>
      <w:r w:rsidRPr="00D950DD">
        <w:rPr>
          <w:noProof/>
          <w:color w:val="000000"/>
        </w:rPr>
        <w:t>1</w:t>
      </w:r>
      <w:r w:rsidRPr="00725AE2">
        <w:rPr>
          <w:noProof/>
          <w:color w:val="000000"/>
        </w:rPr>
        <w:t xml:space="preserve">5 </w:t>
      </w:r>
      <w:r w:rsidRPr="00D950DD">
        <w:rPr>
          <w:noProof/>
          <w:color w:val="000000"/>
        </w:rPr>
        <w:t>ust.</w:t>
      </w:r>
      <w:r w:rsidR="00D950DD" w:rsidRPr="00D950DD">
        <w:rPr>
          <w:noProof/>
          <w:color w:val="000000"/>
        </w:rPr>
        <w:t> </w:t>
      </w:r>
      <w:r w:rsidRPr="00D950DD">
        <w:rPr>
          <w:noProof/>
          <w:color w:val="000000"/>
        </w:rPr>
        <w:t>5</w:t>
      </w:r>
      <w:r w:rsidRPr="00725AE2">
        <w:rPr>
          <w:noProof/>
          <w:color w:val="000000"/>
        </w:rPr>
        <w:t xml:space="preserve"> akapit trzeci, </w:t>
      </w:r>
    </w:p>
    <w:p w:rsidR="009713B0" w:rsidRPr="00725AE2" w:rsidRDefault="009713B0" w:rsidP="009713B0">
      <w:pPr>
        <w:rPr>
          <w:noProof/>
        </w:rPr>
      </w:pPr>
      <w:r w:rsidRPr="00725AE2">
        <w:rPr>
          <w:noProof/>
          <w:color w:val="000000"/>
        </w:rPr>
        <w:t>a także mając na uwadze, co następuje</w:t>
      </w:r>
      <w:r w:rsidRPr="00725AE2">
        <w:rPr>
          <w:noProof/>
        </w:rPr>
        <w:t>:</w:t>
      </w:r>
    </w:p>
    <w:p w:rsidR="00AC0006" w:rsidRPr="00725AE2" w:rsidRDefault="003815EE" w:rsidP="003815EE">
      <w:pPr>
        <w:pStyle w:val="ManualConsidrant"/>
        <w:rPr>
          <w:noProof/>
        </w:rPr>
      </w:pPr>
      <w:r w:rsidRPr="003815EE">
        <w:rPr>
          <w:noProof/>
        </w:rPr>
        <w:t>(1)</w:t>
      </w:r>
      <w:r w:rsidRPr="003815EE">
        <w:rPr>
          <w:noProof/>
        </w:rPr>
        <w:tab/>
      </w:r>
      <w:r w:rsidR="00925CEE" w:rsidRPr="00725AE2">
        <w:rPr>
          <w:noProof/>
        </w:rPr>
        <w:t>Sprawozdawczość</w:t>
      </w:r>
      <w:r w:rsidR="00D950DD" w:rsidRPr="00725AE2">
        <w:rPr>
          <w:noProof/>
        </w:rPr>
        <w:t xml:space="preserve"> w</w:t>
      </w:r>
      <w:r w:rsidR="00D950DD">
        <w:rPr>
          <w:noProof/>
        </w:rPr>
        <w:t> </w:t>
      </w:r>
      <w:r w:rsidR="00D950DD" w:rsidRPr="00725AE2">
        <w:rPr>
          <w:noProof/>
        </w:rPr>
        <w:t>zak</w:t>
      </w:r>
      <w:r w:rsidR="00925CEE" w:rsidRPr="00725AE2">
        <w:rPr>
          <w:noProof/>
        </w:rPr>
        <w:t>resie poziomu opłat zgodnie</w:t>
      </w:r>
      <w:r w:rsidR="00D950DD" w:rsidRPr="00725AE2">
        <w:rPr>
          <w:noProof/>
        </w:rPr>
        <w:t xml:space="preserve"> z</w:t>
      </w:r>
      <w:r w:rsidR="00D950DD">
        <w:rPr>
          <w:noProof/>
        </w:rPr>
        <w:t> </w:t>
      </w:r>
      <w:r w:rsidR="00D950DD" w:rsidRPr="00D950DD">
        <w:rPr>
          <w:noProof/>
        </w:rPr>
        <w:t>art</w:t>
      </w:r>
      <w:r w:rsidR="00925CEE" w:rsidRPr="00D950DD">
        <w:rPr>
          <w:noProof/>
        </w:rPr>
        <w:t>.</w:t>
      </w:r>
      <w:r w:rsidR="00D950DD" w:rsidRPr="00D950DD">
        <w:rPr>
          <w:noProof/>
        </w:rPr>
        <w:t> </w:t>
      </w:r>
      <w:r w:rsidR="00925CEE" w:rsidRPr="00D950DD">
        <w:rPr>
          <w:noProof/>
        </w:rPr>
        <w:t>1</w:t>
      </w:r>
      <w:r w:rsidR="00925CEE" w:rsidRPr="00725AE2">
        <w:rPr>
          <w:noProof/>
        </w:rPr>
        <w:t xml:space="preserve">5 </w:t>
      </w:r>
      <w:r w:rsidR="00925CEE" w:rsidRPr="00D950DD">
        <w:rPr>
          <w:noProof/>
        </w:rPr>
        <w:t>ust.</w:t>
      </w:r>
      <w:r w:rsidR="00D950DD" w:rsidRPr="00D950DD">
        <w:rPr>
          <w:noProof/>
        </w:rPr>
        <w:t> </w:t>
      </w:r>
      <w:r w:rsidR="00925CEE" w:rsidRPr="00D950DD">
        <w:rPr>
          <w:noProof/>
        </w:rPr>
        <w:t>3</w:t>
      </w:r>
      <w:r w:rsidR="00925CEE" w:rsidRPr="00725AE2">
        <w:rPr>
          <w:noProof/>
        </w:rPr>
        <w:t xml:space="preserve"> rozporządzenia (UE) </w:t>
      </w:r>
      <w:r w:rsidR="00925CEE" w:rsidRPr="00D950DD">
        <w:rPr>
          <w:noProof/>
        </w:rPr>
        <w:t>nr</w:t>
      </w:r>
      <w:r w:rsidR="00D950DD" w:rsidRPr="00D950DD">
        <w:rPr>
          <w:noProof/>
        </w:rPr>
        <w:t> </w:t>
      </w:r>
      <w:r w:rsidR="00925CEE" w:rsidRPr="00D950DD">
        <w:rPr>
          <w:noProof/>
        </w:rPr>
        <w:t>2</w:t>
      </w:r>
      <w:r w:rsidR="00925CEE" w:rsidRPr="00725AE2">
        <w:rPr>
          <w:noProof/>
        </w:rPr>
        <w:t>60/2012 powinna umożliwić Komisji ocenę wpływu, jaki zasada dotycząca opłat nakładanych za polecenia przelewu natychmiastowego, określona</w:t>
      </w:r>
      <w:r w:rsidR="00D950DD" w:rsidRPr="00725AE2">
        <w:rPr>
          <w:noProof/>
        </w:rPr>
        <w:t xml:space="preserve"> w</w:t>
      </w:r>
      <w:r w:rsidR="00D950DD">
        <w:rPr>
          <w:noProof/>
        </w:rPr>
        <w:t> </w:t>
      </w:r>
      <w:r w:rsidR="00D950DD" w:rsidRPr="00D950DD">
        <w:rPr>
          <w:noProof/>
        </w:rPr>
        <w:t>art</w:t>
      </w:r>
      <w:r w:rsidR="00925CEE" w:rsidRPr="00D950DD">
        <w:rPr>
          <w:noProof/>
        </w:rPr>
        <w:t>.</w:t>
      </w:r>
      <w:r w:rsidR="00D950DD" w:rsidRPr="00D950DD">
        <w:rPr>
          <w:noProof/>
        </w:rPr>
        <w:t> </w:t>
      </w:r>
      <w:r w:rsidR="00925CEE" w:rsidRPr="00D950DD">
        <w:rPr>
          <w:noProof/>
        </w:rPr>
        <w:t>5</w:t>
      </w:r>
      <w:r w:rsidR="00925CEE" w:rsidRPr="00725AE2">
        <w:rPr>
          <w:noProof/>
        </w:rPr>
        <w:t xml:space="preserve">b </w:t>
      </w:r>
      <w:r w:rsidR="00925CEE" w:rsidRPr="00D950DD">
        <w:rPr>
          <w:noProof/>
        </w:rPr>
        <w:t>ust.</w:t>
      </w:r>
      <w:r w:rsidR="00D950DD" w:rsidRPr="00D950DD">
        <w:rPr>
          <w:noProof/>
        </w:rPr>
        <w:t> </w:t>
      </w:r>
      <w:r w:rsidR="00925CEE" w:rsidRPr="00D950DD">
        <w:rPr>
          <w:noProof/>
        </w:rPr>
        <w:t>1</w:t>
      </w:r>
      <w:r w:rsidR="00925CEE" w:rsidRPr="00725AE2">
        <w:rPr>
          <w:noProof/>
        </w:rPr>
        <w:t xml:space="preserve"> tego rozporządzenia, wywiera na opłaty za rachunki płatnicze, zarówno za krajowe, jak</w:t>
      </w:r>
      <w:r w:rsidR="00D950DD" w:rsidRPr="00725AE2">
        <w:rPr>
          <w:noProof/>
        </w:rPr>
        <w:t xml:space="preserve"> i</w:t>
      </w:r>
      <w:r w:rsidR="00D950DD">
        <w:rPr>
          <w:noProof/>
        </w:rPr>
        <w:t> </w:t>
      </w:r>
      <w:r w:rsidR="00D950DD" w:rsidRPr="00725AE2">
        <w:rPr>
          <w:noProof/>
        </w:rPr>
        <w:t>tra</w:t>
      </w:r>
      <w:r w:rsidR="00925CEE" w:rsidRPr="00725AE2">
        <w:rPr>
          <w:noProof/>
        </w:rPr>
        <w:t>nsgraniczne polecenia przelewu oraz za polecenia przelewu natychmiastowego</w:t>
      </w:r>
      <w:r w:rsidR="00D950DD" w:rsidRPr="00725AE2">
        <w:rPr>
          <w:noProof/>
        </w:rPr>
        <w:t xml:space="preserve"> w</w:t>
      </w:r>
      <w:r w:rsidR="00D950DD">
        <w:rPr>
          <w:noProof/>
        </w:rPr>
        <w:t> </w:t>
      </w:r>
      <w:r w:rsidR="00D950DD" w:rsidRPr="00725AE2">
        <w:rPr>
          <w:noProof/>
        </w:rPr>
        <w:t>eur</w:t>
      </w:r>
      <w:r w:rsidR="00925CEE" w:rsidRPr="00725AE2">
        <w:rPr>
          <w:noProof/>
        </w:rPr>
        <w:t>o</w:t>
      </w:r>
      <w:r w:rsidR="00D950DD" w:rsidRPr="00725AE2">
        <w:rPr>
          <w:noProof/>
        </w:rPr>
        <w:t xml:space="preserve"> i</w:t>
      </w:r>
      <w:r w:rsidR="00D950DD">
        <w:rPr>
          <w:noProof/>
        </w:rPr>
        <w:t> </w:t>
      </w:r>
      <w:r w:rsidR="00D950DD" w:rsidRPr="00725AE2">
        <w:rPr>
          <w:noProof/>
        </w:rPr>
        <w:t>w</w:t>
      </w:r>
      <w:r w:rsidR="00D950DD">
        <w:rPr>
          <w:noProof/>
        </w:rPr>
        <w:t> </w:t>
      </w:r>
      <w:r w:rsidR="00D950DD" w:rsidRPr="00725AE2">
        <w:rPr>
          <w:noProof/>
        </w:rPr>
        <w:t>wal</w:t>
      </w:r>
      <w:r w:rsidR="00925CEE" w:rsidRPr="00725AE2">
        <w:rPr>
          <w:noProof/>
        </w:rPr>
        <w:t>ucie krajowej państw członkowskich, których walutą nie jest euro. Opłaty pobierane przez dostawców usług płatniczych (PSP) za polecenia przelewu,</w:t>
      </w:r>
      <w:r w:rsidR="00D950DD" w:rsidRPr="00725AE2">
        <w:rPr>
          <w:noProof/>
        </w:rPr>
        <w:t xml:space="preserve"> w</w:t>
      </w:r>
      <w:r w:rsidR="00D950DD">
        <w:rPr>
          <w:noProof/>
        </w:rPr>
        <w:t> </w:t>
      </w:r>
      <w:r w:rsidR="00D950DD" w:rsidRPr="00725AE2">
        <w:rPr>
          <w:noProof/>
        </w:rPr>
        <w:t>tym</w:t>
      </w:r>
      <w:r w:rsidR="00925CEE" w:rsidRPr="00725AE2">
        <w:rPr>
          <w:noProof/>
        </w:rPr>
        <w:t xml:space="preserve"> polecenia przelewu natychmiastowego, zazwyczaj różnią się</w:t>
      </w:r>
      <w:r w:rsidR="00D950DD" w:rsidRPr="00725AE2">
        <w:rPr>
          <w:noProof/>
        </w:rPr>
        <w:t xml:space="preserve"> w</w:t>
      </w:r>
      <w:r w:rsidR="00D950DD">
        <w:rPr>
          <w:noProof/>
        </w:rPr>
        <w:t> </w:t>
      </w:r>
      <w:r w:rsidR="00D950DD" w:rsidRPr="00725AE2">
        <w:rPr>
          <w:noProof/>
        </w:rPr>
        <w:t>zal</w:t>
      </w:r>
      <w:r w:rsidR="00925CEE" w:rsidRPr="00725AE2">
        <w:rPr>
          <w:noProof/>
        </w:rPr>
        <w:t>eżności od cech danego polecenia przelewu. Takimi cechami może być to, czy użytkownik usług płatniczych jest płatnikiem czy odbiorcą płatności, konsumentem czy nie, lub rodzaj kanału inicjowania płatności. Sprawozdawczość dotycząca wykonanych poleceń przelewu powinna zatem obejmować podział według przelewów krajowych</w:t>
      </w:r>
      <w:r w:rsidR="00D950DD" w:rsidRPr="00725AE2">
        <w:rPr>
          <w:noProof/>
        </w:rPr>
        <w:t xml:space="preserve"> i</w:t>
      </w:r>
      <w:r w:rsidR="00D950DD">
        <w:rPr>
          <w:noProof/>
        </w:rPr>
        <w:t> </w:t>
      </w:r>
      <w:r w:rsidR="00D950DD" w:rsidRPr="00725AE2">
        <w:rPr>
          <w:noProof/>
        </w:rPr>
        <w:t>tra</w:t>
      </w:r>
      <w:r w:rsidR="00925CEE" w:rsidRPr="00725AE2">
        <w:rPr>
          <w:noProof/>
        </w:rPr>
        <w:t xml:space="preserve">nsgranicznych, rodzaju użytkownika usług płatniczych oraz kanału inicjowania płatności. </w:t>
      </w:r>
    </w:p>
    <w:p w:rsidR="00F133B9" w:rsidRPr="00725AE2" w:rsidRDefault="003815EE" w:rsidP="003815EE">
      <w:pPr>
        <w:pStyle w:val="ManualConsidrant"/>
        <w:rPr>
          <w:noProof/>
        </w:rPr>
      </w:pPr>
      <w:r w:rsidRPr="003815EE">
        <w:rPr>
          <w:noProof/>
        </w:rPr>
        <w:t>(2)</w:t>
      </w:r>
      <w:r w:rsidRPr="003815EE">
        <w:rPr>
          <w:noProof/>
        </w:rPr>
        <w:tab/>
      </w:r>
      <w:r w:rsidR="00914C54" w:rsidRPr="00725AE2">
        <w:rPr>
          <w:noProof/>
        </w:rPr>
        <w:t>Dostawcy usług płatniczych mogą zdecydować się na ustalenie opłat od każdej transakcji</w:t>
      </w:r>
      <w:r w:rsidR="00D950DD" w:rsidRPr="00725AE2">
        <w:rPr>
          <w:noProof/>
        </w:rPr>
        <w:t xml:space="preserve"> w</w:t>
      </w:r>
      <w:r w:rsidR="00D950DD">
        <w:rPr>
          <w:noProof/>
        </w:rPr>
        <w:t> </w:t>
      </w:r>
      <w:r w:rsidR="00D950DD" w:rsidRPr="00725AE2">
        <w:rPr>
          <w:noProof/>
        </w:rPr>
        <w:t>uję</w:t>
      </w:r>
      <w:r w:rsidR="00914C54" w:rsidRPr="00725AE2">
        <w:rPr>
          <w:noProof/>
        </w:rPr>
        <w:t>ciu nominalnym lub procentowym</w:t>
      </w:r>
      <w:r w:rsidR="00D950DD" w:rsidRPr="00725AE2">
        <w:rPr>
          <w:noProof/>
        </w:rPr>
        <w:t xml:space="preserve"> w</w:t>
      </w:r>
      <w:r w:rsidR="00D950DD">
        <w:rPr>
          <w:noProof/>
        </w:rPr>
        <w:t> </w:t>
      </w:r>
      <w:r w:rsidR="00D950DD" w:rsidRPr="00725AE2">
        <w:rPr>
          <w:noProof/>
        </w:rPr>
        <w:t>sto</w:t>
      </w:r>
      <w:r w:rsidR="00914C54" w:rsidRPr="00725AE2">
        <w:rPr>
          <w:noProof/>
        </w:rPr>
        <w:t>sunku do wartości transakcji. Dostawcy usług płatniczych mogą również wybrać alternatywne struktury pobierania opłat,</w:t>
      </w:r>
      <w:r w:rsidR="00D950DD" w:rsidRPr="00725AE2">
        <w:rPr>
          <w:noProof/>
        </w:rPr>
        <w:t xml:space="preserve"> w</w:t>
      </w:r>
      <w:r w:rsidR="00D950DD">
        <w:rPr>
          <w:noProof/>
        </w:rPr>
        <w:t> </w:t>
      </w:r>
      <w:r w:rsidR="00D950DD" w:rsidRPr="00725AE2">
        <w:rPr>
          <w:noProof/>
        </w:rPr>
        <w:t>tym</w:t>
      </w:r>
      <w:r w:rsidR="00914C54" w:rsidRPr="00725AE2">
        <w:rPr>
          <w:noProof/>
        </w:rPr>
        <w:t xml:space="preserve"> systemy różnicowania cen oparte na różnych przedziałach wartości transakcji lub podejścia obejmujące określoną liczbę bezpłatnych transakcji miesięcznie, po przekroczeniu której pobierana jest opłata za transakcję. Niepożądane byłoby, gdyby taka różnorodność praktyk handlowych prowadziła do obchodzenia celu przepisu dotyczącego opłat za polecenia przelewu natychmiastowego określonego</w:t>
      </w:r>
      <w:r w:rsidR="00D950DD" w:rsidRPr="00725AE2">
        <w:rPr>
          <w:noProof/>
        </w:rPr>
        <w:t xml:space="preserve"> w</w:t>
      </w:r>
      <w:r w:rsidR="00D950DD">
        <w:rPr>
          <w:noProof/>
        </w:rPr>
        <w:t> </w:t>
      </w:r>
      <w:r w:rsidR="00D950DD" w:rsidRPr="00D950DD">
        <w:rPr>
          <w:noProof/>
        </w:rPr>
        <w:t>art</w:t>
      </w:r>
      <w:r w:rsidR="00914C54" w:rsidRPr="00D950DD">
        <w:rPr>
          <w:noProof/>
        </w:rPr>
        <w:t>.</w:t>
      </w:r>
      <w:r w:rsidR="00D950DD" w:rsidRPr="00D950DD">
        <w:rPr>
          <w:noProof/>
        </w:rPr>
        <w:t> </w:t>
      </w:r>
      <w:r w:rsidR="00914C54" w:rsidRPr="00D950DD">
        <w:rPr>
          <w:noProof/>
        </w:rPr>
        <w:t>5</w:t>
      </w:r>
      <w:r w:rsidR="00914C54" w:rsidRPr="00725AE2">
        <w:rPr>
          <w:noProof/>
        </w:rPr>
        <w:t xml:space="preserve">b </w:t>
      </w:r>
      <w:r w:rsidR="00914C54" w:rsidRPr="00D950DD">
        <w:rPr>
          <w:noProof/>
        </w:rPr>
        <w:t>ust.</w:t>
      </w:r>
      <w:r w:rsidR="00D950DD" w:rsidRPr="00D950DD">
        <w:rPr>
          <w:noProof/>
        </w:rPr>
        <w:t> </w:t>
      </w:r>
      <w:r w:rsidR="00914C54" w:rsidRPr="00D950DD">
        <w:rPr>
          <w:noProof/>
        </w:rPr>
        <w:t>1</w:t>
      </w:r>
      <w:r w:rsidR="00914C54" w:rsidRPr="00725AE2">
        <w:rPr>
          <w:noProof/>
        </w:rPr>
        <w:t xml:space="preserve"> rozporządzenia (UE) </w:t>
      </w:r>
      <w:r w:rsidR="00914C54" w:rsidRPr="00D950DD">
        <w:rPr>
          <w:noProof/>
        </w:rPr>
        <w:t>nr</w:t>
      </w:r>
      <w:r w:rsidR="00D950DD" w:rsidRPr="00D950DD">
        <w:rPr>
          <w:noProof/>
        </w:rPr>
        <w:t> </w:t>
      </w:r>
      <w:r w:rsidR="00914C54" w:rsidRPr="00D950DD">
        <w:rPr>
          <w:noProof/>
        </w:rPr>
        <w:t>2</w:t>
      </w:r>
      <w:r w:rsidR="00914C54" w:rsidRPr="00725AE2">
        <w:rPr>
          <w:noProof/>
        </w:rPr>
        <w:t>60/2012. Metodyka przekazywania informacji na temat poziomu opłat za tradycyjne polecenia przelewu</w:t>
      </w:r>
      <w:r w:rsidR="00D950DD" w:rsidRPr="00725AE2">
        <w:rPr>
          <w:noProof/>
        </w:rPr>
        <w:t xml:space="preserve"> i</w:t>
      </w:r>
      <w:r w:rsidR="00D950DD">
        <w:rPr>
          <w:noProof/>
        </w:rPr>
        <w:t> </w:t>
      </w:r>
      <w:r w:rsidR="00D950DD" w:rsidRPr="00725AE2">
        <w:rPr>
          <w:noProof/>
        </w:rPr>
        <w:t>pol</w:t>
      </w:r>
      <w:r w:rsidR="00914C54" w:rsidRPr="00725AE2">
        <w:rPr>
          <w:noProof/>
        </w:rPr>
        <w:t>ecenia przelewu natychmiastowego powinna umożliwić Komisji ocenę informacji przekazywanych przez dostawców usług płatniczych</w:t>
      </w:r>
      <w:r w:rsidR="00D950DD" w:rsidRPr="00725AE2">
        <w:rPr>
          <w:noProof/>
        </w:rPr>
        <w:t xml:space="preserve"> w</w:t>
      </w:r>
      <w:r w:rsidR="00D950DD">
        <w:rPr>
          <w:noProof/>
        </w:rPr>
        <w:t> </w:t>
      </w:r>
      <w:r w:rsidR="00D950DD" w:rsidRPr="00725AE2">
        <w:rPr>
          <w:noProof/>
        </w:rPr>
        <w:t>jed</w:t>
      </w:r>
      <w:r w:rsidR="00914C54" w:rsidRPr="00725AE2">
        <w:rPr>
          <w:noProof/>
        </w:rPr>
        <w:t>nolity</w:t>
      </w:r>
      <w:r w:rsidR="00D950DD" w:rsidRPr="00725AE2">
        <w:rPr>
          <w:noProof/>
        </w:rPr>
        <w:t xml:space="preserve"> i</w:t>
      </w:r>
      <w:r w:rsidR="00D950DD">
        <w:rPr>
          <w:noProof/>
        </w:rPr>
        <w:t> </w:t>
      </w:r>
      <w:r w:rsidR="00D950DD" w:rsidRPr="00725AE2">
        <w:rPr>
          <w:noProof/>
        </w:rPr>
        <w:t>por</w:t>
      </w:r>
      <w:r w:rsidR="00914C54" w:rsidRPr="00725AE2">
        <w:rPr>
          <w:noProof/>
        </w:rPr>
        <w:t>ównywalny sposób, zarówno</w:t>
      </w:r>
      <w:r w:rsidR="00D950DD" w:rsidRPr="00725AE2">
        <w:rPr>
          <w:noProof/>
        </w:rPr>
        <w:t xml:space="preserve"> w</w:t>
      </w:r>
      <w:r w:rsidR="00D950DD">
        <w:rPr>
          <w:noProof/>
        </w:rPr>
        <w:t> </w:t>
      </w:r>
      <w:r w:rsidR="00D950DD" w:rsidRPr="00725AE2">
        <w:rPr>
          <w:noProof/>
        </w:rPr>
        <w:t>uję</w:t>
      </w:r>
      <w:r w:rsidR="00914C54" w:rsidRPr="00725AE2">
        <w:rPr>
          <w:noProof/>
        </w:rPr>
        <w:t>ciu czasowym na poziomie danego dostawcy, jak</w:t>
      </w:r>
      <w:r w:rsidR="00D950DD" w:rsidRPr="00725AE2">
        <w:rPr>
          <w:noProof/>
        </w:rPr>
        <w:t xml:space="preserve"> i</w:t>
      </w:r>
      <w:r w:rsidR="00D950DD">
        <w:rPr>
          <w:noProof/>
        </w:rPr>
        <w:t> </w:t>
      </w:r>
      <w:r w:rsidR="00D950DD" w:rsidRPr="00725AE2">
        <w:rPr>
          <w:noProof/>
        </w:rPr>
        <w:t>w</w:t>
      </w:r>
      <w:r w:rsidR="00D950DD">
        <w:rPr>
          <w:noProof/>
        </w:rPr>
        <w:t> </w:t>
      </w:r>
      <w:r w:rsidR="00D950DD" w:rsidRPr="00725AE2">
        <w:rPr>
          <w:noProof/>
        </w:rPr>
        <w:t>dan</w:t>
      </w:r>
      <w:r w:rsidR="00914C54" w:rsidRPr="00725AE2">
        <w:rPr>
          <w:noProof/>
        </w:rPr>
        <w:t>ym momencie</w:t>
      </w:r>
      <w:r w:rsidR="00D950DD" w:rsidRPr="00725AE2">
        <w:rPr>
          <w:noProof/>
        </w:rPr>
        <w:t xml:space="preserve"> w</w:t>
      </w:r>
      <w:r w:rsidR="00D950DD">
        <w:rPr>
          <w:noProof/>
        </w:rPr>
        <w:t> </w:t>
      </w:r>
      <w:r w:rsidR="00D950DD" w:rsidRPr="00725AE2">
        <w:rPr>
          <w:noProof/>
        </w:rPr>
        <w:t>odn</w:t>
      </w:r>
      <w:r w:rsidR="00914C54" w:rsidRPr="00725AE2">
        <w:rPr>
          <w:noProof/>
        </w:rPr>
        <w:t>iesieniu do różnych dostawców, pomimo różnych metod pobierania opłat stosowanych przez dostawców usług płatniczych. Sprawozdawczość powinna zatem zawierać informacje na temat łącznych zagregowanych opłat, wolumenu</w:t>
      </w:r>
      <w:r w:rsidR="00D950DD" w:rsidRPr="00725AE2">
        <w:rPr>
          <w:noProof/>
        </w:rPr>
        <w:t xml:space="preserve"> i</w:t>
      </w:r>
      <w:r w:rsidR="00D950DD">
        <w:rPr>
          <w:noProof/>
        </w:rPr>
        <w:t> </w:t>
      </w:r>
      <w:r w:rsidR="00D950DD" w:rsidRPr="00725AE2">
        <w:rPr>
          <w:noProof/>
        </w:rPr>
        <w:t>war</w:t>
      </w:r>
      <w:r w:rsidR="00914C54" w:rsidRPr="00725AE2">
        <w:rPr>
          <w:noProof/>
        </w:rPr>
        <w:t>tości poleceń przelewu,</w:t>
      </w:r>
      <w:r w:rsidR="00D950DD" w:rsidRPr="00725AE2">
        <w:rPr>
          <w:noProof/>
        </w:rPr>
        <w:t xml:space="preserve"> w</w:t>
      </w:r>
      <w:r w:rsidR="00D950DD">
        <w:rPr>
          <w:noProof/>
        </w:rPr>
        <w:t> </w:t>
      </w:r>
      <w:r w:rsidR="00D950DD" w:rsidRPr="00725AE2">
        <w:rPr>
          <w:noProof/>
        </w:rPr>
        <w:t>tym</w:t>
      </w:r>
      <w:r w:rsidR="00914C54" w:rsidRPr="00725AE2">
        <w:rPr>
          <w:noProof/>
        </w:rPr>
        <w:t xml:space="preserve"> poleceń przelewu natychmiastowego,</w:t>
      </w:r>
      <w:r w:rsidR="00D950DD" w:rsidRPr="00725AE2">
        <w:rPr>
          <w:noProof/>
        </w:rPr>
        <w:t xml:space="preserve"> w</w:t>
      </w:r>
      <w:r w:rsidR="00D950DD">
        <w:rPr>
          <w:noProof/>
        </w:rPr>
        <w:t> </w:t>
      </w:r>
      <w:r w:rsidR="00D950DD" w:rsidRPr="00725AE2">
        <w:rPr>
          <w:noProof/>
        </w:rPr>
        <w:t>wal</w:t>
      </w:r>
      <w:r w:rsidR="00914C54" w:rsidRPr="00725AE2">
        <w:rPr>
          <w:noProof/>
        </w:rPr>
        <w:t>ucie krajowej. Sprawozdawczość dotycząca poleceń przelewu, zarówno wykonywanych, jak</w:t>
      </w:r>
      <w:r w:rsidR="00D950DD" w:rsidRPr="00725AE2">
        <w:rPr>
          <w:noProof/>
        </w:rPr>
        <w:t xml:space="preserve"> i</w:t>
      </w:r>
      <w:r w:rsidR="00D950DD">
        <w:rPr>
          <w:noProof/>
        </w:rPr>
        <w:t> </w:t>
      </w:r>
      <w:r w:rsidR="00D950DD" w:rsidRPr="00725AE2">
        <w:rPr>
          <w:noProof/>
        </w:rPr>
        <w:t>odb</w:t>
      </w:r>
      <w:r w:rsidR="00914C54" w:rsidRPr="00725AE2">
        <w:rPr>
          <w:noProof/>
        </w:rPr>
        <w:t>ieranych, powinna również obejmować podział według bezpłatnych</w:t>
      </w:r>
      <w:r w:rsidR="00D950DD" w:rsidRPr="00725AE2">
        <w:rPr>
          <w:noProof/>
        </w:rPr>
        <w:t xml:space="preserve"> i</w:t>
      </w:r>
      <w:r w:rsidR="00D950DD">
        <w:rPr>
          <w:noProof/>
        </w:rPr>
        <w:t> </w:t>
      </w:r>
      <w:r w:rsidR="00D950DD" w:rsidRPr="00725AE2">
        <w:rPr>
          <w:noProof/>
        </w:rPr>
        <w:t>odp</w:t>
      </w:r>
      <w:r w:rsidR="00914C54" w:rsidRPr="00725AE2">
        <w:rPr>
          <w:noProof/>
        </w:rPr>
        <w:t>łatnych poleceń przelewu.</w:t>
      </w:r>
    </w:p>
    <w:p w:rsidR="009713B0" w:rsidRPr="00725AE2" w:rsidRDefault="003815EE" w:rsidP="003815EE">
      <w:pPr>
        <w:pStyle w:val="ManualConsidrant"/>
        <w:rPr>
          <w:noProof/>
        </w:rPr>
      </w:pPr>
      <w:r w:rsidRPr="003815EE">
        <w:rPr>
          <w:noProof/>
        </w:rPr>
        <w:t>(3)</w:t>
      </w:r>
      <w:r w:rsidRPr="003815EE">
        <w:rPr>
          <w:noProof/>
        </w:rPr>
        <w:tab/>
      </w:r>
      <w:r w:rsidR="004425F3" w:rsidRPr="00725AE2">
        <w:rPr>
          <w:noProof/>
        </w:rPr>
        <w:t>Dostawcy usług płatniczych powinni wypełniać swoje obowiązki sprawozdawcze określone</w:t>
      </w:r>
      <w:r w:rsidR="00D950DD" w:rsidRPr="00725AE2">
        <w:rPr>
          <w:noProof/>
        </w:rPr>
        <w:t xml:space="preserve"> w</w:t>
      </w:r>
      <w:r w:rsidR="00D950DD">
        <w:rPr>
          <w:noProof/>
        </w:rPr>
        <w:t> </w:t>
      </w:r>
      <w:r w:rsidR="00D950DD" w:rsidRPr="00D950DD">
        <w:rPr>
          <w:noProof/>
        </w:rPr>
        <w:t>art</w:t>
      </w:r>
      <w:r w:rsidR="004425F3" w:rsidRPr="00D950DD">
        <w:rPr>
          <w:noProof/>
        </w:rPr>
        <w:t>.</w:t>
      </w:r>
      <w:r w:rsidR="00D950DD" w:rsidRPr="00D950DD">
        <w:rPr>
          <w:noProof/>
        </w:rPr>
        <w:t> </w:t>
      </w:r>
      <w:r w:rsidR="004425F3" w:rsidRPr="00D950DD">
        <w:rPr>
          <w:noProof/>
        </w:rPr>
        <w:t>1</w:t>
      </w:r>
      <w:r w:rsidR="004425F3" w:rsidRPr="00725AE2">
        <w:rPr>
          <w:noProof/>
        </w:rPr>
        <w:t xml:space="preserve">5 </w:t>
      </w:r>
      <w:r w:rsidR="004425F3" w:rsidRPr="00D950DD">
        <w:rPr>
          <w:noProof/>
        </w:rPr>
        <w:t>ust.</w:t>
      </w:r>
      <w:r w:rsidR="00D950DD" w:rsidRPr="00D950DD">
        <w:rPr>
          <w:noProof/>
        </w:rPr>
        <w:t> </w:t>
      </w:r>
      <w:r w:rsidR="004425F3" w:rsidRPr="00D950DD">
        <w:rPr>
          <w:noProof/>
        </w:rPr>
        <w:t>3</w:t>
      </w:r>
      <w:r w:rsidR="004425F3" w:rsidRPr="00725AE2">
        <w:rPr>
          <w:noProof/>
        </w:rPr>
        <w:t xml:space="preserve"> rozporządzenia (UE) </w:t>
      </w:r>
      <w:r w:rsidR="004425F3" w:rsidRPr="00D950DD">
        <w:rPr>
          <w:noProof/>
        </w:rPr>
        <w:t>nr</w:t>
      </w:r>
      <w:r w:rsidR="00D950DD" w:rsidRPr="00D950DD">
        <w:rPr>
          <w:noProof/>
        </w:rPr>
        <w:t> </w:t>
      </w:r>
      <w:r w:rsidR="004425F3" w:rsidRPr="00D950DD">
        <w:rPr>
          <w:noProof/>
        </w:rPr>
        <w:t>2</w:t>
      </w:r>
      <w:r w:rsidR="004425F3" w:rsidRPr="00725AE2">
        <w:rPr>
          <w:noProof/>
        </w:rPr>
        <w:t>60/2012 na poziomie podmiotu</w:t>
      </w:r>
      <w:r w:rsidR="00D950DD" w:rsidRPr="00725AE2">
        <w:rPr>
          <w:noProof/>
        </w:rPr>
        <w:t>. W</w:t>
      </w:r>
      <w:r w:rsidR="00D950DD">
        <w:rPr>
          <w:noProof/>
        </w:rPr>
        <w:t> </w:t>
      </w:r>
      <w:r w:rsidR="00D950DD" w:rsidRPr="00725AE2">
        <w:rPr>
          <w:noProof/>
        </w:rPr>
        <w:t>cel</w:t>
      </w:r>
      <w:r w:rsidR="004425F3" w:rsidRPr="00725AE2">
        <w:rPr>
          <w:noProof/>
        </w:rPr>
        <w:t>u dostosowania się do podejścia stosowanego przy sprawozdawczości</w:t>
      </w:r>
      <w:r w:rsidR="00D950DD" w:rsidRPr="00725AE2">
        <w:rPr>
          <w:noProof/>
        </w:rPr>
        <w:t xml:space="preserve"> w</w:t>
      </w:r>
      <w:r w:rsidR="00D950DD">
        <w:rPr>
          <w:noProof/>
        </w:rPr>
        <w:t> </w:t>
      </w:r>
      <w:r w:rsidR="00D950DD" w:rsidRPr="00725AE2">
        <w:rPr>
          <w:noProof/>
        </w:rPr>
        <w:t>zak</w:t>
      </w:r>
      <w:r w:rsidR="004425F3" w:rsidRPr="00725AE2">
        <w:rPr>
          <w:noProof/>
        </w:rPr>
        <w:t>resie statystyk płatności na potrzeby EBC, oddziały dostawców usług płatniczych znajdujące się</w:t>
      </w:r>
      <w:r w:rsidR="00D950DD" w:rsidRPr="00725AE2">
        <w:rPr>
          <w:noProof/>
        </w:rPr>
        <w:t xml:space="preserve"> w</w:t>
      </w:r>
      <w:r w:rsidR="00D950DD">
        <w:rPr>
          <w:noProof/>
        </w:rPr>
        <w:t> </w:t>
      </w:r>
      <w:r w:rsidR="00D950DD" w:rsidRPr="00725AE2">
        <w:rPr>
          <w:noProof/>
        </w:rPr>
        <w:t>pań</w:t>
      </w:r>
      <w:r w:rsidR="004425F3" w:rsidRPr="00725AE2">
        <w:rPr>
          <w:noProof/>
        </w:rPr>
        <w:t>stwach członkowskich innych niż państwa członkowskie ich jednostek dominujących powinny przekazywać swoje dane właściwemu organowi przyjmującego państwa członkowskiego, natomiast jednostki dominujące powinny przekazywać swoje dane właściwemu organowi swojego państwa członkowskiego pochodzenia.</w:t>
      </w:r>
    </w:p>
    <w:p w:rsidR="009713B0" w:rsidRPr="00725AE2" w:rsidRDefault="003815EE" w:rsidP="003815EE">
      <w:pPr>
        <w:pStyle w:val="ManualConsidrant"/>
        <w:rPr>
          <w:noProof/>
        </w:rPr>
      </w:pPr>
      <w:r w:rsidRPr="003815EE">
        <w:rPr>
          <w:noProof/>
        </w:rPr>
        <w:t>(4)</w:t>
      </w:r>
      <w:r w:rsidRPr="003815EE">
        <w:rPr>
          <w:noProof/>
        </w:rPr>
        <w:tab/>
      </w:r>
      <w:r w:rsidR="000D1771" w:rsidRPr="00725AE2">
        <w:rPr>
          <w:noProof/>
        </w:rPr>
        <w:t>Dostawcy usług płatniczych znajdujący się</w:t>
      </w:r>
      <w:r w:rsidR="00D950DD" w:rsidRPr="00725AE2">
        <w:rPr>
          <w:noProof/>
        </w:rPr>
        <w:t xml:space="preserve"> w</w:t>
      </w:r>
      <w:r w:rsidR="00D950DD">
        <w:rPr>
          <w:noProof/>
        </w:rPr>
        <w:t> </w:t>
      </w:r>
      <w:r w:rsidR="00D950DD" w:rsidRPr="00725AE2">
        <w:rPr>
          <w:noProof/>
        </w:rPr>
        <w:t>pań</w:t>
      </w:r>
      <w:r w:rsidR="000D1771" w:rsidRPr="00725AE2">
        <w:rPr>
          <w:noProof/>
        </w:rPr>
        <w:t>stwach członkowskich, których walutą nie jest euro, oferujący swoim użytkownikom usług płatniczych usługę płatniczą polegającą na odbieraniu</w:t>
      </w:r>
      <w:r w:rsidR="00D950DD" w:rsidRPr="00725AE2">
        <w:rPr>
          <w:noProof/>
        </w:rPr>
        <w:t xml:space="preserve"> i</w:t>
      </w:r>
      <w:r w:rsidR="00D950DD">
        <w:rPr>
          <w:noProof/>
        </w:rPr>
        <w:t> </w:t>
      </w:r>
      <w:r w:rsidR="00D950DD" w:rsidRPr="00725AE2">
        <w:rPr>
          <w:noProof/>
        </w:rPr>
        <w:t>wyk</w:t>
      </w:r>
      <w:r w:rsidR="000D1771" w:rsidRPr="00725AE2">
        <w:rPr>
          <w:noProof/>
        </w:rPr>
        <w:t>onywaniu tradycyjnych poleceń przelewu</w:t>
      </w:r>
      <w:r w:rsidR="00D950DD" w:rsidRPr="00725AE2">
        <w:rPr>
          <w:noProof/>
        </w:rPr>
        <w:t xml:space="preserve"> w</w:t>
      </w:r>
      <w:r w:rsidR="00D950DD">
        <w:rPr>
          <w:noProof/>
        </w:rPr>
        <w:t> </w:t>
      </w:r>
      <w:r w:rsidR="00D950DD" w:rsidRPr="00725AE2">
        <w:rPr>
          <w:noProof/>
        </w:rPr>
        <w:t>eur</w:t>
      </w:r>
      <w:r w:rsidR="000D1771" w:rsidRPr="00725AE2">
        <w:rPr>
          <w:noProof/>
        </w:rPr>
        <w:t>o, są zobowiązani do oferowania swoim użytkownikom usług płatniczych usługi płatniczej polegającej na odbieraniu poleceń przelewu natychmiastowego</w:t>
      </w:r>
      <w:r w:rsidR="00D950DD" w:rsidRPr="00725AE2">
        <w:rPr>
          <w:noProof/>
        </w:rPr>
        <w:t xml:space="preserve"> w</w:t>
      </w:r>
      <w:r w:rsidR="00D950DD">
        <w:rPr>
          <w:noProof/>
        </w:rPr>
        <w:t> </w:t>
      </w:r>
      <w:r w:rsidR="00D950DD" w:rsidRPr="00725AE2">
        <w:rPr>
          <w:noProof/>
        </w:rPr>
        <w:t>eur</w:t>
      </w:r>
      <w:r w:rsidR="000D1771" w:rsidRPr="00725AE2">
        <w:rPr>
          <w:noProof/>
        </w:rPr>
        <w:t>o do dnia 9 stycznia 20</w:t>
      </w:r>
      <w:r w:rsidR="000D1771" w:rsidRPr="00D950DD">
        <w:rPr>
          <w:noProof/>
        </w:rPr>
        <w:t>27</w:t>
      </w:r>
      <w:r w:rsidR="00D950DD" w:rsidRPr="00D950DD">
        <w:rPr>
          <w:noProof/>
        </w:rPr>
        <w:t> </w:t>
      </w:r>
      <w:r w:rsidR="000D1771" w:rsidRPr="00D950DD">
        <w:rPr>
          <w:noProof/>
        </w:rPr>
        <w:t>r.</w:t>
      </w:r>
      <w:r w:rsidR="000D1771" w:rsidRPr="00725AE2">
        <w:rPr>
          <w:noProof/>
        </w:rPr>
        <w:t xml:space="preserve"> oraz usługi płatniczej polegającej na wykonywaniu poleceń przelewu natychmiastowego</w:t>
      </w:r>
      <w:r w:rsidR="00D950DD" w:rsidRPr="00725AE2">
        <w:rPr>
          <w:noProof/>
        </w:rPr>
        <w:t xml:space="preserve"> w</w:t>
      </w:r>
      <w:r w:rsidR="00D950DD">
        <w:rPr>
          <w:noProof/>
        </w:rPr>
        <w:t> </w:t>
      </w:r>
      <w:r w:rsidR="00D950DD" w:rsidRPr="00725AE2">
        <w:rPr>
          <w:noProof/>
        </w:rPr>
        <w:t>eur</w:t>
      </w:r>
      <w:r w:rsidR="000D1771" w:rsidRPr="00725AE2">
        <w:rPr>
          <w:noProof/>
        </w:rPr>
        <w:t>o do dnia 9 lipca 20</w:t>
      </w:r>
      <w:r w:rsidR="000D1771" w:rsidRPr="00D950DD">
        <w:rPr>
          <w:noProof/>
        </w:rPr>
        <w:t>27</w:t>
      </w:r>
      <w:r w:rsidR="00D950DD" w:rsidRPr="00D950DD">
        <w:rPr>
          <w:noProof/>
        </w:rPr>
        <w:t> </w:t>
      </w:r>
      <w:r w:rsidR="000D1771" w:rsidRPr="00D950DD">
        <w:rPr>
          <w:noProof/>
        </w:rPr>
        <w:t>r.</w:t>
      </w:r>
      <w:r w:rsidR="000D1771" w:rsidRPr="00725AE2">
        <w:rPr>
          <w:noProof/>
        </w:rPr>
        <w:t>, zgodnie</w:t>
      </w:r>
      <w:r w:rsidR="00D950DD" w:rsidRPr="00725AE2">
        <w:rPr>
          <w:noProof/>
        </w:rPr>
        <w:t xml:space="preserve"> z</w:t>
      </w:r>
      <w:r w:rsidR="00D950DD">
        <w:rPr>
          <w:noProof/>
        </w:rPr>
        <w:t> </w:t>
      </w:r>
      <w:r w:rsidR="00D950DD" w:rsidRPr="00D950DD">
        <w:rPr>
          <w:noProof/>
        </w:rPr>
        <w:t>art</w:t>
      </w:r>
      <w:r w:rsidR="000D1771" w:rsidRPr="00D950DD">
        <w:rPr>
          <w:noProof/>
        </w:rPr>
        <w:t>.</w:t>
      </w:r>
      <w:r w:rsidR="00D950DD" w:rsidRPr="00D950DD">
        <w:rPr>
          <w:noProof/>
        </w:rPr>
        <w:t> </w:t>
      </w:r>
      <w:r w:rsidR="000D1771" w:rsidRPr="00D950DD">
        <w:rPr>
          <w:noProof/>
        </w:rPr>
        <w:t>5</w:t>
      </w:r>
      <w:r w:rsidR="000D1771" w:rsidRPr="00725AE2">
        <w:rPr>
          <w:noProof/>
        </w:rPr>
        <w:t xml:space="preserve">a </w:t>
      </w:r>
      <w:r w:rsidR="000D1771" w:rsidRPr="00D950DD">
        <w:rPr>
          <w:noProof/>
        </w:rPr>
        <w:t>ust.</w:t>
      </w:r>
      <w:r w:rsidR="00D950DD" w:rsidRPr="00D950DD">
        <w:rPr>
          <w:noProof/>
        </w:rPr>
        <w:t> </w:t>
      </w:r>
      <w:r w:rsidR="000D1771" w:rsidRPr="00D950DD">
        <w:rPr>
          <w:noProof/>
        </w:rPr>
        <w:t>8</w:t>
      </w:r>
      <w:r w:rsidR="000D1771" w:rsidRPr="00725AE2">
        <w:rPr>
          <w:noProof/>
        </w:rPr>
        <w:t xml:space="preserve"> rozporządzenia (UE) </w:t>
      </w:r>
      <w:r w:rsidR="000D1771" w:rsidRPr="00D950DD">
        <w:rPr>
          <w:noProof/>
        </w:rPr>
        <w:t>nr</w:t>
      </w:r>
      <w:r w:rsidR="00D950DD" w:rsidRPr="00D950DD">
        <w:rPr>
          <w:noProof/>
        </w:rPr>
        <w:t> </w:t>
      </w:r>
      <w:r w:rsidR="000D1771" w:rsidRPr="00D950DD">
        <w:rPr>
          <w:noProof/>
        </w:rPr>
        <w:t>2</w:t>
      </w:r>
      <w:r w:rsidR="000D1771" w:rsidRPr="00725AE2">
        <w:rPr>
          <w:noProof/>
        </w:rPr>
        <w:t>60/2012. Ci dostawcy usług płatniczych powinni również wypełniać obowiązki dotyczące opłat pobieranych od płatników</w:t>
      </w:r>
      <w:r w:rsidR="00D950DD" w:rsidRPr="00725AE2">
        <w:rPr>
          <w:noProof/>
        </w:rPr>
        <w:t xml:space="preserve"> i</w:t>
      </w:r>
      <w:r w:rsidR="00D950DD">
        <w:rPr>
          <w:noProof/>
        </w:rPr>
        <w:t> </w:t>
      </w:r>
      <w:r w:rsidR="00D950DD" w:rsidRPr="00725AE2">
        <w:rPr>
          <w:noProof/>
        </w:rPr>
        <w:t>odb</w:t>
      </w:r>
      <w:r w:rsidR="000D1771" w:rsidRPr="00725AE2">
        <w:rPr>
          <w:noProof/>
        </w:rPr>
        <w:t>iorców</w:t>
      </w:r>
      <w:r w:rsidR="00D950DD" w:rsidRPr="00725AE2">
        <w:rPr>
          <w:noProof/>
        </w:rPr>
        <w:t xml:space="preserve"> w</w:t>
      </w:r>
      <w:r w:rsidR="00D950DD">
        <w:rPr>
          <w:noProof/>
        </w:rPr>
        <w:t> </w:t>
      </w:r>
      <w:r w:rsidR="00D950DD" w:rsidRPr="00725AE2">
        <w:rPr>
          <w:noProof/>
        </w:rPr>
        <w:t>zwi</w:t>
      </w:r>
      <w:r w:rsidR="000D1771" w:rsidRPr="00725AE2">
        <w:rPr>
          <w:noProof/>
        </w:rPr>
        <w:t>ązku</w:t>
      </w:r>
      <w:r w:rsidR="00D950DD" w:rsidRPr="00725AE2">
        <w:rPr>
          <w:noProof/>
        </w:rPr>
        <w:t xml:space="preserve"> z</w:t>
      </w:r>
      <w:r w:rsidR="00D950DD">
        <w:rPr>
          <w:noProof/>
        </w:rPr>
        <w:t> </w:t>
      </w:r>
      <w:r w:rsidR="00D950DD" w:rsidRPr="00725AE2">
        <w:rPr>
          <w:noProof/>
        </w:rPr>
        <w:t>wyk</w:t>
      </w:r>
      <w:r w:rsidR="000D1771" w:rsidRPr="00725AE2">
        <w:rPr>
          <w:noProof/>
        </w:rPr>
        <w:t>onywaniem</w:t>
      </w:r>
      <w:r w:rsidR="00D950DD" w:rsidRPr="00725AE2">
        <w:rPr>
          <w:noProof/>
        </w:rPr>
        <w:t xml:space="preserve"> i</w:t>
      </w:r>
      <w:r w:rsidR="00D950DD">
        <w:rPr>
          <w:noProof/>
        </w:rPr>
        <w:t> </w:t>
      </w:r>
      <w:r w:rsidR="00D950DD" w:rsidRPr="00725AE2">
        <w:rPr>
          <w:noProof/>
        </w:rPr>
        <w:t>odb</w:t>
      </w:r>
      <w:r w:rsidR="000D1771" w:rsidRPr="00725AE2">
        <w:rPr>
          <w:noProof/>
        </w:rPr>
        <w:t>ieraniem poleceń przelewu natychmiastowego</w:t>
      </w:r>
      <w:r w:rsidR="00D950DD" w:rsidRPr="00725AE2">
        <w:rPr>
          <w:noProof/>
        </w:rPr>
        <w:t xml:space="preserve"> w</w:t>
      </w:r>
      <w:r w:rsidR="00D950DD">
        <w:rPr>
          <w:noProof/>
        </w:rPr>
        <w:t> </w:t>
      </w:r>
      <w:r w:rsidR="00D950DD" w:rsidRPr="00725AE2">
        <w:rPr>
          <w:noProof/>
        </w:rPr>
        <w:t>eur</w:t>
      </w:r>
      <w:r w:rsidR="000D1771" w:rsidRPr="00725AE2">
        <w:rPr>
          <w:noProof/>
        </w:rPr>
        <w:t>o do dnia 9 stycznia 20</w:t>
      </w:r>
      <w:r w:rsidR="000D1771" w:rsidRPr="00D950DD">
        <w:rPr>
          <w:noProof/>
        </w:rPr>
        <w:t>27</w:t>
      </w:r>
      <w:r w:rsidR="00D950DD" w:rsidRPr="00D950DD">
        <w:rPr>
          <w:noProof/>
        </w:rPr>
        <w:t> </w:t>
      </w:r>
      <w:r w:rsidR="000D1771" w:rsidRPr="00D950DD">
        <w:rPr>
          <w:noProof/>
        </w:rPr>
        <w:t>r.</w:t>
      </w:r>
      <w:r w:rsidR="000D1771" w:rsidRPr="00725AE2">
        <w:rPr>
          <w:noProof/>
        </w:rPr>
        <w:t>, zgodnie</w:t>
      </w:r>
      <w:r w:rsidR="00D950DD" w:rsidRPr="00725AE2">
        <w:rPr>
          <w:noProof/>
        </w:rPr>
        <w:t xml:space="preserve"> z</w:t>
      </w:r>
      <w:r w:rsidR="00D950DD">
        <w:rPr>
          <w:noProof/>
        </w:rPr>
        <w:t> </w:t>
      </w:r>
      <w:r w:rsidR="00D950DD" w:rsidRPr="00D950DD">
        <w:rPr>
          <w:noProof/>
        </w:rPr>
        <w:t>art</w:t>
      </w:r>
      <w:r w:rsidR="000D1771" w:rsidRPr="00D950DD">
        <w:rPr>
          <w:noProof/>
        </w:rPr>
        <w:t>.</w:t>
      </w:r>
      <w:r w:rsidR="00D950DD" w:rsidRPr="00D950DD">
        <w:rPr>
          <w:noProof/>
        </w:rPr>
        <w:t> </w:t>
      </w:r>
      <w:r w:rsidR="000D1771" w:rsidRPr="00D950DD">
        <w:rPr>
          <w:noProof/>
        </w:rPr>
        <w:t>5</w:t>
      </w:r>
      <w:r w:rsidR="000D1771" w:rsidRPr="00725AE2">
        <w:rPr>
          <w:noProof/>
        </w:rPr>
        <w:t xml:space="preserve">b </w:t>
      </w:r>
      <w:r w:rsidR="000D1771" w:rsidRPr="00D950DD">
        <w:rPr>
          <w:noProof/>
        </w:rPr>
        <w:t>ust.</w:t>
      </w:r>
      <w:r w:rsidR="00D950DD" w:rsidRPr="00D950DD">
        <w:rPr>
          <w:noProof/>
        </w:rPr>
        <w:t> </w:t>
      </w:r>
      <w:r w:rsidR="000D1771" w:rsidRPr="00D950DD">
        <w:rPr>
          <w:noProof/>
        </w:rPr>
        <w:t>3</w:t>
      </w:r>
      <w:r w:rsidR="000D1771" w:rsidRPr="00725AE2">
        <w:rPr>
          <w:noProof/>
        </w:rPr>
        <w:t xml:space="preserve"> akapit drugi tego rozporządzenia. Aby umożliwić Komisji ocenę wpływu rozporządzenia (UE) </w:t>
      </w:r>
      <w:r w:rsidR="000D1771" w:rsidRPr="00D950DD">
        <w:rPr>
          <w:noProof/>
        </w:rPr>
        <w:t>nr</w:t>
      </w:r>
      <w:r w:rsidR="00D950DD" w:rsidRPr="00D950DD">
        <w:rPr>
          <w:noProof/>
        </w:rPr>
        <w:t> </w:t>
      </w:r>
      <w:r w:rsidR="000D1771" w:rsidRPr="00D950DD">
        <w:rPr>
          <w:noProof/>
        </w:rPr>
        <w:t>2</w:t>
      </w:r>
      <w:r w:rsidR="000D1771" w:rsidRPr="00725AE2">
        <w:rPr>
          <w:noProof/>
        </w:rPr>
        <w:t>60/2012 na poziom opłat za polecenia przelewu,</w:t>
      </w:r>
      <w:r w:rsidR="00D950DD" w:rsidRPr="00725AE2">
        <w:rPr>
          <w:noProof/>
        </w:rPr>
        <w:t xml:space="preserve"> w</w:t>
      </w:r>
      <w:r w:rsidR="00D950DD">
        <w:rPr>
          <w:noProof/>
        </w:rPr>
        <w:t> </w:t>
      </w:r>
      <w:r w:rsidR="00D950DD" w:rsidRPr="00725AE2">
        <w:rPr>
          <w:noProof/>
        </w:rPr>
        <w:t>tym</w:t>
      </w:r>
      <w:r w:rsidR="000D1771" w:rsidRPr="00725AE2">
        <w:rPr>
          <w:noProof/>
        </w:rPr>
        <w:t xml:space="preserve"> polecenia przelewu natychmiastowego, denominowane</w:t>
      </w:r>
      <w:r w:rsidR="00D950DD" w:rsidRPr="00725AE2">
        <w:rPr>
          <w:noProof/>
        </w:rPr>
        <w:t xml:space="preserve"> w</w:t>
      </w:r>
      <w:r w:rsidR="00D950DD">
        <w:rPr>
          <w:noProof/>
        </w:rPr>
        <w:t> </w:t>
      </w:r>
      <w:r w:rsidR="00D950DD" w:rsidRPr="00725AE2">
        <w:rPr>
          <w:noProof/>
        </w:rPr>
        <w:t>wal</w:t>
      </w:r>
      <w:r w:rsidR="000D1771" w:rsidRPr="00725AE2">
        <w:rPr>
          <w:noProof/>
        </w:rPr>
        <w:t>ucie krajowej państw członkowskich, których walutą nie jest euro, zgodnie</w:t>
      </w:r>
      <w:r w:rsidR="00D950DD" w:rsidRPr="00725AE2">
        <w:rPr>
          <w:noProof/>
        </w:rPr>
        <w:t xml:space="preserve"> z</w:t>
      </w:r>
      <w:r w:rsidR="00D950DD">
        <w:rPr>
          <w:noProof/>
        </w:rPr>
        <w:t> </w:t>
      </w:r>
      <w:r w:rsidR="00D950DD" w:rsidRPr="00D950DD">
        <w:rPr>
          <w:noProof/>
        </w:rPr>
        <w:t>art</w:t>
      </w:r>
      <w:r w:rsidR="000D1771" w:rsidRPr="00D950DD">
        <w:rPr>
          <w:noProof/>
        </w:rPr>
        <w:t>.</w:t>
      </w:r>
      <w:r w:rsidR="00D950DD" w:rsidRPr="00D950DD">
        <w:rPr>
          <w:noProof/>
        </w:rPr>
        <w:t> </w:t>
      </w:r>
      <w:r w:rsidR="000D1771" w:rsidRPr="00D950DD">
        <w:rPr>
          <w:noProof/>
        </w:rPr>
        <w:t>1</w:t>
      </w:r>
      <w:r w:rsidR="000D1771" w:rsidRPr="00725AE2">
        <w:rPr>
          <w:noProof/>
        </w:rPr>
        <w:t xml:space="preserve">5 </w:t>
      </w:r>
      <w:r w:rsidR="000D1771" w:rsidRPr="00D950DD">
        <w:rPr>
          <w:noProof/>
        </w:rPr>
        <w:t>ust.</w:t>
      </w:r>
      <w:r w:rsidR="00D950DD" w:rsidRPr="00D950DD">
        <w:rPr>
          <w:noProof/>
        </w:rPr>
        <w:t> </w:t>
      </w:r>
      <w:r w:rsidR="000D1771" w:rsidRPr="00D950DD">
        <w:rPr>
          <w:noProof/>
        </w:rPr>
        <w:t>2</w:t>
      </w:r>
      <w:r w:rsidR="000D1771" w:rsidRPr="00725AE2">
        <w:rPr>
          <w:noProof/>
        </w:rPr>
        <w:t xml:space="preserve"> </w:t>
      </w:r>
      <w:r w:rsidR="000D1771" w:rsidRPr="00D950DD">
        <w:rPr>
          <w:noProof/>
        </w:rPr>
        <w:t>lit.</w:t>
      </w:r>
      <w:r w:rsidR="00D950DD" w:rsidRPr="00D950DD">
        <w:rPr>
          <w:noProof/>
        </w:rPr>
        <w:t> </w:t>
      </w:r>
      <w:r w:rsidR="000D1771" w:rsidRPr="00D950DD">
        <w:rPr>
          <w:noProof/>
        </w:rPr>
        <w:t>a)</w:t>
      </w:r>
      <w:r w:rsidR="000D1771" w:rsidRPr="00725AE2">
        <w:rPr>
          <w:noProof/>
        </w:rPr>
        <w:t xml:space="preserve"> tego rozporządzenia, dostawcy usług płatniczych znajdujący się</w:t>
      </w:r>
      <w:r w:rsidR="00D950DD" w:rsidRPr="00725AE2">
        <w:rPr>
          <w:noProof/>
        </w:rPr>
        <w:t xml:space="preserve"> w</w:t>
      </w:r>
      <w:r w:rsidR="00D950DD">
        <w:rPr>
          <w:noProof/>
        </w:rPr>
        <w:t> </w:t>
      </w:r>
      <w:r w:rsidR="00D950DD" w:rsidRPr="00725AE2">
        <w:rPr>
          <w:noProof/>
        </w:rPr>
        <w:t>tyc</w:t>
      </w:r>
      <w:r w:rsidR="000D1771" w:rsidRPr="00725AE2">
        <w:rPr>
          <w:noProof/>
        </w:rPr>
        <w:t>h państwach członkowskich, którzy oferują swoim użytkownikom usług płatniczych usługę płatniczą polegającą na odbieraniu</w:t>
      </w:r>
      <w:r w:rsidR="00D950DD" w:rsidRPr="00725AE2">
        <w:rPr>
          <w:noProof/>
        </w:rPr>
        <w:t xml:space="preserve"> i</w:t>
      </w:r>
      <w:r w:rsidR="00D950DD">
        <w:rPr>
          <w:noProof/>
        </w:rPr>
        <w:t> </w:t>
      </w:r>
      <w:r w:rsidR="00D950DD" w:rsidRPr="00725AE2">
        <w:rPr>
          <w:noProof/>
        </w:rPr>
        <w:t>wyk</w:t>
      </w:r>
      <w:r w:rsidR="000D1771" w:rsidRPr="00725AE2">
        <w:rPr>
          <w:noProof/>
        </w:rPr>
        <w:t>onywaniu tradycyjnych poleceń przelewu</w:t>
      </w:r>
      <w:r w:rsidR="00D950DD" w:rsidRPr="00725AE2">
        <w:rPr>
          <w:noProof/>
        </w:rPr>
        <w:t xml:space="preserve"> w</w:t>
      </w:r>
      <w:r w:rsidR="00D950DD">
        <w:rPr>
          <w:noProof/>
        </w:rPr>
        <w:t> </w:t>
      </w:r>
      <w:r w:rsidR="00D950DD" w:rsidRPr="00725AE2">
        <w:rPr>
          <w:noProof/>
        </w:rPr>
        <w:t>eur</w:t>
      </w:r>
      <w:r w:rsidR="000D1771" w:rsidRPr="00725AE2">
        <w:rPr>
          <w:noProof/>
        </w:rPr>
        <w:t>o, powinni zgłaszać liczby</w:t>
      </w:r>
      <w:r w:rsidR="00D950DD" w:rsidRPr="00725AE2">
        <w:rPr>
          <w:noProof/>
        </w:rPr>
        <w:t xml:space="preserve"> i</w:t>
      </w:r>
      <w:r w:rsidR="00D950DD">
        <w:rPr>
          <w:noProof/>
        </w:rPr>
        <w:t> </w:t>
      </w:r>
      <w:r w:rsidR="00D950DD" w:rsidRPr="00725AE2">
        <w:rPr>
          <w:noProof/>
        </w:rPr>
        <w:t>war</w:t>
      </w:r>
      <w:r w:rsidR="000D1771" w:rsidRPr="00725AE2">
        <w:rPr>
          <w:noProof/>
        </w:rPr>
        <w:t>tości poleceń przelewu,</w:t>
      </w:r>
      <w:r w:rsidR="00D950DD" w:rsidRPr="00725AE2">
        <w:rPr>
          <w:noProof/>
        </w:rPr>
        <w:t xml:space="preserve"> w</w:t>
      </w:r>
      <w:r w:rsidR="00D950DD">
        <w:rPr>
          <w:noProof/>
        </w:rPr>
        <w:t> </w:t>
      </w:r>
      <w:r w:rsidR="00D950DD" w:rsidRPr="00725AE2">
        <w:rPr>
          <w:noProof/>
        </w:rPr>
        <w:t>tym</w:t>
      </w:r>
      <w:r w:rsidR="000D1771" w:rsidRPr="00725AE2">
        <w:rPr>
          <w:noProof/>
        </w:rPr>
        <w:t xml:space="preserve"> poleceń przelewu natychmiastowego, oraz opłaty za nie, denominowane</w:t>
      </w:r>
      <w:r w:rsidR="00D950DD" w:rsidRPr="00725AE2">
        <w:rPr>
          <w:noProof/>
        </w:rPr>
        <w:t xml:space="preserve"> w</w:t>
      </w:r>
      <w:r w:rsidR="00D950DD">
        <w:rPr>
          <w:noProof/>
        </w:rPr>
        <w:t> </w:t>
      </w:r>
      <w:r w:rsidR="00D950DD" w:rsidRPr="00725AE2">
        <w:rPr>
          <w:noProof/>
        </w:rPr>
        <w:t>ich</w:t>
      </w:r>
      <w:r w:rsidR="000D1771" w:rsidRPr="00725AE2">
        <w:rPr>
          <w:noProof/>
        </w:rPr>
        <w:t xml:space="preserve"> walucie krajowej oraz</w:t>
      </w:r>
      <w:r w:rsidR="00D950DD" w:rsidRPr="00725AE2">
        <w:rPr>
          <w:noProof/>
        </w:rPr>
        <w:t xml:space="preserve"> w</w:t>
      </w:r>
      <w:r w:rsidR="00D950DD">
        <w:rPr>
          <w:noProof/>
        </w:rPr>
        <w:t> </w:t>
      </w:r>
      <w:r w:rsidR="00D950DD" w:rsidRPr="00725AE2">
        <w:rPr>
          <w:noProof/>
        </w:rPr>
        <w:t>eur</w:t>
      </w:r>
      <w:r w:rsidR="000D1771" w:rsidRPr="00725AE2">
        <w:rPr>
          <w:noProof/>
        </w:rPr>
        <w:t>o.</w:t>
      </w:r>
    </w:p>
    <w:p w:rsidR="009713B0" w:rsidRPr="00725AE2" w:rsidRDefault="003815EE" w:rsidP="003815EE">
      <w:pPr>
        <w:pStyle w:val="ManualConsidrant"/>
        <w:rPr>
          <w:noProof/>
        </w:rPr>
      </w:pPr>
      <w:r w:rsidRPr="003815EE">
        <w:rPr>
          <w:noProof/>
        </w:rPr>
        <w:t>(5)</w:t>
      </w:r>
      <w:r w:rsidRPr="003815EE">
        <w:rPr>
          <w:noProof/>
        </w:rPr>
        <w:tab/>
      </w:r>
      <w:r w:rsidR="009713B0" w:rsidRPr="00725AE2">
        <w:rPr>
          <w:noProof/>
        </w:rPr>
        <w:t>Do celów sprawozdawczości zgodnie</w:t>
      </w:r>
      <w:r w:rsidR="00D950DD" w:rsidRPr="00725AE2">
        <w:rPr>
          <w:noProof/>
        </w:rPr>
        <w:t xml:space="preserve"> z</w:t>
      </w:r>
      <w:r w:rsidR="00D950DD">
        <w:rPr>
          <w:noProof/>
        </w:rPr>
        <w:t> </w:t>
      </w:r>
      <w:r w:rsidR="00D950DD" w:rsidRPr="00D950DD">
        <w:rPr>
          <w:noProof/>
        </w:rPr>
        <w:t>art</w:t>
      </w:r>
      <w:r w:rsidR="009713B0" w:rsidRPr="00D950DD">
        <w:rPr>
          <w:noProof/>
        </w:rPr>
        <w:t>.</w:t>
      </w:r>
      <w:r w:rsidR="00D950DD" w:rsidRPr="00D950DD">
        <w:rPr>
          <w:noProof/>
        </w:rPr>
        <w:t> </w:t>
      </w:r>
      <w:r w:rsidR="009713B0" w:rsidRPr="00D950DD">
        <w:rPr>
          <w:noProof/>
        </w:rPr>
        <w:t>1</w:t>
      </w:r>
      <w:r w:rsidR="009713B0" w:rsidRPr="00725AE2">
        <w:rPr>
          <w:noProof/>
        </w:rPr>
        <w:t xml:space="preserve">5 </w:t>
      </w:r>
      <w:r w:rsidR="009713B0" w:rsidRPr="00D950DD">
        <w:rPr>
          <w:noProof/>
        </w:rPr>
        <w:t>ust.</w:t>
      </w:r>
      <w:r w:rsidR="00D950DD" w:rsidRPr="00D950DD">
        <w:rPr>
          <w:noProof/>
        </w:rPr>
        <w:t> </w:t>
      </w:r>
      <w:r w:rsidR="009713B0" w:rsidRPr="00D950DD">
        <w:rPr>
          <w:noProof/>
        </w:rPr>
        <w:t>3</w:t>
      </w:r>
      <w:r w:rsidR="009713B0" w:rsidRPr="00725AE2">
        <w:rPr>
          <w:noProof/>
        </w:rPr>
        <w:t xml:space="preserve"> rozporządzenia (UE) </w:t>
      </w:r>
      <w:r w:rsidR="009713B0" w:rsidRPr="00D950DD">
        <w:rPr>
          <w:noProof/>
        </w:rPr>
        <w:t>nr</w:t>
      </w:r>
      <w:r w:rsidR="00D950DD" w:rsidRPr="00D950DD">
        <w:rPr>
          <w:noProof/>
        </w:rPr>
        <w:t> </w:t>
      </w:r>
      <w:r w:rsidR="009713B0" w:rsidRPr="00D950DD">
        <w:rPr>
          <w:noProof/>
        </w:rPr>
        <w:t>2</w:t>
      </w:r>
      <w:r w:rsidR="009713B0" w:rsidRPr="00725AE2">
        <w:rPr>
          <w:noProof/>
        </w:rPr>
        <w:t>60/2012 dostawcy usług płatniczych powinni przekazywać swoim właściwym organom dane dotyczące całkowitej liczby rachunków płatniczych oraz zagregowanego poziomu łącznych opłat za rachunki płatnicze. Aby umożliwić Komisji ocenę, czy istnieje związek między potencjalnymi zmianami opłat za rachunki płatnicze</w:t>
      </w:r>
      <w:r w:rsidR="00D950DD" w:rsidRPr="00725AE2">
        <w:rPr>
          <w:noProof/>
        </w:rPr>
        <w:t xml:space="preserve"> a</w:t>
      </w:r>
      <w:r w:rsidR="00D950DD">
        <w:rPr>
          <w:noProof/>
        </w:rPr>
        <w:t> </w:t>
      </w:r>
      <w:r w:rsidR="00D950DD" w:rsidRPr="00725AE2">
        <w:rPr>
          <w:noProof/>
        </w:rPr>
        <w:t>zmi</w:t>
      </w:r>
      <w:r w:rsidR="009713B0" w:rsidRPr="00725AE2">
        <w:rPr>
          <w:noProof/>
        </w:rPr>
        <w:t>anami opłat za polecenia przelewu</w:t>
      </w:r>
      <w:r w:rsidR="00D950DD" w:rsidRPr="00725AE2">
        <w:rPr>
          <w:noProof/>
        </w:rPr>
        <w:t xml:space="preserve"> i</w:t>
      </w:r>
      <w:r w:rsidR="00D950DD">
        <w:rPr>
          <w:noProof/>
        </w:rPr>
        <w:t> </w:t>
      </w:r>
      <w:r w:rsidR="00D950DD" w:rsidRPr="00725AE2">
        <w:rPr>
          <w:noProof/>
        </w:rPr>
        <w:t>pol</w:t>
      </w:r>
      <w:r w:rsidR="009713B0" w:rsidRPr="00725AE2">
        <w:rPr>
          <w:noProof/>
        </w:rPr>
        <w:t>ecenia przelewu natychmiastowego, sprawozdawczość powinna zawierać podział opłat za prowadzenie rachunku.</w:t>
      </w:r>
    </w:p>
    <w:p w:rsidR="009713B0" w:rsidRPr="00725AE2" w:rsidRDefault="003815EE" w:rsidP="003815EE">
      <w:pPr>
        <w:pStyle w:val="ManualConsidrant"/>
        <w:rPr>
          <w:noProof/>
        </w:rPr>
      </w:pPr>
      <w:r w:rsidRPr="003815EE">
        <w:rPr>
          <w:noProof/>
        </w:rPr>
        <w:t>(6)</w:t>
      </w:r>
      <w:r w:rsidRPr="003815EE">
        <w:rPr>
          <w:noProof/>
        </w:rPr>
        <w:tab/>
      </w:r>
      <w:r w:rsidR="00136075" w:rsidRPr="00725AE2">
        <w:rPr>
          <w:noProof/>
        </w:rPr>
        <w:t>Aby umożliwić Komisji ocenę odsetka odrzuconych poleceń przelewu natychmiastowego ze względu na stosowanie ukierunkowanych finansowych środków ograniczających przyjętych zgodnie</w:t>
      </w:r>
      <w:r w:rsidR="00D950DD" w:rsidRPr="00725AE2">
        <w:rPr>
          <w:noProof/>
        </w:rPr>
        <w:t xml:space="preserve"> z</w:t>
      </w:r>
      <w:r w:rsidR="00D950DD">
        <w:rPr>
          <w:noProof/>
        </w:rPr>
        <w:t> </w:t>
      </w:r>
      <w:r w:rsidR="00D950DD" w:rsidRPr="00D950DD">
        <w:rPr>
          <w:noProof/>
        </w:rPr>
        <w:t>art</w:t>
      </w:r>
      <w:r w:rsidR="00136075" w:rsidRPr="00D950DD">
        <w:rPr>
          <w:noProof/>
        </w:rPr>
        <w:t>.</w:t>
      </w:r>
      <w:r w:rsidR="00D950DD" w:rsidRPr="00D950DD">
        <w:rPr>
          <w:noProof/>
        </w:rPr>
        <w:t> </w:t>
      </w:r>
      <w:r w:rsidR="00136075" w:rsidRPr="00D950DD">
        <w:rPr>
          <w:noProof/>
        </w:rPr>
        <w:t>2</w:t>
      </w:r>
      <w:r w:rsidR="00136075" w:rsidRPr="00725AE2">
        <w:rPr>
          <w:noProof/>
        </w:rPr>
        <w:t>15 Traktatu</w:t>
      </w:r>
      <w:r w:rsidR="00D950DD" w:rsidRPr="00725AE2">
        <w:rPr>
          <w:noProof/>
        </w:rPr>
        <w:t xml:space="preserve"> o</w:t>
      </w:r>
      <w:r w:rsidR="00D950DD">
        <w:rPr>
          <w:noProof/>
        </w:rPr>
        <w:t> </w:t>
      </w:r>
      <w:r w:rsidR="00D950DD" w:rsidRPr="00725AE2">
        <w:rPr>
          <w:noProof/>
        </w:rPr>
        <w:t>fun</w:t>
      </w:r>
      <w:r w:rsidR="00136075" w:rsidRPr="00725AE2">
        <w:rPr>
          <w:noProof/>
        </w:rPr>
        <w:t>kcjonowaniu Unii Europejskiej oraz ocenę, czy odsetek ten uległ zmianie po rozpoczęciu stosowania zmian</w:t>
      </w:r>
      <w:r w:rsidR="00D950DD" w:rsidRPr="00725AE2">
        <w:rPr>
          <w:noProof/>
        </w:rPr>
        <w:t xml:space="preserve"> w</w:t>
      </w:r>
      <w:r w:rsidR="00D950DD">
        <w:rPr>
          <w:noProof/>
        </w:rPr>
        <w:t> </w:t>
      </w:r>
      <w:r w:rsidR="00D950DD" w:rsidRPr="00725AE2">
        <w:rPr>
          <w:noProof/>
        </w:rPr>
        <w:t>roz</w:t>
      </w:r>
      <w:r w:rsidR="00136075" w:rsidRPr="00725AE2">
        <w:rPr>
          <w:noProof/>
        </w:rPr>
        <w:t xml:space="preserve">porządzeniu (UE) </w:t>
      </w:r>
      <w:r w:rsidR="00136075" w:rsidRPr="00D950DD">
        <w:rPr>
          <w:noProof/>
        </w:rPr>
        <w:t>nr</w:t>
      </w:r>
      <w:r w:rsidR="00D950DD" w:rsidRPr="00D950DD">
        <w:rPr>
          <w:noProof/>
        </w:rPr>
        <w:t> </w:t>
      </w:r>
      <w:r w:rsidR="00136075" w:rsidRPr="00D950DD">
        <w:rPr>
          <w:noProof/>
        </w:rPr>
        <w:t>2</w:t>
      </w:r>
      <w:r w:rsidR="00136075" w:rsidRPr="00725AE2">
        <w:rPr>
          <w:noProof/>
        </w:rPr>
        <w:t>60/2012 wprowadzonych rozporządzeniem Parlamentu Europejskiego</w:t>
      </w:r>
      <w:r w:rsidR="00D950DD" w:rsidRPr="00725AE2">
        <w:rPr>
          <w:noProof/>
        </w:rPr>
        <w:t xml:space="preserve"> i</w:t>
      </w:r>
      <w:r w:rsidR="00D950DD">
        <w:rPr>
          <w:noProof/>
        </w:rPr>
        <w:t> </w:t>
      </w:r>
      <w:r w:rsidR="00D950DD" w:rsidRPr="00725AE2">
        <w:rPr>
          <w:noProof/>
        </w:rPr>
        <w:t>Rad</w:t>
      </w:r>
      <w:r w:rsidR="00136075" w:rsidRPr="00725AE2">
        <w:rPr>
          <w:noProof/>
        </w:rPr>
        <w:t>y (UE) 2024/886</w:t>
      </w:r>
      <w:r w:rsidR="00136075" w:rsidRPr="00725AE2">
        <w:rPr>
          <w:rStyle w:val="FootnoteReference"/>
          <w:noProof/>
        </w:rPr>
        <w:footnoteReference w:id="3"/>
      </w:r>
      <w:r w:rsidR="00136075" w:rsidRPr="00725AE2">
        <w:rPr>
          <w:noProof/>
        </w:rPr>
        <w:t>, dostawcy usług płatniczych powinni przekazywać swoim właściwym organom dane dotyczące tego odsetka</w:t>
      </w:r>
      <w:r w:rsidR="00D950DD" w:rsidRPr="00725AE2">
        <w:rPr>
          <w:noProof/>
        </w:rPr>
        <w:t xml:space="preserve"> w</w:t>
      </w:r>
      <w:r w:rsidR="00D950DD">
        <w:rPr>
          <w:noProof/>
        </w:rPr>
        <w:t> </w:t>
      </w:r>
      <w:r w:rsidR="00D950DD" w:rsidRPr="00725AE2">
        <w:rPr>
          <w:noProof/>
        </w:rPr>
        <w:t>dan</w:t>
      </w:r>
      <w:r w:rsidR="00136075" w:rsidRPr="00725AE2">
        <w:rPr>
          <w:noProof/>
        </w:rPr>
        <w:t>ym roku,</w:t>
      </w:r>
      <w:r w:rsidR="00D950DD" w:rsidRPr="00725AE2">
        <w:rPr>
          <w:noProof/>
        </w:rPr>
        <w:t xml:space="preserve"> w</w:t>
      </w:r>
      <w:r w:rsidR="00D950DD">
        <w:rPr>
          <w:noProof/>
        </w:rPr>
        <w:t> </w:t>
      </w:r>
      <w:r w:rsidR="00D950DD" w:rsidRPr="00725AE2">
        <w:rPr>
          <w:noProof/>
        </w:rPr>
        <w:t>tym</w:t>
      </w:r>
      <w:r w:rsidR="00136075" w:rsidRPr="00725AE2">
        <w:rPr>
          <w:noProof/>
        </w:rPr>
        <w:t xml:space="preserve"> liczbę przypadków,</w:t>
      </w:r>
      <w:r w:rsidR="00D950DD" w:rsidRPr="00725AE2">
        <w:rPr>
          <w:noProof/>
        </w:rPr>
        <w:t xml:space="preserve"> w</w:t>
      </w:r>
      <w:r w:rsidR="00D950DD">
        <w:rPr>
          <w:noProof/>
        </w:rPr>
        <w:t> </w:t>
      </w:r>
      <w:r w:rsidR="00D950DD" w:rsidRPr="00725AE2">
        <w:rPr>
          <w:noProof/>
        </w:rPr>
        <w:t>któ</w:t>
      </w:r>
      <w:r w:rsidR="00136075" w:rsidRPr="00725AE2">
        <w:rPr>
          <w:noProof/>
        </w:rPr>
        <w:t xml:space="preserve">rych polecenia przelewu natychmiastowego nie zostały wykonane lub środki zostały zamrożone po stronie dostawcy usług płatniczych płatnika lub odbiorcy. </w:t>
      </w:r>
    </w:p>
    <w:p w:rsidR="0039723A" w:rsidRPr="00725AE2" w:rsidRDefault="003815EE" w:rsidP="003815EE">
      <w:pPr>
        <w:pStyle w:val="ManualConsidrant"/>
        <w:rPr>
          <w:noProof/>
        </w:rPr>
      </w:pPr>
      <w:r w:rsidRPr="003815EE">
        <w:rPr>
          <w:noProof/>
        </w:rPr>
        <w:t>(7)</w:t>
      </w:r>
      <w:r w:rsidRPr="003815EE">
        <w:rPr>
          <w:noProof/>
        </w:rPr>
        <w:tab/>
      </w:r>
      <w:r w:rsidR="00B17DF1" w:rsidRPr="00725AE2">
        <w:rPr>
          <w:noProof/>
        </w:rPr>
        <w:t>Aby zharmonizować sprawozdawczość, dostawcy usług płatniczych powinni korzystać</w:t>
      </w:r>
      <w:r w:rsidR="00D950DD" w:rsidRPr="00725AE2">
        <w:rPr>
          <w:noProof/>
        </w:rPr>
        <w:t xml:space="preserve"> z</w:t>
      </w:r>
      <w:r w:rsidR="00D950DD">
        <w:rPr>
          <w:noProof/>
        </w:rPr>
        <w:t> </w:t>
      </w:r>
      <w:r w:rsidR="00D950DD" w:rsidRPr="00725AE2">
        <w:rPr>
          <w:noProof/>
        </w:rPr>
        <w:t>mod</w:t>
      </w:r>
      <w:r w:rsidR="00B17DF1" w:rsidRPr="00725AE2">
        <w:rPr>
          <w:noProof/>
        </w:rPr>
        <w:t>elu punktów danych</w:t>
      </w:r>
      <w:r w:rsidR="00D950DD" w:rsidRPr="00725AE2">
        <w:rPr>
          <w:noProof/>
        </w:rPr>
        <w:t xml:space="preserve"> i</w:t>
      </w:r>
      <w:r w:rsidR="00D950DD">
        <w:rPr>
          <w:noProof/>
        </w:rPr>
        <w:t> </w:t>
      </w:r>
      <w:r w:rsidR="00D950DD" w:rsidRPr="00725AE2">
        <w:rPr>
          <w:noProof/>
        </w:rPr>
        <w:t>zas</w:t>
      </w:r>
      <w:r w:rsidR="00B17DF1" w:rsidRPr="00725AE2">
        <w:rPr>
          <w:noProof/>
        </w:rPr>
        <w:t>ad walidacji udostępnionych na stronie internetowej Europejskiego Urzędu Nadzoru Bankowego (EUNB). Ponadto, aby zmniejszyć obciążenie związane ze sprawozdawczością</w:t>
      </w:r>
      <w:r w:rsidR="00D950DD" w:rsidRPr="00725AE2">
        <w:rPr>
          <w:noProof/>
        </w:rPr>
        <w:t xml:space="preserve"> i</w:t>
      </w:r>
      <w:r w:rsidR="00D950DD">
        <w:rPr>
          <w:noProof/>
        </w:rPr>
        <w:t> </w:t>
      </w:r>
      <w:r w:rsidR="00D950DD" w:rsidRPr="00725AE2">
        <w:rPr>
          <w:noProof/>
        </w:rPr>
        <w:t>uni</w:t>
      </w:r>
      <w:r w:rsidR="00B17DF1" w:rsidRPr="00725AE2">
        <w:rPr>
          <w:noProof/>
        </w:rPr>
        <w:t>knąć powielania działań, właściwe organy powinny mieć możliwość zezwolenia dostawcom usług płatniczych znajdującym się</w:t>
      </w:r>
      <w:r w:rsidR="00D950DD" w:rsidRPr="00725AE2">
        <w:rPr>
          <w:noProof/>
        </w:rPr>
        <w:t xml:space="preserve"> w</w:t>
      </w:r>
      <w:r w:rsidR="00D950DD">
        <w:rPr>
          <w:noProof/>
        </w:rPr>
        <w:t> </w:t>
      </w:r>
      <w:r w:rsidR="00D950DD" w:rsidRPr="00725AE2">
        <w:rPr>
          <w:noProof/>
        </w:rPr>
        <w:t>ich</w:t>
      </w:r>
      <w:r w:rsidR="00B17DF1" w:rsidRPr="00725AE2">
        <w:rPr>
          <w:noProof/>
        </w:rPr>
        <w:t xml:space="preserve"> jurysdykcji na ograniczenie sprawozdawczości do tych punktów danych, które nie zostały wcześniej przekazane.</w:t>
      </w:r>
    </w:p>
    <w:p w:rsidR="009713B0" w:rsidRPr="00725AE2" w:rsidRDefault="003815EE" w:rsidP="003815EE">
      <w:pPr>
        <w:pStyle w:val="ManualConsidrant"/>
        <w:rPr>
          <w:noProof/>
        </w:rPr>
      </w:pPr>
      <w:r w:rsidRPr="003815EE">
        <w:rPr>
          <w:noProof/>
        </w:rPr>
        <w:t>(8)</w:t>
      </w:r>
      <w:r w:rsidRPr="003815EE">
        <w:rPr>
          <w:noProof/>
        </w:rPr>
        <w:tab/>
      </w:r>
      <w:r w:rsidR="009713B0" w:rsidRPr="00725AE2">
        <w:rPr>
          <w:noProof/>
        </w:rPr>
        <w:t>Podstawę niniejszego rozporządzenia stanowi projekt wykonawczych standardów technicznych przedłożony Komisji przez EUNB.</w:t>
      </w:r>
    </w:p>
    <w:p w:rsidR="009713B0" w:rsidRPr="00725AE2" w:rsidRDefault="003815EE" w:rsidP="003815EE">
      <w:pPr>
        <w:pStyle w:val="ManualConsidrant"/>
        <w:rPr>
          <w:noProof/>
        </w:rPr>
      </w:pPr>
      <w:r w:rsidRPr="003815EE">
        <w:rPr>
          <w:noProof/>
        </w:rPr>
        <w:t>(9)</w:t>
      </w:r>
      <w:r w:rsidRPr="003815EE">
        <w:rPr>
          <w:noProof/>
        </w:rPr>
        <w:tab/>
      </w:r>
      <w:r w:rsidR="009713B0" w:rsidRPr="00725AE2">
        <w:rPr>
          <w:noProof/>
        </w:rPr>
        <w:t>EUNB przeprowadził otwarte konsultacje publiczne na temat projektu wykonawczych standardów technicznych, które stanowią podstawę niniejszego rozporządzenia, dokonał analizy potencjalnych kosztów</w:t>
      </w:r>
      <w:r w:rsidR="00D950DD" w:rsidRPr="00725AE2">
        <w:rPr>
          <w:noProof/>
        </w:rPr>
        <w:t xml:space="preserve"> i</w:t>
      </w:r>
      <w:r w:rsidR="00D950DD">
        <w:rPr>
          <w:noProof/>
        </w:rPr>
        <w:t> </w:t>
      </w:r>
      <w:r w:rsidR="00D950DD" w:rsidRPr="00725AE2">
        <w:rPr>
          <w:noProof/>
        </w:rPr>
        <w:t>kor</w:t>
      </w:r>
      <w:r w:rsidR="009713B0" w:rsidRPr="00725AE2">
        <w:rPr>
          <w:noProof/>
        </w:rPr>
        <w:t>zyści</w:t>
      </w:r>
      <w:r w:rsidR="00D950DD" w:rsidRPr="00725AE2">
        <w:rPr>
          <w:noProof/>
        </w:rPr>
        <w:t xml:space="preserve"> z</w:t>
      </w:r>
      <w:r w:rsidR="00D950DD">
        <w:rPr>
          <w:noProof/>
        </w:rPr>
        <w:t> </w:t>
      </w:r>
      <w:r w:rsidR="00D950DD" w:rsidRPr="00725AE2">
        <w:rPr>
          <w:noProof/>
        </w:rPr>
        <w:t>nim</w:t>
      </w:r>
      <w:r w:rsidR="009713B0" w:rsidRPr="00725AE2">
        <w:rPr>
          <w:noProof/>
        </w:rPr>
        <w:t>i związanych oraz zwrócił się</w:t>
      </w:r>
      <w:r w:rsidR="00D950DD" w:rsidRPr="00725AE2">
        <w:rPr>
          <w:noProof/>
        </w:rPr>
        <w:t xml:space="preserve"> o</w:t>
      </w:r>
      <w:r w:rsidR="00D950DD">
        <w:rPr>
          <w:noProof/>
        </w:rPr>
        <w:t> </w:t>
      </w:r>
      <w:r w:rsidR="00D950DD" w:rsidRPr="00725AE2">
        <w:rPr>
          <w:noProof/>
        </w:rPr>
        <w:t>opi</w:t>
      </w:r>
      <w:r w:rsidR="009713B0" w:rsidRPr="00725AE2">
        <w:rPr>
          <w:noProof/>
        </w:rPr>
        <w:t>nię do Bankowej Grupy Interesariuszy powołanej zgodnie</w:t>
      </w:r>
      <w:r w:rsidR="00D950DD" w:rsidRPr="00725AE2">
        <w:rPr>
          <w:noProof/>
        </w:rPr>
        <w:t xml:space="preserve"> z</w:t>
      </w:r>
      <w:r w:rsidR="00D950DD">
        <w:rPr>
          <w:noProof/>
        </w:rPr>
        <w:t> </w:t>
      </w:r>
      <w:r w:rsidR="00D950DD" w:rsidRPr="00D950DD">
        <w:rPr>
          <w:noProof/>
        </w:rPr>
        <w:t>art</w:t>
      </w:r>
      <w:r w:rsidR="009713B0" w:rsidRPr="00D950DD">
        <w:rPr>
          <w:noProof/>
        </w:rPr>
        <w:t>.</w:t>
      </w:r>
      <w:r w:rsidR="00D950DD" w:rsidRPr="00D950DD">
        <w:rPr>
          <w:noProof/>
        </w:rPr>
        <w:t> </w:t>
      </w:r>
      <w:r w:rsidR="009713B0" w:rsidRPr="00D950DD">
        <w:rPr>
          <w:noProof/>
        </w:rPr>
        <w:t>3</w:t>
      </w:r>
      <w:r w:rsidR="009713B0" w:rsidRPr="00725AE2">
        <w:rPr>
          <w:noProof/>
        </w:rPr>
        <w:t>7 rozporządzenia Parlamentu Europejskiego</w:t>
      </w:r>
      <w:r w:rsidR="00D950DD" w:rsidRPr="00725AE2">
        <w:rPr>
          <w:noProof/>
        </w:rPr>
        <w:t xml:space="preserve"> i</w:t>
      </w:r>
      <w:r w:rsidR="00D950DD">
        <w:rPr>
          <w:noProof/>
        </w:rPr>
        <w:t> </w:t>
      </w:r>
      <w:r w:rsidR="00D950DD" w:rsidRPr="00725AE2">
        <w:rPr>
          <w:noProof/>
        </w:rPr>
        <w:t>Rad</w:t>
      </w:r>
      <w:r w:rsidR="009713B0" w:rsidRPr="00725AE2">
        <w:rPr>
          <w:noProof/>
        </w:rPr>
        <w:t xml:space="preserve">y (UE) </w:t>
      </w:r>
      <w:r w:rsidR="009713B0" w:rsidRPr="00D950DD">
        <w:rPr>
          <w:noProof/>
        </w:rPr>
        <w:t>nr</w:t>
      </w:r>
      <w:r w:rsidR="00D950DD" w:rsidRPr="00D950DD">
        <w:rPr>
          <w:noProof/>
        </w:rPr>
        <w:t> </w:t>
      </w:r>
      <w:r w:rsidR="009713B0" w:rsidRPr="00D950DD">
        <w:rPr>
          <w:noProof/>
        </w:rPr>
        <w:t>1</w:t>
      </w:r>
      <w:r w:rsidR="009713B0" w:rsidRPr="00725AE2">
        <w:rPr>
          <w:noProof/>
        </w:rPr>
        <w:t>093/2010</w:t>
      </w:r>
      <w:r w:rsidR="009713B0" w:rsidRPr="00725AE2">
        <w:rPr>
          <w:rStyle w:val="FootnoteReference"/>
          <w:noProof/>
        </w:rPr>
        <w:footnoteReference w:id="4"/>
      </w:r>
      <w:r w:rsidR="009713B0" w:rsidRPr="00725AE2">
        <w:rPr>
          <w:noProof/>
        </w:rPr>
        <w:t>,</w:t>
      </w:r>
    </w:p>
    <w:p w:rsidR="009713B0" w:rsidRPr="00725AE2" w:rsidRDefault="009713B0" w:rsidP="009713B0">
      <w:pPr>
        <w:pStyle w:val="Formuledadoption"/>
        <w:rPr>
          <w:noProof/>
        </w:rPr>
      </w:pPr>
      <w:r w:rsidRPr="00725AE2">
        <w:rPr>
          <w:noProof/>
        </w:rPr>
        <w:t>PRZYJMUJE NINIEJSZE ROZPORZĄDZENIE:</w:t>
      </w:r>
    </w:p>
    <w:p w:rsidR="009713B0" w:rsidRPr="00725AE2" w:rsidRDefault="009713B0" w:rsidP="009713B0">
      <w:pPr>
        <w:pStyle w:val="Titrearticle"/>
        <w:rPr>
          <w:noProof/>
        </w:rPr>
      </w:pPr>
      <w:r w:rsidRPr="00725AE2">
        <w:rPr>
          <w:noProof/>
        </w:rPr>
        <w:t>Artykuł 1</w:t>
      </w:r>
    </w:p>
    <w:p w:rsidR="009713B0" w:rsidRPr="00725AE2" w:rsidRDefault="009713B0" w:rsidP="009713B0">
      <w:pPr>
        <w:jc w:val="center"/>
        <w:rPr>
          <w:b/>
          <w:bCs/>
          <w:noProof/>
        </w:rPr>
      </w:pPr>
      <w:r w:rsidRPr="00725AE2">
        <w:rPr>
          <w:b/>
          <w:noProof/>
        </w:rPr>
        <w:t>Sprawozdawczość</w:t>
      </w:r>
      <w:r w:rsidR="00D950DD" w:rsidRPr="00725AE2">
        <w:rPr>
          <w:b/>
          <w:noProof/>
        </w:rPr>
        <w:t xml:space="preserve"> w</w:t>
      </w:r>
      <w:r w:rsidR="00D950DD">
        <w:rPr>
          <w:b/>
          <w:noProof/>
        </w:rPr>
        <w:t> </w:t>
      </w:r>
      <w:r w:rsidR="00D950DD" w:rsidRPr="00725AE2">
        <w:rPr>
          <w:b/>
          <w:noProof/>
        </w:rPr>
        <w:t>zak</w:t>
      </w:r>
      <w:r w:rsidRPr="00725AE2">
        <w:rPr>
          <w:b/>
          <w:noProof/>
        </w:rPr>
        <w:t>resie poziomu opłat</w:t>
      </w:r>
    </w:p>
    <w:p w:rsidR="009713B0" w:rsidRPr="00725AE2" w:rsidRDefault="009713B0" w:rsidP="009713B0">
      <w:pPr>
        <w:pStyle w:val="Point0"/>
        <w:rPr>
          <w:noProof/>
        </w:rPr>
      </w:pPr>
      <w:r w:rsidRPr="00725AE2">
        <w:rPr>
          <w:noProof/>
        </w:rPr>
        <w:t>1.</w:t>
      </w:r>
      <w:r w:rsidRPr="00725AE2">
        <w:rPr>
          <w:noProof/>
        </w:rPr>
        <w:tab/>
        <w:t>Dostawcy usług płatniczych zgłaszają poziom opłat za polecenia przelewu, polecenia przelewu natychmiastowego</w:t>
      </w:r>
      <w:r w:rsidR="00D950DD" w:rsidRPr="00725AE2">
        <w:rPr>
          <w:noProof/>
        </w:rPr>
        <w:t xml:space="preserve"> i</w:t>
      </w:r>
      <w:r w:rsidR="00D950DD">
        <w:rPr>
          <w:noProof/>
        </w:rPr>
        <w:t> </w:t>
      </w:r>
      <w:r w:rsidR="00D950DD" w:rsidRPr="00725AE2">
        <w:rPr>
          <w:noProof/>
        </w:rPr>
        <w:t>rac</w:t>
      </w:r>
      <w:r w:rsidRPr="00725AE2">
        <w:rPr>
          <w:noProof/>
        </w:rPr>
        <w:t>hunki płatnicze, przekazując informacje określone</w:t>
      </w:r>
      <w:r w:rsidR="00D950DD" w:rsidRPr="00725AE2">
        <w:rPr>
          <w:noProof/>
        </w:rPr>
        <w:t xml:space="preserve"> w</w:t>
      </w:r>
      <w:r w:rsidR="00D950DD">
        <w:rPr>
          <w:noProof/>
        </w:rPr>
        <w:t> </w:t>
      </w:r>
      <w:r w:rsidR="00D950DD" w:rsidRPr="00725AE2">
        <w:rPr>
          <w:noProof/>
        </w:rPr>
        <w:t>sza</w:t>
      </w:r>
      <w:r w:rsidRPr="00725AE2">
        <w:rPr>
          <w:noProof/>
        </w:rPr>
        <w:t>blonach 1.1, 1.2, 2.1, 2.2</w:t>
      </w:r>
      <w:r w:rsidR="00D950DD" w:rsidRPr="00725AE2">
        <w:rPr>
          <w:noProof/>
        </w:rPr>
        <w:t xml:space="preserve"> i</w:t>
      </w:r>
      <w:r w:rsidR="00D950DD">
        <w:rPr>
          <w:noProof/>
        </w:rPr>
        <w:t> </w:t>
      </w:r>
      <w:r w:rsidR="00D950DD" w:rsidRPr="00725AE2">
        <w:rPr>
          <w:noProof/>
        </w:rPr>
        <w:t>3</w:t>
      </w:r>
      <w:r w:rsidRPr="00725AE2">
        <w:rPr>
          <w:noProof/>
        </w:rPr>
        <w:t xml:space="preserve"> zawartych</w:t>
      </w:r>
      <w:r w:rsidR="00D950DD" w:rsidRPr="00725AE2">
        <w:rPr>
          <w:noProof/>
        </w:rPr>
        <w:t xml:space="preserve"> w</w:t>
      </w:r>
      <w:r w:rsidR="00D950DD">
        <w:rPr>
          <w:noProof/>
        </w:rPr>
        <w:t> </w:t>
      </w:r>
      <w:r w:rsidR="00D950DD" w:rsidRPr="00725AE2">
        <w:rPr>
          <w:noProof/>
        </w:rPr>
        <w:t>zał</w:t>
      </w:r>
      <w:r w:rsidRPr="00725AE2">
        <w:rPr>
          <w:noProof/>
        </w:rPr>
        <w:t>ączniku I oraz zgodnie</w:t>
      </w:r>
      <w:r w:rsidR="00D950DD" w:rsidRPr="00725AE2">
        <w:rPr>
          <w:noProof/>
        </w:rPr>
        <w:t xml:space="preserve"> z</w:t>
      </w:r>
      <w:r w:rsidR="00D950DD">
        <w:rPr>
          <w:noProof/>
        </w:rPr>
        <w:t> </w:t>
      </w:r>
      <w:r w:rsidR="00D950DD" w:rsidRPr="00725AE2">
        <w:rPr>
          <w:noProof/>
        </w:rPr>
        <w:t>ins</w:t>
      </w:r>
      <w:r w:rsidRPr="00725AE2">
        <w:rPr>
          <w:noProof/>
        </w:rPr>
        <w:t>trukcjami zawartymi</w:t>
      </w:r>
      <w:r w:rsidR="00D950DD" w:rsidRPr="00725AE2">
        <w:rPr>
          <w:noProof/>
        </w:rPr>
        <w:t xml:space="preserve"> w</w:t>
      </w:r>
      <w:r w:rsidR="00D950DD">
        <w:rPr>
          <w:noProof/>
        </w:rPr>
        <w:t> </w:t>
      </w:r>
      <w:r w:rsidR="00D950DD" w:rsidRPr="00725AE2">
        <w:rPr>
          <w:noProof/>
        </w:rPr>
        <w:t>zał</w:t>
      </w:r>
      <w:r w:rsidRPr="00725AE2">
        <w:rPr>
          <w:noProof/>
        </w:rPr>
        <w:t>ączniku II.</w:t>
      </w:r>
    </w:p>
    <w:p w:rsidR="009713B0" w:rsidRPr="00725AE2" w:rsidRDefault="009713B0" w:rsidP="009713B0">
      <w:pPr>
        <w:pStyle w:val="Point0"/>
        <w:rPr>
          <w:noProof/>
        </w:rPr>
      </w:pPr>
      <w:r w:rsidRPr="00725AE2">
        <w:rPr>
          <w:noProof/>
        </w:rPr>
        <w:t>2.</w:t>
      </w:r>
      <w:r w:rsidRPr="00725AE2">
        <w:rPr>
          <w:noProof/>
        </w:rPr>
        <w:tab/>
        <w:t>Dostawcy usług płatniczych przekazują roczne zagregowane dane liczbowe do dnia 31 grudnia roku kalendarzowego poprzedzającego rok,</w:t>
      </w:r>
      <w:r w:rsidR="00D950DD" w:rsidRPr="00725AE2">
        <w:rPr>
          <w:noProof/>
        </w:rPr>
        <w:t xml:space="preserve"> w</w:t>
      </w:r>
      <w:r w:rsidR="00D950DD">
        <w:rPr>
          <w:noProof/>
        </w:rPr>
        <w:t> </w:t>
      </w:r>
      <w:r w:rsidR="00D950DD" w:rsidRPr="00725AE2">
        <w:rPr>
          <w:noProof/>
        </w:rPr>
        <w:t>któ</w:t>
      </w:r>
      <w:r w:rsidRPr="00725AE2">
        <w:rPr>
          <w:noProof/>
        </w:rPr>
        <w:t>rym przedkłada się sprawozdanie.</w:t>
      </w:r>
    </w:p>
    <w:p w:rsidR="009713B0" w:rsidRPr="00725AE2" w:rsidRDefault="009713B0" w:rsidP="009713B0">
      <w:pPr>
        <w:pStyle w:val="Point0"/>
        <w:rPr>
          <w:noProof/>
        </w:rPr>
      </w:pPr>
      <w:r w:rsidRPr="00725AE2">
        <w:rPr>
          <w:noProof/>
        </w:rPr>
        <w:t>3.</w:t>
      </w:r>
      <w:r w:rsidRPr="00725AE2">
        <w:rPr>
          <w:noProof/>
        </w:rPr>
        <w:tab/>
        <w:t xml:space="preserve">Na zasadzie odstępstwa od </w:t>
      </w:r>
      <w:r w:rsidRPr="00D950DD">
        <w:rPr>
          <w:noProof/>
        </w:rPr>
        <w:t>ust.</w:t>
      </w:r>
      <w:r w:rsidR="00D950DD" w:rsidRPr="00D950DD">
        <w:rPr>
          <w:noProof/>
        </w:rPr>
        <w:t> </w:t>
      </w:r>
      <w:r w:rsidRPr="00D950DD">
        <w:rPr>
          <w:noProof/>
        </w:rPr>
        <w:t>2</w:t>
      </w:r>
      <w:r w:rsidRPr="00725AE2">
        <w:rPr>
          <w:noProof/>
        </w:rPr>
        <w:t xml:space="preserve"> pierwsze zharmonizowane sprawozdanie zawiera zagregowane dane liczbowe za każdy rok poprzedzający rok,</w:t>
      </w:r>
      <w:r w:rsidR="00D950DD" w:rsidRPr="00725AE2">
        <w:rPr>
          <w:noProof/>
        </w:rPr>
        <w:t xml:space="preserve"> w</w:t>
      </w:r>
      <w:r w:rsidR="00D950DD">
        <w:rPr>
          <w:noProof/>
        </w:rPr>
        <w:t> </w:t>
      </w:r>
      <w:r w:rsidR="00D950DD" w:rsidRPr="00725AE2">
        <w:rPr>
          <w:noProof/>
        </w:rPr>
        <w:t>któ</w:t>
      </w:r>
      <w:r w:rsidRPr="00725AE2">
        <w:rPr>
          <w:noProof/>
        </w:rPr>
        <w:t>rym przedkłada się sprawozdanie, począwszy od okresu od dnia 26 października 20</w:t>
      </w:r>
      <w:r w:rsidRPr="00D950DD">
        <w:rPr>
          <w:noProof/>
        </w:rPr>
        <w:t>22</w:t>
      </w:r>
      <w:r w:rsidR="00D950DD" w:rsidRPr="00D950DD">
        <w:rPr>
          <w:noProof/>
        </w:rPr>
        <w:t> </w:t>
      </w:r>
      <w:r w:rsidRPr="00D950DD">
        <w:rPr>
          <w:noProof/>
        </w:rPr>
        <w:t>r.</w:t>
      </w:r>
      <w:r w:rsidRPr="00725AE2">
        <w:rPr>
          <w:noProof/>
        </w:rPr>
        <w:t xml:space="preserve"> do dnia 31 grudnia 20</w:t>
      </w:r>
      <w:r w:rsidRPr="00D950DD">
        <w:rPr>
          <w:noProof/>
        </w:rPr>
        <w:t>22</w:t>
      </w:r>
      <w:r w:rsidR="00D950DD" w:rsidRPr="00D950DD">
        <w:rPr>
          <w:noProof/>
        </w:rPr>
        <w:t> </w:t>
      </w:r>
      <w:r w:rsidRPr="00D950DD">
        <w:rPr>
          <w:noProof/>
        </w:rPr>
        <w:t>r.</w:t>
      </w:r>
      <w:r w:rsidR="00D950DD" w:rsidRPr="00725AE2">
        <w:rPr>
          <w:noProof/>
        </w:rPr>
        <w:t xml:space="preserve"> w</w:t>
      </w:r>
      <w:r w:rsidR="00D950DD">
        <w:rPr>
          <w:noProof/>
        </w:rPr>
        <w:t> </w:t>
      </w:r>
      <w:r w:rsidR="00D950DD" w:rsidRPr="00725AE2">
        <w:rPr>
          <w:noProof/>
        </w:rPr>
        <w:t>odn</w:t>
      </w:r>
      <w:r w:rsidRPr="00725AE2">
        <w:rPr>
          <w:noProof/>
        </w:rPr>
        <w:t xml:space="preserve">iesieniu </w:t>
      </w:r>
      <w:r w:rsidRPr="00D950DD">
        <w:rPr>
          <w:noProof/>
        </w:rPr>
        <w:t>do</w:t>
      </w:r>
      <w:r w:rsidR="00D950DD" w:rsidRPr="00D950DD">
        <w:rPr>
          <w:noProof/>
        </w:rPr>
        <w:t> </w:t>
      </w:r>
      <w:r w:rsidRPr="00D950DD">
        <w:rPr>
          <w:noProof/>
        </w:rPr>
        <w:t>2</w:t>
      </w:r>
      <w:r w:rsidRPr="00725AE2">
        <w:rPr>
          <w:noProof/>
        </w:rPr>
        <w:t>0</w:t>
      </w:r>
      <w:r w:rsidRPr="00D950DD">
        <w:rPr>
          <w:noProof/>
        </w:rPr>
        <w:t>22</w:t>
      </w:r>
      <w:r w:rsidR="00D950DD" w:rsidRPr="00D950DD">
        <w:rPr>
          <w:noProof/>
        </w:rPr>
        <w:t> </w:t>
      </w:r>
      <w:r w:rsidRPr="00D950DD">
        <w:rPr>
          <w:noProof/>
        </w:rPr>
        <w:t>r.</w:t>
      </w:r>
    </w:p>
    <w:p w:rsidR="009713B0" w:rsidRPr="00725AE2" w:rsidRDefault="009713B0" w:rsidP="009713B0">
      <w:pPr>
        <w:pStyle w:val="Titrearticle"/>
        <w:rPr>
          <w:noProof/>
        </w:rPr>
      </w:pPr>
      <w:r w:rsidRPr="00725AE2">
        <w:rPr>
          <w:noProof/>
        </w:rPr>
        <w:t>Artykuł 2</w:t>
      </w:r>
    </w:p>
    <w:p w:rsidR="009713B0" w:rsidRPr="00725AE2" w:rsidRDefault="009713B0" w:rsidP="009713B0">
      <w:pPr>
        <w:jc w:val="center"/>
        <w:rPr>
          <w:b/>
          <w:bCs/>
          <w:noProof/>
        </w:rPr>
      </w:pPr>
      <w:r w:rsidRPr="00725AE2">
        <w:rPr>
          <w:b/>
          <w:noProof/>
        </w:rPr>
        <w:t>Zgłaszanie odsetka odrzuconych transakcji polecenia przelewu natychmiastowego</w:t>
      </w:r>
      <w:r w:rsidR="00D950DD" w:rsidRPr="00725AE2">
        <w:rPr>
          <w:b/>
          <w:noProof/>
        </w:rPr>
        <w:t xml:space="preserve"> i</w:t>
      </w:r>
      <w:r w:rsidR="00D950DD">
        <w:rPr>
          <w:b/>
          <w:noProof/>
        </w:rPr>
        <w:t> </w:t>
      </w:r>
      <w:r w:rsidR="00D950DD" w:rsidRPr="00725AE2">
        <w:rPr>
          <w:b/>
          <w:noProof/>
        </w:rPr>
        <w:t>okr</w:t>
      </w:r>
      <w:r w:rsidRPr="00725AE2">
        <w:rPr>
          <w:b/>
          <w:noProof/>
        </w:rPr>
        <w:t>esów odniesienia</w:t>
      </w:r>
    </w:p>
    <w:p w:rsidR="009713B0" w:rsidRPr="00725AE2" w:rsidRDefault="009713B0" w:rsidP="009713B0">
      <w:pPr>
        <w:pStyle w:val="Point0"/>
        <w:rPr>
          <w:noProof/>
        </w:rPr>
      </w:pPr>
      <w:r w:rsidRPr="00725AE2">
        <w:rPr>
          <w:noProof/>
        </w:rPr>
        <w:t>1.</w:t>
      </w:r>
      <w:r w:rsidRPr="00725AE2">
        <w:rPr>
          <w:noProof/>
        </w:rPr>
        <w:tab/>
        <w:t>Dostawcy usług płatniczych zgłaszają odsetek transakcji polecenia przelewu natychmiastowego, które zostały odrzucone ze względu na ukierunkowane finansowe środki ograniczające, zgodnie</w:t>
      </w:r>
      <w:r w:rsidR="00D950DD" w:rsidRPr="00725AE2">
        <w:rPr>
          <w:noProof/>
        </w:rPr>
        <w:t xml:space="preserve"> z</w:t>
      </w:r>
      <w:r w:rsidR="00D950DD">
        <w:rPr>
          <w:noProof/>
        </w:rPr>
        <w:t> </w:t>
      </w:r>
      <w:r w:rsidR="00D950DD" w:rsidRPr="00D950DD">
        <w:rPr>
          <w:noProof/>
        </w:rPr>
        <w:t>art</w:t>
      </w:r>
      <w:r w:rsidRPr="00D950DD">
        <w:rPr>
          <w:noProof/>
        </w:rPr>
        <w:t>.</w:t>
      </w:r>
      <w:r w:rsidR="00D950DD" w:rsidRPr="00D950DD">
        <w:rPr>
          <w:noProof/>
        </w:rPr>
        <w:t> </w:t>
      </w:r>
      <w:r w:rsidRPr="00D950DD">
        <w:rPr>
          <w:noProof/>
        </w:rPr>
        <w:t>1</w:t>
      </w:r>
      <w:r w:rsidRPr="00725AE2">
        <w:rPr>
          <w:noProof/>
        </w:rPr>
        <w:t xml:space="preserve">5 </w:t>
      </w:r>
      <w:r w:rsidRPr="00D950DD">
        <w:rPr>
          <w:noProof/>
        </w:rPr>
        <w:t>ust.</w:t>
      </w:r>
      <w:r w:rsidR="00D950DD" w:rsidRPr="00D950DD">
        <w:rPr>
          <w:noProof/>
        </w:rPr>
        <w:t> </w:t>
      </w:r>
      <w:r w:rsidRPr="00D950DD">
        <w:rPr>
          <w:noProof/>
        </w:rPr>
        <w:t>3</w:t>
      </w:r>
      <w:r w:rsidRPr="00725AE2">
        <w:rPr>
          <w:noProof/>
        </w:rPr>
        <w:t xml:space="preserve"> rozporządzenia (UE) </w:t>
      </w:r>
      <w:r w:rsidRPr="00D950DD">
        <w:rPr>
          <w:noProof/>
        </w:rPr>
        <w:t>nr</w:t>
      </w:r>
      <w:r w:rsidR="00D950DD" w:rsidRPr="00D950DD">
        <w:rPr>
          <w:noProof/>
        </w:rPr>
        <w:t> </w:t>
      </w:r>
      <w:r w:rsidRPr="00D950DD">
        <w:rPr>
          <w:noProof/>
        </w:rPr>
        <w:t>2</w:t>
      </w:r>
      <w:r w:rsidRPr="00725AE2">
        <w:rPr>
          <w:noProof/>
        </w:rPr>
        <w:t>60/2012,</w:t>
      </w:r>
      <w:r w:rsidR="00D950DD" w:rsidRPr="00725AE2">
        <w:rPr>
          <w:noProof/>
        </w:rPr>
        <w:t xml:space="preserve"> w</w:t>
      </w:r>
      <w:r w:rsidR="00D950DD">
        <w:rPr>
          <w:noProof/>
        </w:rPr>
        <w:t> </w:t>
      </w:r>
      <w:r w:rsidR="00D950DD" w:rsidRPr="00725AE2">
        <w:rPr>
          <w:noProof/>
        </w:rPr>
        <w:t>tym</w:t>
      </w:r>
      <w:r w:rsidRPr="00725AE2">
        <w:rPr>
          <w:noProof/>
        </w:rPr>
        <w:t xml:space="preserve"> oddzielne dane dotyczące transakcji krajowych</w:t>
      </w:r>
      <w:r w:rsidR="00D950DD" w:rsidRPr="00725AE2">
        <w:rPr>
          <w:noProof/>
        </w:rPr>
        <w:t xml:space="preserve"> i</w:t>
      </w:r>
      <w:r w:rsidR="00D950DD">
        <w:rPr>
          <w:noProof/>
        </w:rPr>
        <w:t> </w:t>
      </w:r>
      <w:r w:rsidR="00D950DD" w:rsidRPr="00725AE2">
        <w:rPr>
          <w:noProof/>
        </w:rPr>
        <w:t>tra</w:t>
      </w:r>
      <w:r w:rsidRPr="00725AE2">
        <w:rPr>
          <w:noProof/>
        </w:rPr>
        <w:t>nsgranicznych, przedkładając informacje określone</w:t>
      </w:r>
      <w:r w:rsidR="00D950DD" w:rsidRPr="00725AE2">
        <w:rPr>
          <w:noProof/>
        </w:rPr>
        <w:t xml:space="preserve"> w</w:t>
      </w:r>
      <w:r w:rsidR="00D950DD">
        <w:rPr>
          <w:noProof/>
        </w:rPr>
        <w:t> </w:t>
      </w:r>
      <w:r w:rsidR="00D950DD" w:rsidRPr="00725AE2">
        <w:rPr>
          <w:noProof/>
        </w:rPr>
        <w:t>sza</w:t>
      </w:r>
      <w:r w:rsidRPr="00725AE2">
        <w:rPr>
          <w:noProof/>
        </w:rPr>
        <w:t>blonie 4 zawartym</w:t>
      </w:r>
      <w:r w:rsidR="00D950DD" w:rsidRPr="00725AE2">
        <w:rPr>
          <w:noProof/>
        </w:rPr>
        <w:t xml:space="preserve"> w</w:t>
      </w:r>
      <w:r w:rsidR="00D950DD">
        <w:rPr>
          <w:noProof/>
        </w:rPr>
        <w:t> </w:t>
      </w:r>
      <w:r w:rsidR="00D950DD" w:rsidRPr="00725AE2">
        <w:rPr>
          <w:noProof/>
        </w:rPr>
        <w:t>zał</w:t>
      </w:r>
      <w:r w:rsidRPr="00725AE2">
        <w:rPr>
          <w:noProof/>
        </w:rPr>
        <w:t>ączniku I oraz zgodnie</w:t>
      </w:r>
      <w:r w:rsidR="00D950DD" w:rsidRPr="00725AE2">
        <w:rPr>
          <w:noProof/>
        </w:rPr>
        <w:t xml:space="preserve"> z</w:t>
      </w:r>
      <w:r w:rsidR="00D950DD">
        <w:rPr>
          <w:noProof/>
        </w:rPr>
        <w:t> </w:t>
      </w:r>
      <w:r w:rsidR="00D950DD" w:rsidRPr="00725AE2">
        <w:rPr>
          <w:noProof/>
        </w:rPr>
        <w:t>ins</w:t>
      </w:r>
      <w:r w:rsidRPr="00725AE2">
        <w:rPr>
          <w:noProof/>
        </w:rPr>
        <w:t>trukcjami zawartymi</w:t>
      </w:r>
      <w:r w:rsidR="00D950DD" w:rsidRPr="00725AE2">
        <w:rPr>
          <w:noProof/>
        </w:rPr>
        <w:t xml:space="preserve"> w</w:t>
      </w:r>
      <w:r w:rsidR="00D950DD">
        <w:rPr>
          <w:noProof/>
        </w:rPr>
        <w:t> </w:t>
      </w:r>
      <w:r w:rsidR="00D950DD" w:rsidRPr="00725AE2">
        <w:rPr>
          <w:noProof/>
        </w:rPr>
        <w:t>zał</w:t>
      </w:r>
      <w:r w:rsidRPr="00725AE2">
        <w:rPr>
          <w:noProof/>
        </w:rPr>
        <w:t>ączniku II.</w:t>
      </w:r>
    </w:p>
    <w:p w:rsidR="009713B0" w:rsidRPr="00725AE2" w:rsidRDefault="009713B0" w:rsidP="009713B0">
      <w:pPr>
        <w:pStyle w:val="Point0"/>
        <w:rPr>
          <w:noProof/>
        </w:rPr>
      </w:pPr>
      <w:r w:rsidRPr="00725AE2">
        <w:rPr>
          <w:noProof/>
        </w:rPr>
        <w:t>2.</w:t>
      </w:r>
      <w:r w:rsidRPr="00725AE2">
        <w:rPr>
          <w:noProof/>
        </w:rPr>
        <w:tab/>
        <w:t>Sprawozdania zawierają liczbę odrzuconych transakcji za rok kalendarzowy poprzedzający rok,</w:t>
      </w:r>
      <w:r w:rsidR="00D950DD" w:rsidRPr="00725AE2">
        <w:rPr>
          <w:noProof/>
        </w:rPr>
        <w:t xml:space="preserve"> w</w:t>
      </w:r>
      <w:r w:rsidR="00D950DD">
        <w:rPr>
          <w:noProof/>
        </w:rPr>
        <w:t> </w:t>
      </w:r>
      <w:r w:rsidR="00D950DD" w:rsidRPr="00725AE2">
        <w:rPr>
          <w:noProof/>
        </w:rPr>
        <w:t>któ</w:t>
      </w:r>
      <w:r w:rsidRPr="00725AE2">
        <w:rPr>
          <w:noProof/>
        </w:rPr>
        <w:t>rym przedkłada się sprawozdanie.</w:t>
      </w:r>
    </w:p>
    <w:p w:rsidR="00AD7B15" w:rsidRPr="00725AE2" w:rsidRDefault="009713B0" w:rsidP="009713B0">
      <w:pPr>
        <w:pStyle w:val="Point0"/>
        <w:rPr>
          <w:noProof/>
        </w:rPr>
      </w:pPr>
      <w:r w:rsidRPr="00725AE2">
        <w:rPr>
          <w:noProof/>
        </w:rPr>
        <w:t>3.</w:t>
      </w:r>
      <w:r w:rsidRPr="00725AE2">
        <w:rPr>
          <w:noProof/>
        </w:rPr>
        <w:tab/>
        <w:t xml:space="preserve">Na zasadzie odstępstwa od </w:t>
      </w:r>
      <w:r w:rsidRPr="00D950DD">
        <w:rPr>
          <w:noProof/>
        </w:rPr>
        <w:t>ust.</w:t>
      </w:r>
      <w:r w:rsidR="00D950DD" w:rsidRPr="00D950DD">
        <w:rPr>
          <w:noProof/>
        </w:rPr>
        <w:t> </w:t>
      </w:r>
      <w:r w:rsidRPr="00D950DD">
        <w:rPr>
          <w:noProof/>
        </w:rPr>
        <w:t>2</w:t>
      </w:r>
      <w:r w:rsidRPr="00725AE2">
        <w:rPr>
          <w:noProof/>
        </w:rPr>
        <w:t xml:space="preserve"> pierwsze zharmonizowane sprawozdanie zawiera wypełnione szablony wraz</w:t>
      </w:r>
      <w:r w:rsidR="00D950DD" w:rsidRPr="00725AE2">
        <w:rPr>
          <w:noProof/>
        </w:rPr>
        <w:t xml:space="preserve"> z</w:t>
      </w:r>
      <w:r w:rsidR="00D950DD">
        <w:rPr>
          <w:noProof/>
        </w:rPr>
        <w:t> </w:t>
      </w:r>
      <w:r w:rsidR="00D950DD" w:rsidRPr="00725AE2">
        <w:rPr>
          <w:noProof/>
        </w:rPr>
        <w:t>lic</w:t>
      </w:r>
      <w:r w:rsidRPr="00725AE2">
        <w:rPr>
          <w:noProof/>
        </w:rPr>
        <w:t>zbą odrzuceń za każdy rok poprzedzający rok,</w:t>
      </w:r>
      <w:r w:rsidR="00D950DD" w:rsidRPr="00725AE2">
        <w:rPr>
          <w:noProof/>
        </w:rPr>
        <w:t xml:space="preserve"> w</w:t>
      </w:r>
      <w:r w:rsidR="00D950DD">
        <w:rPr>
          <w:noProof/>
        </w:rPr>
        <w:t> </w:t>
      </w:r>
      <w:r w:rsidR="00D950DD" w:rsidRPr="00725AE2">
        <w:rPr>
          <w:noProof/>
        </w:rPr>
        <w:t>któ</w:t>
      </w:r>
      <w:r w:rsidRPr="00725AE2">
        <w:rPr>
          <w:noProof/>
        </w:rPr>
        <w:t>rym przedkłada się sprawozdanie, począwszy od okresu od dnia 26 października 20</w:t>
      </w:r>
      <w:r w:rsidRPr="00D950DD">
        <w:rPr>
          <w:noProof/>
        </w:rPr>
        <w:t>22</w:t>
      </w:r>
      <w:r w:rsidR="00D950DD" w:rsidRPr="00D950DD">
        <w:rPr>
          <w:noProof/>
        </w:rPr>
        <w:t> </w:t>
      </w:r>
      <w:r w:rsidRPr="00D950DD">
        <w:rPr>
          <w:noProof/>
        </w:rPr>
        <w:t>r.</w:t>
      </w:r>
      <w:r w:rsidRPr="00725AE2">
        <w:rPr>
          <w:noProof/>
        </w:rPr>
        <w:t xml:space="preserve"> do dnia 31 grudnia 20</w:t>
      </w:r>
      <w:r w:rsidRPr="00D950DD">
        <w:rPr>
          <w:noProof/>
        </w:rPr>
        <w:t>22</w:t>
      </w:r>
      <w:r w:rsidR="00D950DD" w:rsidRPr="00D950DD">
        <w:rPr>
          <w:noProof/>
        </w:rPr>
        <w:t> </w:t>
      </w:r>
      <w:r w:rsidRPr="00D950DD">
        <w:rPr>
          <w:noProof/>
        </w:rPr>
        <w:t>r.</w:t>
      </w:r>
      <w:r w:rsidR="00D950DD" w:rsidRPr="00725AE2">
        <w:rPr>
          <w:noProof/>
        </w:rPr>
        <w:t xml:space="preserve"> w</w:t>
      </w:r>
      <w:r w:rsidR="00D950DD">
        <w:rPr>
          <w:noProof/>
        </w:rPr>
        <w:t> </w:t>
      </w:r>
      <w:r w:rsidR="00D950DD" w:rsidRPr="00725AE2">
        <w:rPr>
          <w:noProof/>
        </w:rPr>
        <w:t>odn</w:t>
      </w:r>
      <w:r w:rsidRPr="00725AE2">
        <w:rPr>
          <w:noProof/>
        </w:rPr>
        <w:t xml:space="preserve">iesieniu </w:t>
      </w:r>
      <w:r w:rsidRPr="00D950DD">
        <w:rPr>
          <w:noProof/>
        </w:rPr>
        <w:t>do</w:t>
      </w:r>
      <w:r w:rsidR="00D950DD" w:rsidRPr="00D950DD">
        <w:rPr>
          <w:noProof/>
        </w:rPr>
        <w:t> </w:t>
      </w:r>
      <w:r w:rsidRPr="00D950DD">
        <w:rPr>
          <w:noProof/>
        </w:rPr>
        <w:t>2</w:t>
      </w:r>
      <w:r w:rsidRPr="00725AE2">
        <w:rPr>
          <w:noProof/>
        </w:rPr>
        <w:t>0</w:t>
      </w:r>
      <w:r w:rsidRPr="00D950DD">
        <w:rPr>
          <w:noProof/>
        </w:rPr>
        <w:t>22</w:t>
      </w:r>
      <w:r w:rsidR="00D950DD" w:rsidRPr="00D950DD">
        <w:rPr>
          <w:noProof/>
        </w:rPr>
        <w:t> </w:t>
      </w:r>
      <w:r w:rsidRPr="00D950DD">
        <w:rPr>
          <w:noProof/>
        </w:rPr>
        <w:t>r.</w:t>
      </w:r>
    </w:p>
    <w:p w:rsidR="00AD7B15" w:rsidRPr="00725AE2" w:rsidRDefault="00AD7B15">
      <w:pPr>
        <w:spacing w:before="0" w:after="200" w:line="276" w:lineRule="auto"/>
        <w:jc w:val="left"/>
        <w:rPr>
          <w:noProof/>
        </w:rPr>
      </w:pPr>
      <w:r w:rsidRPr="00725AE2">
        <w:rPr>
          <w:noProof/>
        </w:rPr>
        <w:br w:type="page"/>
      </w:r>
    </w:p>
    <w:p w:rsidR="009713B0" w:rsidRPr="00725AE2" w:rsidRDefault="009713B0" w:rsidP="009713B0">
      <w:pPr>
        <w:pStyle w:val="Titrearticle"/>
        <w:rPr>
          <w:noProof/>
        </w:rPr>
      </w:pPr>
      <w:r w:rsidRPr="00725AE2">
        <w:rPr>
          <w:noProof/>
        </w:rPr>
        <w:t>Artykuł 3</w:t>
      </w:r>
    </w:p>
    <w:p w:rsidR="009713B0" w:rsidRPr="00725AE2" w:rsidRDefault="009713B0" w:rsidP="009713B0">
      <w:pPr>
        <w:jc w:val="center"/>
        <w:rPr>
          <w:b/>
          <w:bCs/>
          <w:noProof/>
        </w:rPr>
      </w:pPr>
      <w:r w:rsidRPr="00725AE2">
        <w:rPr>
          <w:b/>
          <w:noProof/>
        </w:rPr>
        <w:t>Formaty wymiany danych oraz informacje towarzyszące przedkładanym danym</w:t>
      </w:r>
    </w:p>
    <w:p w:rsidR="009713B0" w:rsidRPr="00725AE2" w:rsidRDefault="009713B0" w:rsidP="009713B0">
      <w:pPr>
        <w:rPr>
          <w:noProof/>
        </w:rPr>
      </w:pPr>
      <w:r w:rsidRPr="00725AE2">
        <w:rPr>
          <w:noProof/>
        </w:rPr>
        <w:t>Dostawcy usług płatniczych przedstawiają informacje,</w:t>
      </w:r>
      <w:r w:rsidR="00D950DD" w:rsidRPr="00725AE2">
        <w:rPr>
          <w:noProof/>
        </w:rPr>
        <w:t xml:space="preserve"> o</w:t>
      </w:r>
      <w:r w:rsidR="00D950DD">
        <w:rPr>
          <w:noProof/>
        </w:rPr>
        <w:t> </w:t>
      </w:r>
      <w:r w:rsidR="00D950DD" w:rsidRPr="00725AE2">
        <w:rPr>
          <w:noProof/>
        </w:rPr>
        <w:t>któ</w:t>
      </w:r>
      <w:r w:rsidRPr="00725AE2">
        <w:rPr>
          <w:noProof/>
        </w:rPr>
        <w:t>rych mowa</w:t>
      </w:r>
      <w:r w:rsidR="00D950DD" w:rsidRPr="00725AE2">
        <w:rPr>
          <w:noProof/>
        </w:rPr>
        <w:t xml:space="preserve"> w</w:t>
      </w:r>
      <w:r w:rsidR="00D950DD">
        <w:rPr>
          <w:noProof/>
        </w:rPr>
        <w:t> </w:t>
      </w:r>
      <w:r w:rsidR="00D950DD" w:rsidRPr="00D950DD">
        <w:rPr>
          <w:noProof/>
        </w:rPr>
        <w:t>art</w:t>
      </w:r>
      <w:r w:rsidRPr="00D950DD">
        <w:rPr>
          <w:noProof/>
        </w:rPr>
        <w:t>.</w:t>
      </w:r>
      <w:r w:rsidR="00D950DD" w:rsidRPr="00D950DD">
        <w:rPr>
          <w:noProof/>
        </w:rPr>
        <w:t> </w:t>
      </w:r>
      <w:r w:rsidRPr="00D950DD">
        <w:rPr>
          <w:noProof/>
        </w:rPr>
        <w:t>1</w:t>
      </w:r>
      <w:r w:rsidR="00D950DD" w:rsidRPr="00725AE2">
        <w:rPr>
          <w:noProof/>
        </w:rPr>
        <w:t xml:space="preserve"> i</w:t>
      </w:r>
      <w:r w:rsidR="00D950DD">
        <w:rPr>
          <w:noProof/>
        </w:rPr>
        <w:t> </w:t>
      </w:r>
      <w:r w:rsidR="00D950DD" w:rsidRPr="00725AE2">
        <w:rPr>
          <w:noProof/>
        </w:rPr>
        <w:t>2</w:t>
      </w:r>
      <w:r w:rsidRPr="00725AE2">
        <w:rPr>
          <w:noProof/>
        </w:rPr>
        <w:t xml:space="preserve"> niniejszego rozporządzenia,</w:t>
      </w:r>
      <w:r w:rsidR="00D950DD" w:rsidRPr="00725AE2">
        <w:rPr>
          <w:noProof/>
        </w:rPr>
        <w:t xml:space="preserve"> w</w:t>
      </w:r>
      <w:r w:rsidR="00D950DD">
        <w:rPr>
          <w:noProof/>
        </w:rPr>
        <w:t> </w:t>
      </w:r>
      <w:r w:rsidR="00D950DD" w:rsidRPr="00725AE2">
        <w:rPr>
          <w:noProof/>
        </w:rPr>
        <w:t>for</w:t>
      </w:r>
      <w:r w:rsidRPr="00725AE2">
        <w:rPr>
          <w:noProof/>
        </w:rPr>
        <w:t>matach wymiany</w:t>
      </w:r>
      <w:r w:rsidR="00D950DD" w:rsidRPr="00725AE2">
        <w:rPr>
          <w:noProof/>
        </w:rPr>
        <w:t xml:space="preserve"> i</w:t>
      </w:r>
      <w:r w:rsidR="00D950DD">
        <w:rPr>
          <w:noProof/>
        </w:rPr>
        <w:t> </w:t>
      </w:r>
      <w:r w:rsidR="00D950DD" w:rsidRPr="00725AE2">
        <w:rPr>
          <w:noProof/>
        </w:rPr>
        <w:t>pre</w:t>
      </w:r>
      <w:r w:rsidRPr="00725AE2">
        <w:rPr>
          <w:noProof/>
        </w:rPr>
        <w:t>zentacji danych określonych przez właściwe organy oraz przestrzegają definicji punktów danych zawartych</w:t>
      </w:r>
      <w:r w:rsidR="00D950DD" w:rsidRPr="00725AE2">
        <w:rPr>
          <w:noProof/>
        </w:rPr>
        <w:t xml:space="preserve"> w</w:t>
      </w:r>
      <w:r w:rsidR="00D950DD">
        <w:rPr>
          <w:noProof/>
        </w:rPr>
        <w:t> </w:t>
      </w:r>
      <w:r w:rsidR="00D950DD" w:rsidRPr="00725AE2">
        <w:rPr>
          <w:noProof/>
        </w:rPr>
        <w:t>mod</w:t>
      </w:r>
      <w:r w:rsidRPr="00725AE2">
        <w:rPr>
          <w:noProof/>
        </w:rPr>
        <w:t>elu punktów danych</w:t>
      </w:r>
      <w:r w:rsidR="00D950DD" w:rsidRPr="00725AE2">
        <w:rPr>
          <w:noProof/>
        </w:rPr>
        <w:t xml:space="preserve"> i</w:t>
      </w:r>
      <w:r w:rsidR="00D950DD">
        <w:rPr>
          <w:noProof/>
        </w:rPr>
        <w:t> </w:t>
      </w:r>
      <w:r w:rsidR="00D950DD" w:rsidRPr="00725AE2">
        <w:rPr>
          <w:noProof/>
        </w:rPr>
        <w:t>zas</w:t>
      </w:r>
      <w:r w:rsidRPr="00725AE2">
        <w:rPr>
          <w:noProof/>
        </w:rPr>
        <w:t>ad walidacji udostępnionych na stronie internetowej EUNB. Dostawcy usług płatniczych przestrzegają następujących wymogów:</w:t>
      </w:r>
    </w:p>
    <w:p w:rsidR="009713B0" w:rsidRPr="00725AE2" w:rsidRDefault="00725AE2" w:rsidP="00725AE2">
      <w:pPr>
        <w:pStyle w:val="Point0"/>
        <w:rPr>
          <w:noProof/>
        </w:rPr>
      </w:pPr>
      <w:r w:rsidRPr="00725AE2">
        <w:rPr>
          <w:noProof/>
        </w:rPr>
        <w:t>a)</w:t>
      </w:r>
      <w:r w:rsidRPr="00725AE2">
        <w:rPr>
          <w:noProof/>
        </w:rPr>
        <w:tab/>
      </w:r>
      <w:r w:rsidR="009713B0" w:rsidRPr="00725AE2">
        <w:rPr>
          <w:noProof/>
        </w:rPr>
        <w:t>w przedstawianych danych nie uwzględnia się danych, które nie są wymagane ani nie mają zastosowania;</w:t>
      </w:r>
    </w:p>
    <w:p w:rsidR="009713B0" w:rsidRPr="00725AE2" w:rsidRDefault="00725AE2" w:rsidP="00725AE2">
      <w:pPr>
        <w:pStyle w:val="Point0"/>
        <w:rPr>
          <w:noProof/>
        </w:rPr>
      </w:pPr>
      <w:r w:rsidRPr="00725AE2">
        <w:rPr>
          <w:noProof/>
        </w:rPr>
        <w:t>b)</w:t>
      </w:r>
      <w:r w:rsidRPr="00725AE2">
        <w:rPr>
          <w:noProof/>
        </w:rPr>
        <w:tab/>
      </w:r>
      <w:r w:rsidR="009713B0" w:rsidRPr="00725AE2">
        <w:rPr>
          <w:noProof/>
        </w:rPr>
        <w:t>wartości numeryczne przedstawia się</w:t>
      </w:r>
      <w:r w:rsidR="00D950DD" w:rsidRPr="00725AE2">
        <w:rPr>
          <w:noProof/>
        </w:rPr>
        <w:t xml:space="preserve"> w</w:t>
      </w:r>
      <w:r w:rsidR="00D950DD">
        <w:rPr>
          <w:noProof/>
        </w:rPr>
        <w:t> </w:t>
      </w:r>
      <w:r w:rsidR="00D950DD" w:rsidRPr="00725AE2">
        <w:rPr>
          <w:noProof/>
        </w:rPr>
        <w:t>nas</w:t>
      </w:r>
      <w:r w:rsidR="009713B0" w:rsidRPr="00725AE2">
        <w:rPr>
          <w:noProof/>
        </w:rPr>
        <w:t>tępujący sposób:</w:t>
      </w:r>
    </w:p>
    <w:p w:rsidR="009713B0" w:rsidRPr="00725AE2" w:rsidRDefault="0055071E" w:rsidP="009713B0">
      <w:pPr>
        <w:pStyle w:val="Point1"/>
        <w:rPr>
          <w:noProof/>
        </w:rPr>
      </w:pPr>
      <w:r w:rsidRPr="00725AE2">
        <w:rPr>
          <w:noProof/>
        </w:rPr>
        <w:t>(i)</w:t>
      </w:r>
      <w:r w:rsidRPr="00725AE2">
        <w:rPr>
          <w:noProof/>
        </w:rPr>
        <w:tab/>
        <w:t>dostawcy usług płatniczych przedstawiają punkty danych, dla których rodzaj danych to „kwota pieniężna”,</w:t>
      </w:r>
      <w:r w:rsidR="00D950DD" w:rsidRPr="00725AE2">
        <w:rPr>
          <w:noProof/>
        </w:rPr>
        <w:t xml:space="preserve"> z</w:t>
      </w:r>
      <w:r w:rsidR="00D950DD">
        <w:rPr>
          <w:noProof/>
        </w:rPr>
        <w:t> </w:t>
      </w:r>
      <w:r w:rsidR="00D950DD" w:rsidRPr="00725AE2">
        <w:rPr>
          <w:noProof/>
        </w:rPr>
        <w:t>min</w:t>
      </w:r>
      <w:r w:rsidRPr="00725AE2">
        <w:rPr>
          <w:noProof/>
        </w:rPr>
        <w:t>imalną dokładnością do tysięcy jednostek;</w:t>
      </w:r>
    </w:p>
    <w:p w:rsidR="009713B0" w:rsidRPr="00725AE2" w:rsidRDefault="0055071E" w:rsidP="009713B0">
      <w:pPr>
        <w:pStyle w:val="Point1"/>
        <w:rPr>
          <w:noProof/>
        </w:rPr>
      </w:pPr>
      <w:r w:rsidRPr="00725AE2">
        <w:rPr>
          <w:noProof/>
        </w:rPr>
        <w:t>(ii)</w:t>
      </w:r>
      <w:r w:rsidRPr="00725AE2">
        <w:rPr>
          <w:noProof/>
        </w:rPr>
        <w:tab/>
        <w:t>dostawcy usług płatniczych przedstawiają punkty danych, dla których rodzaj danych to „liczba całkowita”, bez miejsc po przecinku oraz</w:t>
      </w:r>
      <w:r w:rsidR="00D950DD" w:rsidRPr="00725AE2">
        <w:rPr>
          <w:noProof/>
        </w:rPr>
        <w:t xml:space="preserve"> z</w:t>
      </w:r>
      <w:r w:rsidR="00D950DD">
        <w:rPr>
          <w:noProof/>
        </w:rPr>
        <w:t> </w:t>
      </w:r>
      <w:r w:rsidR="00D950DD" w:rsidRPr="00725AE2">
        <w:rPr>
          <w:noProof/>
        </w:rPr>
        <w:t>dok</w:t>
      </w:r>
      <w:r w:rsidRPr="00725AE2">
        <w:rPr>
          <w:noProof/>
        </w:rPr>
        <w:t>ładnością odpowiadającą jednostkom.</w:t>
      </w:r>
    </w:p>
    <w:p w:rsidR="009713B0" w:rsidRPr="00725AE2" w:rsidRDefault="009713B0" w:rsidP="009713B0">
      <w:pPr>
        <w:pStyle w:val="Titrearticle"/>
        <w:rPr>
          <w:noProof/>
        </w:rPr>
      </w:pPr>
      <w:r w:rsidRPr="00725AE2">
        <w:rPr>
          <w:noProof/>
        </w:rPr>
        <w:t>Artykuł 4</w:t>
      </w:r>
    </w:p>
    <w:p w:rsidR="009713B0" w:rsidRPr="00725AE2" w:rsidRDefault="009713B0" w:rsidP="009713B0">
      <w:pPr>
        <w:jc w:val="center"/>
        <w:rPr>
          <w:noProof/>
        </w:rPr>
      </w:pPr>
      <w:r w:rsidRPr="00725AE2">
        <w:rPr>
          <w:b/>
          <w:noProof/>
        </w:rPr>
        <w:t>Wejście</w:t>
      </w:r>
      <w:r w:rsidR="00D950DD" w:rsidRPr="00725AE2">
        <w:rPr>
          <w:b/>
          <w:noProof/>
        </w:rPr>
        <w:t xml:space="preserve"> w</w:t>
      </w:r>
      <w:r w:rsidR="00D950DD">
        <w:rPr>
          <w:b/>
          <w:noProof/>
        </w:rPr>
        <w:t> </w:t>
      </w:r>
      <w:r w:rsidR="00D950DD" w:rsidRPr="00725AE2">
        <w:rPr>
          <w:b/>
          <w:noProof/>
        </w:rPr>
        <w:t>życ</w:t>
      </w:r>
      <w:r w:rsidRPr="00725AE2">
        <w:rPr>
          <w:b/>
          <w:noProof/>
        </w:rPr>
        <w:t>ie</w:t>
      </w:r>
    </w:p>
    <w:p w:rsidR="009713B0" w:rsidRPr="00725AE2" w:rsidRDefault="009713B0" w:rsidP="009713B0">
      <w:pPr>
        <w:rPr>
          <w:noProof/>
        </w:rPr>
      </w:pPr>
      <w:r w:rsidRPr="00725AE2">
        <w:rPr>
          <w:noProof/>
        </w:rPr>
        <w:t>Niniejsze rozporządzenie wchodzi</w:t>
      </w:r>
      <w:r w:rsidR="00D950DD" w:rsidRPr="00725AE2">
        <w:rPr>
          <w:noProof/>
        </w:rPr>
        <w:t xml:space="preserve"> w</w:t>
      </w:r>
      <w:r w:rsidR="00D950DD">
        <w:rPr>
          <w:noProof/>
        </w:rPr>
        <w:t> </w:t>
      </w:r>
      <w:r w:rsidR="00D950DD" w:rsidRPr="00725AE2">
        <w:rPr>
          <w:noProof/>
        </w:rPr>
        <w:t>życ</w:t>
      </w:r>
      <w:r w:rsidRPr="00725AE2">
        <w:rPr>
          <w:noProof/>
        </w:rPr>
        <w:t>ie dwudziestego dnia po jego opublikowaniu</w:t>
      </w:r>
      <w:r w:rsidR="00D950DD" w:rsidRPr="00725AE2">
        <w:rPr>
          <w:noProof/>
        </w:rPr>
        <w:t xml:space="preserve"> w</w:t>
      </w:r>
      <w:r w:rsidR="00D950DD">
        <w:rPr>
          <w:noProof/>
        </w:rPr>
        <w:t> </w:t>
      </w:r>
      <w:r w:rsidR="00D950DD" w:rsidRPr="00725AE2">
        <w:rPr>
          <w:i/>
          <w:noProof/>
        </w:rPr>
        <w:t>Dzi</w:t>
      </w:r>
      <w:r w:rsidRPr="00725AE2">
        <w:rPr>
          <w:i/>
          <w:noProof/>
        </w:rPr>
        <w:t>enniku Urzędowym Unii Europejskiej</w:t>
      </w:r>
      <w:r w:rsidRPr="00725AE2">
        <w:rPr>
          <w:noProof/>
        </w:rPr>
        <w:t>.</w:t>
      </w:r>
    </w:p>
    <w:p w:rsidR="009713B0" w:rsidRPr="00725AE2" w:rsidRDefault="009713B0" w:rsidP="009713B0">
      <w:pPr>
        <w:pStyle w:val="Applicationdirecte"/>
        <w:rPr>
          <w:noProof/>
        </w:rPr>
      </w:pPr>
      <w:r w:rsidRPr="00725AE2">
        <w:rPr>
          <w:noProof/>
        </w:rPr>
        <w:t>Niniejsze rozporządzenie wiąże</w:t>
      </w:r>
      <w:r w:rsidR="00D950DD" w:rsidRPr="00725AE2">
        <w:rPr>
          <w:noProof/>
        </w:rPr>
        <w:t xml:space="preserve"> w</w:t>
      </w:r>
      <w:r w:rsidR="00D950DD">
        <w:rPr>
          <w:noProof/>
        </w:rPr>
        <w:t> </w:t>
      </w:r>
      <w:r w:rsidR="00D950DD" w:rsidRPr="00725AE2">
        <w:rPr>
          <w:noProof/>
        </w:rPr>
        <w:t>cał</w:t>
      </w:r>
      <w:r w:rsidRPr="00725AE2">
        <w:rPr>
          <w:noProof/>
        </w:rPr>
        <w:t>ości</w:t>
      </w:r>
      <w:r w:rsidR="00D950DD" w:rsidRPr="00725AE2">
        <w:rPr>
          <w:noProof/>
        </w:rPr>
        <w:t xml:space="preserve"> i</w:t>
      </w:r>
      <w:r w:rsidR="00D950DD">
        <w:rPr>
          <w:noProof/>
        </w:rPr>
        <w:t> </w:t>
      </w:r>
      <w:r w:rsidR="00D950DD" w:rsidRPr="00725AE2">
        <w:rPr>
          <w:noProof/>
        </w:rPr>
        <w:t>jes</w:t>
      </w:r>
      <w:r w:rsidRPr="00725AE2">
        <w:rPr>
          <w:noProof/>
        </w:rPr>
        <w:t>t bezpośrednio stosowane we wszystkich państwach członkowskich.</w:t>
      </w:r>
    </w:p>
    <w:p w:rsidR="009713B0" w:rsidRPr="00725AE2" w:rsidRDefault="00986B78" w:rsidP="006A414F">
      <w:pPr>
        <w:pStyle w:val="Fait"/>
        <w:rPr>
          <w:noProof/>
        </w:rPr>
      </w:pPr>
      <w:r>
        <w:rPr>
          <w:noProof/>
        </w:rPr>
        <w:t>Sporządzono w Brukseli dnia 1.10.2025 r.</w:t>
      </w:r>
    </w:p>
    <w:p w:rsidR="009713B0" w:rsidRPr="00725AE2" w:rsidRDefault="009713B0" w:rsidP="006A414F">
      <w:pPr>
        <w:pStyle w:val="Institutionquisigne"/>
        <w:rPr>
          <w:noProof/>
        </w:rPr>
      </w:pPr>
      <w:r w:rsidRPr="00725AE2">
        <w:rPr>
          <w:noProof/>
        </w:rPr>
        <w:tab/>
        <w:t>W imieniu Komisji</w:t>
      </w:r>
    </w:p>
    <w:p w:rsidR="00FE7FED" w:rsidRPr="00725AE2" w:rsidRDefault="00F267F7" w:rsidP="009713B0">
      <w:pPr>
        <w:pStyle w:val="Personnequisigne"/>
        <w:rPr>
          <w:noProof/>
        </w:rPr>
      </w:pPr>
      <w:r>
        <w:rPr>
          <w:noProof/>
        </w:rPr>
        <w:tab/>
        <w:t>Przewodnicząca</w:t>
      </w:r>
      <w:r>
        <w:rPr>
          <w:noProof/>
        </w:rPr>
        <w:br/>
      </w:r>
      <w:r>
        <w:rPr>
          <w:noProof/>
        </w:rPr>
        <w:tab/>
        <w:t>Ursula VON DER LEYEN</w:t>
      </w:r>
    </w:p>
    <w:sectPr w:rsidR="00FE7FED" w:rsidRPr="00725AE2" w:rsidSect="00092E1D">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E1D" w:rsidRPr="00092E1D" w:rsidRDefault="00092E1D" w:rsidP="00092E1D">
    <w:pPr>
      <w:pStyle w:val="Footer"/>
      <w:rPr>
        <w:rFonts w:ascii="Arial" w:hAnsi="Arial" w:cs="Arial"/>
        <w:b/>
        <w:sz w:val="48"/>
      </w:rPr>
    </w:pPr>
    <w:r w:rsidRPr="00092E1D">
      <w:rPr>
        <w:rFonts w:ascii="Arial" w:hAnsi="Arial" w:cs="Arial"/>
        <w:b/>
        <w:sz w:val="48"/>
      </w:rPr>
      <w:t>PL</w:t>
    </w:r>
    <w:r w:rsidRPr="00092E1D">
      <w:rPr>
        <w:rFonts w:ascii="Arial" w:hAnsi="Arial" w:cs="Arial"/>
        <w:b/>
        <w:sz w:val="48"/>
      </w:rPr>
      <w:tab/>
    </w:r>
    <w:r w:rsidRPr="00092E1D">
      <w:rPr>
        <w:rFonts w:ascii="Arial" w:hAnsi="Arial" w:cs="Arial"/>
        <w:b/>
        <w:sz w:val="48"/>
      </w:rPr>
      <w:tab/>
    </w:r>
    <w:r w:rsidRPr="00092E1D">
      <w:tab/>
    </w:r>
    <w:r w:rsidRPr="00092E1D">
      <w:rPr>
        <w:rFonts w:ascii="Arial" w:hAnsi="Arial" w:cs="Arial"/>
        <w:b/>
        <w:sz w:val="48"/>
      </w:rPr>
      <w:t>PL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E1D" w:rsidRPr="00092E1D" w:rsidRDefault="00092E1D" w:rsidP="00092E1D">
    <w:pPr>
      <w:pStyle w:val="Footer"/>
      <w:rPr>
        <w:rFonts w:ascii="Arial" w:hAnsi="Arial" w:cs="Arial"/>
        <w:b/>
        <w:sz w:val="48"/>
      </w:rPr>
    </w:pPr>
    <w:r w:rsidRPr="00092E1D">
      <w:rPr>
        <w:rFonts w:ascii="Arial" w:hAnsi="Arial" w:cs="Arial"/>
        <w:b/>
        <w:sz w:val="48"/>
      </w:rPr>
      <w:t>PL</w:t>
    </w:r>
    <w:r w:rsidRPr="00092E1D">
      <w:rPr>
        <w:rFonts w:ascii="Arial" w:hAnsi="Arial" w:cs="Arial"/>
        <w:b/>
        <w:sz w:val="48"/>
      </w:rPr>
      <w:tab/>
    </w:r>
    <w:r w:rsidRPr="00092E1D">
      <w:rPr>
        <w:rFonts w:ascii="Arial" w:hAnsi="Arial" w:cs="Arial"/>
        <w:b/>
        <w:sz w:val="48"/>
      </w:rPr>
      <w:tab/>
    </w:r>
    <w:r w:rsidRPr="00092E1D">
      <w:tab/>
    </w:r>
    <w:r w:rsidRPr="00092E1D">
      <w:rPr>
        <w:rFonts w:ascii="Arial" w:hAnsi="Arial" w:cs="Arial"/>
        <w:b/>
        <w:sz w:val="48"/>
      </w:rPr>
      <w:t>PL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E1D" w:rsidRDefault="00092E1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E1D" w:rsidRPr="00092E1D" w:rsidRDefault="00092E1D" w:rsidP="00092E1D">
    <w:pPr>
      <w:pStyle w:val="Footer"/>
      <w:rPr>
        <w:rFonts w:ascii="Arial" w:hAnsi="Arial" w:cs="Arial"/>
        <w:b/>
        <w:sz w:val="48"/>
      </w:rPr>
    </w:pPr>
    <w:r w:rsidRPr="00092E1D">
      <w:rPr>
        <w:rFonts w:ascii="Arial" w:hAnsi="Arial" w:cs="Arial"/>
        <w:b/>
        <w:sz w:val="48"/>
      </w:rPr>
      <w:t>PL</w:t>
    </w:r>
    <w:r w:rsidRPr="00092E1D">
      <w:rPr>
        <w:rFonts w:ascii="Arial" w:hAnsi="Arial" w:cs="Arial"/>
        <w:b/>
        <w:sz w:val="48"/>
      </w:rPr>
      <w:tab/>
    </w:r>
    <w:r>
      <w:fldChar w:fldCharType="begin"/>
    </w:r>
    <w:r>
      <w:instrText xml:space="preserve"> PAGE  \* MERGEFORMAT </w:instrText>
    </w:r>
    <w:r>
      <w:fldChar w:fldCharType="separate"/>
    </w:r>
    <w:r w:rsidR="002431D2">
      <w:rPr>
        <w:noProof/>
      </w:rPr>
      <w:t>1</w:t>
    </w:r>
    <w:r>
      <w:fldChar w:fldCharType="end"/>
    </w:r>
    <w:r>
      <w:tab/>
    </w:r>
    <w:r w:rsidRPr="00092E1D">
      <w:tab/>
    </w:r>
    <w:r w:rsidRPr="00092E1D">
      <w:rPr>
        <w:rFonts w:ascii="Arial" w:hAnsi="Arial" w:cs="Arial"/>
        <w:b/>
        <w:sz w:val="48"/>
      </w:rPr>
      <w:t>PL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E1D" w:rsidRDefault="00092E1D" w:rsidP="00092E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725AE2" w:rsidRDefault="00A8350B">
      <w:pPr>
        <w:pStyle w:val="FootnoteText"/>
      </w:pPr>
      <w:r>
        <w:rPr>
          <w:rStyle w:val="FootnoteReference"/>
        </w:rPr>
        <w:footnoteRef/>
      </w:r>
      <w:r w:rsidRPr="00725AE2">
        <w:tab/>
        <w:t>Dz.U. L 94</w:t>
      </w:r>
      <w:r w:rsidR="00D950DD" w:rsidRPr="00725AE2">
        <w:t xml:space="preserve"> z</w:t>
      </w:r>
      <w:r w:rsidR="00D950DD">
        <w:t> </w:t>
      </w:r>
      <w:r w:rsidR="00D950DD" w:rsidRPr="00725AE2">
        <w:t>3</w:t>
      </w:r>
      <w:r w:rsidRPr="00725AE2">
        <w:t xml:space="preserve">0.3.2012, s. 22, ELI: http://data.europa.eu/eli/reg/2012/260/oj. </w:t>
      </w:r>
    </w:p>
  </w:footnote>
  <w:footnote w:id="3">
    <w:p w:rsidR="00AD7B15" w:rsidRPr="00725AE2" w:rsidRDefault="00AD7B15" w:rsidP="00D05942">
      <w:pPr>
        <w:pStyle w:val="FootnoteText"/>
        <w:ind w:left="0" w:firstLine="0"/>
      </w:pPr>
      <w:r>
        <w:rPr>
          <w:rStyle w:val="FootnoteReference"/>
        </w:rPr>
        <w:footnoteRef/>
      </w:r>
      <w:r w:rsidRPr="00725AE2">
        <w:tab/>
        <w:t>Rozporządzenie Parlamentu Europejskiego</w:t>
      </w:r>
      <w:r w:rsidR="00D950DD" w:rsidRPr="00725AE2">
        <w:t xml:space="preserve"> i</w:t>
      </w:r>
      <w:r w:rsidR="00D950DD">
        <w:t> </w:t>
      </w:r>
      <w:r w:rsidR="00D950DD" w:rsidRPr="00725AE2">
        <w:t>Rad</w:t>
      </w:r>
      <w:r w:rsidRPr="00725AE2">
        <w:t>y (UE) 2024/886</w:t>
      </w:r>
      <w:r w:rsidR="00D950DD" w:rsidRPr="00725AE2">
        <w:t xml:space="preserve"> z</w:t>
      </w:r>
      <w:r w:rsidR="00D950DD">
        <w:t> </w:t>
      </w:r>
      <w:r w:rsidR="00D950DD" w:rsidRPr="00725AE2">
        <w:t>dni</w:t>
      </w:r>
      <w:r w:rsidRPr="00725AE2">
        <w:t>a 13 marca 20</w:t>
      </w:r>
      <w:r w:rsidRPr="00D950DD">
        <w:t>24</w:t>
      </w:r>
      <w:r w:rsidR="00D950DD" w:rsidRPr="00D950DD">
        <w:t> </w:t>
      </w:r>
      <w:r w:rsidRPr="00D950DD">
        <w:t>r.</w:t>
      </w:r>
      <w:r w:rsidR="00D950DD" w:rsidRPr="00725AE2">
        <w:t xml:space="preserve"> w</w:t>
      </w:r>
      <w:r w:rsidR="00D950DD">
        <w:t> </w:t>
      </w:r>
      <w:r w:rsidR="00D950DD" w:rsidRPr="00725AE2">
        <w:t>spr</w:t>
      </w:r>
      <w:r w:rsidRPr="00725AE2">
        <w:t xml:space="preserve">awie zmiany rozporządzeń (UE) </w:t>
      </w:r>
      <w:r w:rsidRPr="00D950DD">
        <w:t>nr</w:t>
      </w:r>
      <w:r w:rsidR="00D950DD" w:rsidRPr="00D950DD">
        <w:t> </w:t>
      </w:r>
      <w:r w:rsidRPr="00D950DD">
        <w:t>2</w:t>
      </w:r>
      <w:r w:rsidRPr="00725AE2">
        <w:t>60/2012 i (UE) 2021/1230 oraz dyrektyw 98/26/WE i (UE) 2015/2366</w:t>
      </w:r>
      <w:r w:rsidR="00D950DD" w:rsidRPr="00725AE2">
        <w:t xml:space="preserve"> w</w:t>
      </w:r>
      <w:r w:rsidR="00D950DD">
        <w:t> </w:t>
      </w:r>
      <w:r w:rsidR="00D950DD" w:rsidRPr="00725AE2">
        <w:t>odn</w:t>
      </w:r>
      <w:r w:rsidRPr="00725AE2">
        <w:t>iesieniu do poleceń przelewu natychmiastowego</w:t>
      </w:r>
      <w:r w:rsidR="00D950DD" w:rsidRPr="00725AE2">
        <w:t xml:space="preserve"> w</w:t>
      </w:r>
      <w:r w:rsidR="00D950DD">
        <w:t> </w:t>
      </w:r>
      <w:r w:rsidR="00D950DD" w:rsidRPr="00725AE2">
        <w:t>eur</w:t>
      </w:r>
      <w:r w:rsidRPr="00725AE2">
        <w:t>o (Dz.U. L, 2024/886, 19.3.2024, ELI: http://data.europa.eu/eli/reg/2024/886/oj).</w:t>
      </w:r>
    </w:p>
  </w:footnote>
  <w:footnote w:id="4">
    <w:p w:rsidR="009713B0" w:rsidRPr="00725AE2" w:rsidRDefault="009713B0" w:rsidP="009713B0">
      <w:pPr>
        <w:pStyle w:val="FootnoteText"/>
      </w:pPr>
      <w:r>
        <w:rPr>
          <w:rStyle w:val="FootnoteReference"/>
        </w:rPr>
        <w:footnoteRef/>
      </w:r>
      <w:r w:rsidRPr="00725AE2">
        <w:tab/>
        <w:t>Rozporządzenie Parlamentu Europejskiego</w:t>
      </w:r>
      <w:r w:rsidR="00D950DD" w:rsidRPr="00725AE2">
        <w:t xml:space="preserve"> i</w:t>
      </w:r>
      <w:r w:rsidR="00D950DD">
        <w:t> </w:t>
      </w:r>
      <w:r w:rsidR="00D950DD" w:rsidRPr="00725AE2">
        <w:t>Rad</w:t>
      </w:r>
      <w:r w:rsidRPr="00725AE2">
        <w:t xml:space="preserve">y (UE) </w:t>
      </w:r>
      <w:r w:rsidRPr="00D950DD">
        <w:t>nr</w:t>
      </w:r>
      <w:r w:rsidR="00D950DD" w:rsidRPr="00D950DD">
        <w:t> </w:t>
      </w:r>
      <w:r w:rsidRPr="00D950DD">
        <w:t>1</w:t>
      </w:r>
      <w:r w:rsidRPr="00725AE2">
        <w:t>093/2010</w:t>
      </w:r>
      <w:r w:rsidR="00D950DD" w:rsidRPr="00725AE2">
        <w:t xml:space="preserve"> z</w:t>
      </w:r>
      <w:r w:rsidR="00D950DD">
        <w:t> </w:t>
      </w:r>
      <w:r w:rsidR="00D950DD" w:rsidRPr="00725AE2">
        <w:t>dni</w:t>
      </w:r>
      <w:r w:rsidRPr="00725AE2">
        <w:t>a 24 listopada 20</w:t>
      </w:r>
      <w:r w:rsidRPr="00D950DD">
        <w:t>10</w:t>
      </w:r>
      <w:r w:rsidR="00D950DD" w:rsidRPr="00D950DD">
        <w:t> </w:t>
      </w:r>
      <w:r w:rsidRPr="00D950DD">
        <w:t>r.</w:t>
      </w:r>
      <w:r w:rsidR="00D950DD" w:rsidRPr="00725AE2">
        <w:t xml:space="preserve"> w</w:t>
      </w:r>
      <w:r w:rsidR="00D950DD">
        <w:t> </w:t>
      </w:r>
      <w:r w:rsidR="00D950DD" w:rsidRPr="00725AE2">
        <w:t>spr</w:t>
      </w:r>
      <w:r w:rsidRPr="00725AE2">
        <w:t xml:space="preserve">awie ustanowienia Europejskiego Urzędu Nadzoru (Europejskiego Urzędu Nadzoru Bankowego), zmiany decyzji </w:t>
      </w:r>
      <w:r w:rsidRPr="00D950DD">
        <w:t>nr</w:t>
      </w:r>
      <w:r w:rsidR="00D950DD" w:rsidRPr="00D950DD">
        <w:t> </w:t>
      </w:r>
      <w:r w:rsidRPr="00D950DD">
        <w:t>7</w:t>
      </w:r>
      <w:r w:rsidRPr="00725AE2">
        <w:t>16/2009/WE oraz uchylenia decyzji Komisji 2009/78/WE (Dz.U. L 331</w:t>
      </w:r>
      <w:r w:rsidR="00D950DD" w:rsidRPr="00725AE2">
        <w:t xml:space="preserve"> z</w:t>
      </w:r>
      <w:r w:rsidR="00D950DD">
        <w:t> </w:t>
      </w:r>
      <w:r w:rsidR="00D950DD" w:rsidRPr="00725AE2">
        <w:t>1</w:t>
      </w:r>
      <w:r w:rsidRPr="00725AE2">
        <w:t>5.12.2010, s.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E1D" w:rsidRDefault="00092E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E1D" w:rsidRDefault="00092E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3"/>
  </w:num>
  <w:num w:numId="4">
    <w:abstractNumId w:val="0"/>
  </w:num>
  <w:num w:numId="5">
    <w:abstractNumId w:val="2"/>
  </w:num>
  <w:num w:numId="6">
    <w:abstractNumId w:val="1"/>
  </w:num>
  <w:num w:numId="7">
    <w:abstractNumId w:val="16"/>
  </w:num>
  <w:num w:numId="8">
    <w:abstractNumId w:val="9"/>
  </w:num>
  <w:num w:numId="9">
    <w:abstractNumId w:val="18"/>
  </w:num>
  <w:num w:numId="10">
    <w:abstractNumId w:val="8"/>
  </w:num>
  <w:num w:numId="11">
    <w:abstractNumId w:val="10"/>
  </w:num>
  <w:num w:numId="12">
    <w:abstractNumId w:val="11"/>
  </w:num>
  <w:num w:numId="13">
    <w:abstractNumId w:val="6"/>
  </w:num>
  <w:num w:numId="14">
    <w:abstractNumId w:val="17"/>
  </w:num>
  <w:num w:numId="15">
    <w:abstractNumId w:val="5"/>
  </w:num>
  <w:num w:numId="16">
    <w:abstractNumId w:val="12"/>
  </w:num>
  <w:num w:numId="17">
    <w:abstractNumId w:val="14"/>
  </w:num>
  <w:num w:numId="18">
    <w:abstractNumId w:val="15"/>
  </w:num>
  <w:num w:numId="19">
    <w:abstractNumId w:val="7"/>
  </w:num>
  <w:num w:numId="20">
    <w:abstractNumId w:val="13"/>
  </w:num>
  <w:num w:numId="2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4:37"/>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DA1967CB-C3F3-48EA-9EE4-B9F5A210D448"/>
    <w:docVar w:name="LW_COVERPAGE_TYPE" w:val="1"/>
    <w:docVar w:name="LW_CreatedUtc" w:val="2025-02-25T08:25:43.0388982Z"/>
    <w:docVar w:name="LW_CROSSREFERENCE" w:val="&lt;UNUSED&gt;"/>
    <w:docVar w:name="LW_DATE.ADOPT.CP" w:val="z dnia 1.10.2025 r."/>
    <w:docVar w:name="LW_DATE.ADOPT.CP_DATEFORMAT" w:val="z dnia %DATE% r."/>
    <w:docVar w:name="LW_DATE.ADOPT.CP_ISODATE" w:val="2025-10-01"/>
    <w:docVar w:name="LW_DocType" w:val="COM"/>
    <w:docVar w:name="LW_EMISSION" w:val="1.10.2025"/>
    <w:docVar w:name="LW_EMISSION_ISODATE" w:val="2025-10-01"/>
    <w:docVar w:name="LW_EMISSION_LOCATION" w:val="BRX"/>
    <w:docVar w:name="LW_EMISSION_PREFIX" w:val="Bruksela, dnia "/>
    <w:docVar w:name="LW_EMISSION_SUFFIX" w:val=" r."/>
    <w:docVar w:name="LW_ID_DOCMODEL" w:val="SJ-004"/>
    <w:docVar w:name="LW_ID_DOCSIGNATURE" w:val="SJ-004"/>
    <w:docVar w:name="LW_ID_DOCSTRUCTURE" w:val="COM/AA"/>
    <w:docVar w:name="LW_ID_DOCTYPE" w:val="SJ-004"/>
    <w:docVar w:name="LW_INTERETEEE.CP" w:val="&lt;UNUSED&gt;"/>
    <w:docVar w:name="LW_LANGUE" w:val="PL"/>
    <w:docVar w:name="LW_LANGUESFAISANTFOI.CP" w:val="&lt;UNUSED&gt;"/>
    <w:docVar w:name="LW_LEVEL_OF_SENSITIVITY" w:val="Standard treatment"/>
    <w:docVar w:name="LW_NOM.INST" w:val="KOMISJA EUROPEJSKA"/>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stanawiaj\u261?ce wykonawcze standardy techniczne do celów stosowania rozporz\u261?dzenia Parlamentu Europejskiego i Rady (UE) nr 260/2012 w odniesieniu do jednolitych szablonów sprawozdawczych, instrukcji i metodyki przekazywania informacji na temat poziomu op\u322?at za polecenia przelewu, polecenia przelewu natychmiastowego i rachunki p\u322?atnicze oraz odsetka odrzuconych transakcji"/>
    <w:docVar w:name="LW_TYPE.DOC.CP" w:val="ROZPORZ\u260?DZENIE WYKONAWCZE KOMISJI (UE) \u8230?/\u8230?"/>
    <w:docVar w:name="LwApiVersions" w:val="LW4CoDe 1.24.5.0; LW 9.0, Build 20240221"/>
  </w:docVars>
  <w:rsids>
    <w:rsidRoot w:val="00FE7FED"/>
    <w:rsid w:val="00001BC7"/>
    <w:rsid w:val="000066ED"/>
    <w:rsid w:val="000068B4"/>
    <w:rsid w:val="000079A5"/>
    <w:rsid w:val="00014C12"/>
    <w:rsid w:val="00016168"/>
    <w:rsid w:val="00025818"/>
    <w:rsid w:val="0002592C"/>
    <w:rsid w:val="0002598B"/>
    <w:rsid w:val="00033F48"/>
    <w:rsid w:val="000373AB"/>
    <w:rsid w:val="000421B5"/>
    <w:rsid w:val="00042488"/>
    <w:rsid w:val="0004347B"/>
    <w:rsid w:val="00047478"/>
    <w:rsid w:val="000504E3"/>
    <w:rsid w:val="0006406A"/>
    <w:rsid w:val="000642D0"/>
    <w:rsid w:val="00072E61"/>
    <w:rsid w:val="000744DD"/>
    <w:rsid w:val="00075170"/>
    <w:rsid w:val="000758A1"/>
    <w:rsid w:val="000768B7"/>
    <w:rsid w:val="0008161A"/>
    <w:rsid w:val="0008224E"/>
    <w:rsid w:val="000847C4"/>
    <w:rsid w:val="00092E1D"/>
    <w:rsid w:val="00096BAD"/>
    <w:rsid w:val="000A4172"/>
    <w:rsid w:val="000A41FC"/>
    <w:rsid w:val="000A4298"/>
    <w:rsid w:val="000A454E"/>
    <w:rsid w:val="000B2C1B"/>
    <w:rsid w:val="000B7C50"/>
    <w:rsid w:val="000C0B38"/>
    <w:rsid w:val="000C387D"/>
    <w:rsid w:val="000C449F"/>
    <w:rsid w:val="000C4F0E"/>
    <w:rsid w:val="000D043A"/>
    <w:rsid w:val="000D1771"/>
    <w:rsid w:val="000D391D"/>
    <w:rsid w:val="000D5A8B"/>
    <w:rsid w:val="000D6822"/>
    <w:rsid w:val="000E08FA"/>
    <w:rsid w:val="000E15A7"/>
    <w:rsid w:val="000E50E2"/>
    <w:rsid w:val="000E7CB2"/>
    <w:rsid w:val="000F0AA0"/>
    <w:rsid w:val="000F26D8"/>
    <w:rsid w:val="000F4AF6"/>
    <w:rsid w:val="001030E9"/>
    <w:rsid w:val="00104199"/>
    <w:rsid w:val="001065F5"/>
    <w:rsid w:val="001066B5"/>
    <w:rsid w:val="0010750E"/>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65260"/>
    <w:rsid w:val="00171733"/>
    <w:rsid w:val="001721CC"/>
    <w:rsid w:val="00180D6D"/>
    <w:rsid w:val="001840A1"/>
    <w:rsid w:val="001913B0"/>
    <w:rsid w:val="00191CEA"/>
    <w:rsid w:val="00197613"/>
    <w:rsid w:val="001A1FA1"/>
    <w:rsid w:val="001A5381"/>
    <w:rsid w:val="001A56E4"/>
    <w:rsid w:val="001A6744"/>
    <w:rsid w:val="001A7B61"/>
    <w:rsid w:val="001B081E"/>
    <w:rsid w:val="001C0071"/>
    <w:rsid w:val="001C0950"/>
    <w:rsid w:val="001C3C75"/>
    <w:rsid w:val="001C6408"/>
    <w:rsid w:val="001C7C6B"/>
    <w:rsid w:val="001D08D6"/>
    <w:rsid w:val="001D6BB7"/>
    <w:rsid w:val="001E0062"/>
    <w:rsid w:val="001E5242"/>
    <w:rsid w:val="001F78E3"/>
    <w:rsid w:val="00203CF1"/>
    <w:rsid w:val="00207DE3"/>
    <w:rsid w:val="002102D8"/>
    <w:rsid w:val="00210337"/>
    <w:rsid w:val="00215208"/>
    <w:rsid w:val="002174F2"/>
    <w:rsid w:val="00220F9F"/>
    <w:rsid w:val="0022745F"/>
    <w:rsid w:val="00227D76"/>
    <w:rsid w:val="00230E4C"/>
    <w:rsid w:val="00232FDF"/>
    <w:rsid w:val="002339C3"/>
    <w:rsid w:val="00233DC7"/>
    <w:rsid w:val="0023679A"/>
    <w:rsid w:val="00240C3D"/>
    <w:rsid w:val="002431D2"/>
    <w:rsid w:val="00244629"/>
    <w:rsid w:val="002464E8"/>
    <w:rsid w:val="00247779"/>
    <w:rsid w:val="00251C02"/>
    <w:rsid w:val="00251D78"/>
    <w:rsid w:val="002537B3"/>
    <w:rsid w:val="00253A7F"/>
    <w:rsid w:val="00255D10"/>
    <w:rsid w:val="00260F3C"/>
    <w:rsid w:val="002614D0"/>
    <w:rsid w:val="002619F9"/>
    <w:rsid w:val="00262DE1"/>
    <w:rsid w:val="00270578"/>
    <w:rsid w:val="00281B09"/>
    <w:rsid w:val="00285BEE"/>
    <w:rsid w:val="00287FAC"/>
    <w:rsid w:val="00293F82"/>
    <w:rsid w:val="002947E0"/>
    <w:rsid w:val="0029533F"/>
    <w:rsid w:val="002A2EE8"/>
    <w:rsid w:val="002A5779"/>
    <w:rsid w:val="002A5E80"/>
    <w:rsid w:val="002B1522"/>
    <w:rsid w:val="002B30AF"/>
    <w:rsid w:val="002B4662"/>
    <w:rsid w:val="002C0286"/>
    <w:rsid w:val="002C10B5"/>
    <w:rsid w:val="002C1A4F"/>
    <w:rsid w:val="002C5B13"/>
    <w:rsid w:val="002D2CC4"/>
    <w:rsid w:val="002D3A91"/>
    <w:rsid w:val="002D6964"/>
    <w:rsid w:val="002E15CA"/>
    <w:rsid w:val="002E2315"/>
    <w:rsid w:val="002E3165"/>
    <w:rsid w:val="002E53A7"/>
    <w:rsid w:val="002F1777"/>
    <w:rsid w:val="002F1C71"/>
    <w:rsid w:val="002F1EE7"/>
    <w:rsid w:val="002F4C83"/>
    <w:rsid w:val="00303696"/>
    <w:rsid w:val="00311576"/>
    <w:rsid w:val="003119D5"/>
    <w:rsid w:val="00311E05"/>
    <w:rsid w:val="00316FD9"/>
    <w:rsid w:val="003213CE"/>
    <w:rsid w:val="003253A9"/>
    <w:rsid w:val="0033033C"/>
    <w:rsid w:val="00331F2E"/>
    <w:rsid w:val="003327E2"/>
    <w:rsid w:val="0033344A"/>
    <w:rsid w:val="00333E44"/>
    <w:rsid w:val="003428A1"/>
    <w:rsid w:val="003429AC"/>
    <w:rsid w:val="00342B4F"/>
    <w:rsid w:val="003444B9"/>
    <w:rsid w:val="00345DA0"/>
    <w:rsid w:val="00350A45"/>
    <w:rsid w:val="003525DD"/>
    <w:rsid w:val="00352F0E"/>
    <w:rsid w:val="00354C7E"/>
    <w:rsid w:val="00356ADE"/>
    <w:rsid w:val="00361593"/>
    <w:rsid w:val="00361846"/>
    <w:rsid w:val="003657C0"/>
    <w:rsid w:val="00365DE4"/>
    <w:rsid w:val="00374796"/>
    <w:rsid w:val="003803FC"/>
    <w:rsid w:val="00380DD8"/>
    <w:rsid w:val="003815EE"/>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33CB"/>
    <w:rsid w:val="003C4CAE"/>
    <w:rsid w:val="003D371C"/>
    <w:rsid w:val="003D73DF"/>
    <w:rsid w:val="003E167C"/>
    <w:rsid w:val="003E37A7"/>
    <w:rsid w:val="003E4FA2"/>
    <w:rsid w:val="003E5CF0"/>
    <w:rsid w:val="003F018F"/>
    <w:rsid w:val="003F0EC5"/>
    <w:rsid w:val="003F1E03"/>
    <w:rsid w:val="004019E8"/>
    <w:rsid w:val="00403029"/>
    <w:rsid w:val="00404CFA"/>
    <w:rsid w:val="00405044"/>
    <w:rsid w:val="00411FBF"/>
    <w:rsid w:val="00412F99"/>
    <w:rsid w:val="00412FDD"/>
    <w:rsid w:val="00415B42"/>
    <w:rsid w:val="004163A8"/>
    <w:rsid w:val="00421245"/>
    <w:rsid w:val="0042648E"/>
    <w:rsid w:val="00427029"/>
    <w:rsid w:val="00427E22"/>
    <w:rsid w:val="00431B0E"/>
    <w:rsid w:val="00432F41"/>
    <w:rsid w:val="0043372F"/>
    <w:rsid w:val="004425F3"/>
    <w:rsid w:val="004442AF"/>
    <w:rsid w:val="00444B3C"/>
    <w:rsid w:val="0045254B"/>
    <w:rsid w:val="00452C9A"/>
    <w:rsid w:val="00455F8A"/>
    <w:rsid w:val="00460097"/>
    <w:rsid w:val="00461F43"/>
    <w:rsid w:val="00462A07"/>
    <w:rsid w:val="00463137"/>
    <w:rsid w:val="00464680"/>
    <w:rsid w:val="00466E33"/>
    <w:rsid w:val="0047014B"/>
    <w:rsid w:val="004711D5"/>
    <w:rsid w:val="00472FD8"/>
    <w:rsid w:val="00477A35"/>
    <w:rsid w:val="00477CD9"/>
    <w:rsid w:val="00481E97"/>
    <w:rsid w:val="004822DC"/>
    <w:rsid w:val="004853C6"/>
    <w:rsid w:val="004868D0"/>
    <w:rsid w:val="004871A7"/>
    <w:rsid w:val="004901D3"/>
    <w:rsid w:val="004936D2"/>
    <w:rsid w:val="00497ECB"/>
    <w:rsid w:val="004A4894"/>
    <w:rsid w:val="004A7134"/>
    <w:rsid w:val="004B03D1"/>
    <w:rsid w:val="004B2FFA"/>
    <w:rsid w:val="004C15AA"/>
    <w:rsid w:val="004C5916"/>
    <w:rsid w:val="004C60B0"/>
    <w:rsid w:val="004C635B"/>
    <w:rsid w:val="004C79F1"/>
    <w:rsid w:val="004D084C"/>
    <w:rsid w:val="004D4226"/>
    <w:rsid w:val="004E047A"/>
    <w:rsid w:val="004E1BAA"/>
    <w:rsid w:val="004E2937"/>
    <w:rsid w:val="004E572C"/>
    <w:rsid w:val="004E7796"/>
    <w:rsid w:val="004F15B9"/>
    <w:rsid w:val="00501867"/>
    <w:rsid w:val="0050376F"/>
    <w:rsid w:val="00503AAA"/>
    <w:rsid w:val="00507BC8"/>
    <w:rsid w:val="00520EC8"/>
    <w:rsid w:val="00523CF7"/>
    <w:rsid w:val="0052515F"/>
    <w:rsid w:val="005261A7"/>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DF5"/>
    <w:rsid w:val="00574D2C"/>
    <w:rsid w:val="00576696"/>
    <w:rsid w:val="00582116"/>
    <w:rsid w:val="00596FA4"/>
    <w:rsid w:val="005A206D"/>
    <w:rsid w:val="005A31F7"/>
    <w:rsid w:val="005A5967"/>
    <w:rsid w:val="005B1EB6"/>
    <w:rsid w:val="005B4B70"/>
    <w:rsid w:val="005B5F79"/>
    <w:rsid w:val="005C1F32"/>
    <w:rsid w:val="005C23A8"/>
    <w:rsid w:val="005C2C67"/>
    <w:rsid w:val="005C58BF"/>
    <w:rsid w:val="005C5BEE"/>
    <w:rsid w:val="005D090B"/>
    <w:rsid w:val="005D2EB4"/>
    <w:rsid w:val="005D4C37"/>
    <w:rsid w:val="005D67F4"/>
    <w:rsid w:val="005E141A"/>
    <w:rsid w:val="00602DFC"/>
    <w:rsid w:val="006033A9"/>
    <w:rsid w:val="00604C25"/>
    <w:rsid w:val="0060533B"/>
    <w:rsid w:val="0060742C"/>
    <w:rsid w:val="00612113"/>
    <w:rsid w:val="006158F4"/>
    <w:rsid w:val="006162FE"/>
    <w:rsid w:val="00620589"/>
    <w:rsid w:val="00626B53"/>
    <w:rsid w:val="00626E74"/>
    <w:rsid w:val="006307D8"/>
    <w:rsid w:val="00633C43"/>
    <w:rsid w:val="00637401"/>
    <w:rsid w:val="00637578"/>
    <w:rsid w:val="00637A53"/>
    <w:rsid w:val="00642ABC"/>
    <w:rsid w:val="006443C4"/>
    <w:rsid w:val="0064496B"/>
    <w:rsid w:val="00645810"/>
    <w:rsid w:val="00653EFF"/>
    <w:rsid w:val="006563C0"/>
    <w:rsid w:val="00663668"/>
    <w:rsid w:val="00670C78"/>
    <w:rsid w:val="00672EFA"/>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517A"/>
    <w:rsid w:val="006960A4"/>
    <w:rsid w:val="006A2582"/>
    <w:rsid w:val="006A414F"/>
    <w:rsid w:val="006A44B8"/>
    <w:rsid w:val="006A6123"/>
    <w:rsid w:val="006A74A3"/>
    <w:rsid w:val="006B0215"/>
    <w:rsid w:val="006B62A8"/>
    <w:rsid w:val="006B7EB5"/>
    <w:rsid w:val="006C06F3"/>
    <w:rsid w:val="006C4B71"/>
    <w:rsid w:val="006E28FD"/>
    <w:rsid w:val="006E39FA"/>
    <w:rsid w:val="006E5C4A"/>
    <w:rsid w:val="006E64E5"/>
    <w:rsid w:val="006E6B2D"/>
    <w:rsid w:val="006E78FA"/>
    <w:rsid w:val="006E7992"/>
    <w:rsid w:val="006E7F11"/>
    <w:rsid w:val="006F0053"/>
    <w:rsid w:val="006F089E"/>
    <w:rsid w:val="006F0FDC"/>
    <w:rsid w:val="006F68C4"/>
    <w:rsid w:val="006F7400"/>
    <w:rsid w:val="00700210"/>
    <w:rsid w:val="00706DDD"/>
    <w:rsid w:val="00706E59"/>
    <w:rsid w:val="0071264F"/>
    <w:rsid w:val="007147E3"/>
    <w:rsid w:val="00720C74"/>
    <w:rsid w:val="00722EF3"/>
    <w:rsid w:val="00724289"/>
    <w:rsid w:val="00725AE2"/>
    <w:rsid w:val="00726798"/>
    <w:rsid w:val="00726A58"/>
    <w:rsid w:val="00727E53"/>
    <w:rsid w:val="00734A8B"/>
    <w:rsid w:val="00734D8A"/>
    <w:rsid w:val="00735833"/>
    <w:rsid w:val="00736120"/>
    <w:rsid w:val="00737F09"/>
    <w:rsid w:val="007406AE"/>
    <w:rsid w:val="00743ADA"/>
    <w:rsid w:val="00743E70"/>
    <w:rsid w:val="00745A56"/>
    <w:rsid w:val="007464B1"/>
    <w:rsid w:val="00750F39"/>
    <w:rsid w:val="00752C41"/>
    <w:rsid w:val="00755584"/>
    <w:rsid w:val="0075651E"/>
    <w:rsid w:val="007605D9"/>
    <w:rsid w:val="00761345"/>
    <w:rsid w:val="00764A2C"/>
    <w:rsid w:val="00770A0E"/>
    <w:rsid w:val="00770C5B"/>
    <w:rsid w:val="00773331"/>
    <w:rsid w:val="00774B57"/>
    <w:rsid w:val="007809A1"/>
    <w:rsid w:val="00780FEA"/>
    <w:rsid w:val="007836A8"/>
    <w:rsid w:val="00783D7D"/>
    <w:rsid w:val="00787878"/>
    <w:rsid w:val="00792105"/>
    <w:rsid w:val="007932EF"/>
    <w:rsid w:val="007951B8"/>
    <w:rsid w:val="007A16D3"/>
    <w:rsid w:val="007A4891"/>
    <w:rsid w:val="007B1166"/>
    <w:rsid w:val="007B118F"/>
    <w:rsid w:val="007B5227"/>
    <w:rsid w:val="007C059D"/>
    <w:rsid w:val="007C17A2"/>
    <w:rsid w:val="007C470E"/>
    <w:rsid w:val="007C493D"/>
    <w:rsid w:val="007D150D"/>
    <w:rsid w:val="007D3B08"/>
    <w:rsid w:val="007D4717"/>
    <w:rsid w:val="007D6756"/>
    <w:rsid w:val="007E05B0"/>
    <w:rsid w:val="007E601F"/>
    <w:rsid w:val="007E6EFD"/>
    <w:rsid w:val="007E71CE"/>
    <w:rsid w:val="007E7C74"/>
    <w:rsid w:val="007F104A"/>
    <w:rsid w:val="007F4E83"/>
    <w:rsid w:val="007F4F35"/>
    <w:rsid w:val="00801E87"/>
    <w:rsid w:val="00802964"/>
    <w:rsid w:val="00803B33"/>
    <w:rsid w:val="008041D3"/>
    <w:rsid w:val="00804319"/>
    <w:rsid w:val="00805CF7"/>
    <w:rsid w:val="00805ED6"/>
    <w:rsid w:val="00806337"/>
    <w:rsid w:val="00807467"/>
    <w:rsid w:val="008101A8"/>
    <w:rsid w:val="0081488B"/>
    <w:rsid w:val="008154CE"/>
    <w:rsid w:val="00816042"/>
    <w:rsid w:val="0081621D"/>
    <w:rsid w:val="00816AFC"/>
    <w:rsid w:val="00817CF7"/>
    <w:rsid w:val="008231E0"/>
    <w:rsid w:val="00827C4D"/>
    <w:rsid w:val="0083038A"/>
    <w:rsid w:val="0083128A"/>
    <w:rsid w:val="0083272F"/>
    <w:rsid w:val="00835D9A"/>
    <w:rsid w:val="0083730D"/>
    <w:rsid w:val="00840128"/>
    <w:rsid w:val="008413EA"/>
    <w:rsid w:val="00841AE1"/>
    <w:rsid w:val="00847508"/>
    <w:rsid w:val="008525C0"/>
    <w:rsid w:val="008553FF"/>
    <w:rsid w:val="0086566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DA7"/>
    <w:rsid w:val="008A2914"/>
    <w:rsid w:val="008B0DB8"/>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17E85"/>
    <w:rsid w:val="009203A5"/>
    <w:rsid w:val="00924D10"/>
    <w:rsid w:val="00925CEE"/>
    <w:rsid w:val="00930421"/>
    <w:rsid w:val="00930648"/>
    <w:rsid w:val="00933431"/>
    <w:rsid w:val="00936D2B"/>
    <w:rsid w:val="0094211A"/>
    <w:rsid w:val="00944EE3"/>
    <w:rsid w:val="00945471"/>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50E8"/>
    <w:rsid w:val="00986335"/>
    <w:rsid w:val="00986892"/>
    <w:rsid w:val="00986B78"/>
    <w:rsid w:val="009927FD"/>
    <w:rsid w:val="00994CA3"/>
    <w:rsid w:val="00996030"/>
    <w:rsid w:val="0099612E"/>
    <w:rsid w:val="0099719C"/>
    <w:rsid w:val="009A2B3E"/>
    <w:rsid w:val="009B28D4"/>
    <w:rsid w:val="009C1173"/>
    <w:rsid w:val="009C6440"/>
    <w:rsid w:val="009C69FE"/>
    <w:rsid w:val="009D1DF0"/>
    <w:rsid w:val="009D60FA"/>
    <w:rsid w:val="009D7A56"/>
    <w:rsid w:val="009E1471"/>
    <w:rsid w:val="009E14C2"/>
    <w:rsid w:val="009E1AC1"/>
    <w:rsid w:val="009E4560"/>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69EE"/>
    <w:rsid w:val="00A409A9"/>
    <w:rsid w:val="00A43A59"/>
    <w:rsid w:val="00A514E3"/>
    <w:rsid w:val="00A51981"/>
    <w:rsid w:val="00A54C7E"/>
    <w:rsid w:val="00A55753"/>
    <w:rsid w:val="00A607D3"/>
    <w:rsid w:val="00A61EB7"/>
    <w:rsid w:val="00A62121"/>
    <w:rsid w:val="00A6338B"/>
    <w:rsid w:val="00A717D9"/>
    <w:rsid w:val="00A71A56"/>
    <w:rsid w:val="00A72B2F"/>
    <w:rsid w:val="00A744A9"/>
    <w:rsid w:val="00A75188"/>
    <w:rsid w:val="00A80233"/>
    <w:rsid w:val="00A813B3"/>
    <w:rsid w:val="00A8350B"/>
    <w:rsid w:val="00A8635C"/>
    <w:rsid w:val="00AA2317"/>
    <w:rsid w:val="00AA3CA4"/>
    <w:rsid w:val="00AA7D65"/>
    <w:rsid w:val="00AB14B1"/>
    <w:rsid w:val="00AB1C6F"/>
    <w:rsid w:val="00AB297D"/>
    <w:rsid w:val="00AB3556"/>
    <w:rsid w:val="00AB3B3D"/>
    <w:rsid w:val="00AB50BC"/>
    <w:rsid w:val="00AB6762"/>
    <w:rsid w:val="00AC0006"/>
    <w:rsid w:val="00AC13E5"/>
    <w:rsid w:val="00AC36A5"/>
    <w:rsid w:val="00AC67B2"/>
    <w:rsid w:val="00AD6EF4"/>
    <w:rsid w:val="00AD7B15"/>
    <w:rsid w:val="00AD7CC1"/>
    <w:rsid w:val="00AE31D5"/>
    <w:rsid w:val="00AE6AB7"/>
    <w:rsid w:val="00AE7D22"/>
    <w:rsid w:val="00AF278E"/>
    <w:rsid w:val="00AF71F5"/>
    <w:rsid w:val="00B053FF"/>
    <w:rsid w:val="00B10032"/>
    <w:rsid w:val="00B12237"/>
    <w:rsid w:val="00B14FD7"/>
    <w:rsid w:val="00B15792"/>
    <w:rsid w:val="00B17DF1"/>
    <w:rsid w:val="00B200E2"/>
    <w:rsid w:val="00B22153"/>
    <w:rsid w:val="00B25070"/>
    <w:rsid w:val="00B27A92"/>
    <w:rsid w:val="00B42926"/>
    <w:rsid w:val="00B432CA"/>
    <w:rsid w:val="00B4331F"/>
    <w:rsid w:val="00B434C1"/>
    <w:rsid w:val="00B52D63"/>
    <w:rsid w:val="00B53B73"/>
    <w:rsid w:val="00B552A9"/>
    <w:rsid w:val="00B62E49"/>
    <w:rsid w:val="00B65EDF"/>
    <w:rsid w:val="00B674DA"/>
    <w:rsid w:val="00B71A89"/>
    <w:rsid w:val="00B750C9"/>
    <w:rsid w:val="00B75148"/>
    <w:rsid w:val="00B756F7"/>
    <w:rsid w:val="00B75A50"/>
    <w:rsid w:val="00B75BFE"/>
    <w:rsid w:val="00B76C25"/>
    <w:rsid w:val="00B817BF"/>
    <w:rsid w:val="00B86274"/>
    <w:rsid w:val="00B875E1"/>
    <w:rsid w:val="00B9119D"/>
    <w:rsid w:val="00B9253B"/>
    <w:rsid w:val="00B93228"/>
    <w:rsid w:val="00B941FE"/>
    <w:rsid w:val="00B9538B"/>
    <w:rsid w:val="00B95AE2"/>
    <w:rsid w:val="00BA2F7E"/>
    <w:rsid w:val="00BA4508"/>
    <w:rsid w:val="00BA5155"/>
    <w:rsid w:val="00BA541B"/>
    <w:rsid w:val="00BA5DC4"/>
    <w:rsid w:val="00BA7EBC"/>
    <w:rsid w:val="00BB2FF0"/>
    <w:rsid w:val="00BB69ED"/>
    <w:rsid w:val="00BB732E"/>
    <w:rsid w:val="00BB76D6"/>
    <w:rsid w:val="00BB7776"/>
    <w:rsid w:val="00BC3B91"/>
    <w:rsid w:val="00BC5FF4"/>
    <w:rsid w:val="00BC6865"/>
    <w:rsid w:val="00BD13AE"/>
    <w:rsid w:val="00BD1FB6"/>
    <w:rsid w:val="00BD3934"/>
    <w:rsid w:val="00BD5B82"/>
    <w:rsid w:val="00BD7AB4"/>
    <w:rsid w:val="00BE02EC"/>
    <w:rsid w:val="00BE19A1"/>
    <w:rsid w:val="00BF1DAA"/>
    <w:rsid w:val="00BF2FE5"/>
    <w:rsid w:val="00BF3180"/>
    <w:rsid w:val="00BF6D71"/>
    <w:rsid w:val="00BF7F77"/>
    <w:rsid w:val="00C00730"/>
    <w:rsid w:val="00C01E11"/>
    <w:rsid w:val="00C12301"/>
    <w:rsid w:val="00C263CE"/>
    <w:rsid w:val="00C272D0"/>
    <w:rsid w:val="00C27DF8"/>
    <w:rsid w:val="00C3410B"/>
    <w:rsid w:val="00C411B0"/>
    <w:rsid w:val="00C43AAE"/>
    <w:rsid w:val="00C44190"/>
    <w:rsid w:val="00C442F9"/>
    <w:rsid w:val="00C44EF4"/>
    <w:rsid w:val="00C50BFD"/>
    <w:rsid w:val="00C60F19"/>
    <w:rsid w:val="00C64FFA"/>
    <w:rsid w:val="00C67CD8"/>
    <w:rsid w:val="00C70712"/>
    <w:rsid w:val="00C70E12"/>
    <w:rsid w:val="00C714E1"/>
    <w:rsid w:val="00C716B4"/>
    <w:rsid w:val="00C71B6C"/>
    <w:rsid w:val="00C7687B"/>
    <w:rsid w:val="00C85915"/>
    <w:rsid w:val="00C90983"/>
    <w:rsid w:val="00C91E13"/>
    <w:rsid w:val="00C9233E"/>
    <w:rsid w:val="00C9347C"/>
    <w:rsid w:val="00C93B85"/>
    <w:rsid w:val="00CA0E7E"/>
    <w:rsid w:val="00CA37F7"/>
    <w:rsid w:val="00CA4EC5"/>
    <w:rsid w:val="00CA5FB6"/>
    <w:rsid w:val="00CA7160"/>
    <w:rsid w:val="00CB0889"/>
    <w:rsid w:val="00CB64E4"/>
    <w:rsid w:val="00CC16BC"/>
    <w:rsid w:val="00CC3F90"/>
    <w:rsid w:val="00CC4458"/>
    <w:rsid w:val="00CC499B"/>
    <w:rsid w:val="00CC62BC"/>
    <w:rsid w:val="00CD063F"/>
    <w:rsid w:val="00CD4C73"/>
    <w:rsid w:val="00CE1C7A"/>
    <w:rsid w:val="00CE36B8"/>
    <w:rsid w:val="00CE6123"/>
    <w:rsid w:val="00CE6D45"/>
    <w:rsid w:val="00CF5750"/>
    <w:rsid w:val="00CF5C60"/>
    <w:rsid w:val="00CF6A8C"/>
    <w:rsid w:val="00CF7490"/>
    <w:rsid w:val="00CF787A"/>
    <w:rsid w:val="00D029AA"/>
    <w:rsid w:val="00D05942"/>
    <w:rsid w:val="00D106E8"/>
    <w:rsid w:val="00D12544"/>
    <w:rsid w:val="00D13C79"/>
    <w:rsid w:val="00D14832"/>
    <w:rsid w:val="00D15205"/>
    <w:rsid w:val="00D170AB"/>
    <w:rsid w:val="00D20381"/>
    <w:rsid w:val="00D21FD8"/>
    <w:rsid w:val="00D234CB"/>
    <w:rsid w:val="00D2656D"/>
    <w:rsid w:val="00D324E1"/>
    <w:rsid w:val="00D352B4"/>
    <w:rsid w:val="00D353BF"/>
    <w:rsid w:val="00D40EFF"/>
    <w:rsid w:val="00D4512D"/>
    <w:rsid w:val="00D5242D"/>
    <w:rsid w:val="00D52F89"/>
    <w:rsid w:val="00D54A61"/>
    <w:rsid w:val="00D5503F"/>
    <w:rsid w:val="00D61712"/>
    <w:rsid w:val="00D621FB"/>
    <w:rsid w:val="00D62456"/>
    <w:rsid w:val="00D62E5E"/>
    <w:rsid w:val="00D665C4"/>
    <w:rsid w:val="00D674F4"/>
    <w:rsid w:val="00D6777E"/>
    <w:rsid w:val="00D70B60"/>
    <w:rsid w:val="00D71C10"/>
    <w:rsid w:val="00D7463F"/>
    <w:rsid w:val="00D76A56"/>
    <w:rsid w:val="00D77A0D"/>
    <w:rsid w:val="00D825B6"/>
    <w:rsid w:val="00D82CC1"/>
    <w:rsid w:val="00D87245"/>
    <w:rsid w:val="00D87300"/>
    <w:rsid w:val="00D90E08"/>
    <w:rsid w:val="00D950DD"/>
    <w:rsid w:val="00DB0501"/>
    <w:rsid w:val="00DB250A"/>
    <w:rsid w:val="00DB3C35"/>
    <w:rsid w:val="00DB3D14"/>
    <w:rsid w:val="00DB6B05"/>
    <w:rsid w:val="00DC04AA"/>
    <w:rsid w:val="00DC32EC"/>
    <w:rsid w:val="00DC551D"/>
    <w:rsid w:val="00DC60AA"/>
    <w:rsid w:val="00DD50D0"/>
    <w:rsid w:val="00DD57BC"/>
    <w:rsid w:val="00DE0B07"/>
    <w:rsid w:val="00DE2ADF"/>
    <w:rsid w:val="00DF1A15"/>
    <w:rsid w:val="00DF1CB4"/>
    <w:rsid w:val="00DF324D"/>
    <w:rsid w:val="00DF792D"/>
    <w:rsid w:val="00DF7D1B"/>
    <w:rsid w:val="00E00723"/>
    <w:rsid w:val="00E0498A"/>
    <w:rsid w:val="00E04C8B"/>
    <w:rsid w:val="00E0505F"/>
    <w:rsid w:val="00E06ADC"/>
    <w:rsid w:val="00E104B1"/>
    <w:rsid w:val="00E1502C"/>
    <w:rsid w:val="00E21874"/>
    <w:rsid w:val="00E21B00"/>
    <w:rsid w:val="00E258F8"/>
    <w:rsid w:val="00E30766"/>
    <w:rsid w:val="00E3171F"/>
    <w:rsid w:val="00E31C61"/>
    <w:rsid w:val="00E31F15"/>
    <w:rsid w:val="00E327E6"/>
    <w:rsid w:val="00E34F0D"/>
    <w:rsid w:val="00E35CB0"/>
    <w:rsid w:val="00E3769D"/>
    <w:rsid w:val="00E420D2"/>
    <w:rsid w:val="00E4311E"/>
    <w:rsid w:val="00E448AB"/>
    <w:rsid w:val="00E54884"/>
    <w:rsid w:val="00E57015"/>
    <w:rsid w:val="00E60348"/>
    <w:rsid w:val="00E6043D"/>
    <w:rsid w:val="00E60C11"/>
    <w:rsid w:val="00E61C60"/>
    <w:rsid w:val="00E73351"/>
    <w:rsid w:val="00E74596"/>
    <w:rsid w:val="00E80981"/>
    <w:rsid w:val="00E81E68"/>
    <w:rsid w:val="00E84AAA"/>
    <w:rsid w:val="00E922D8"/>
    <w:rsid w:val="00E9561F"/>
    <w:rsid w:val="00E95689"/>
    <w:rsid w:val="00EA277C"/>
    <w:rsid w:val="00EA38FC"/>
    <w:rsid w:val="00EA3971"/>
    <w:rsid w:val="00EA3C60"/>
    <w:rsid w:val="00EA3D90"/>
    <w:rsid w:val="00EA5973"/>
    <w:rsid w:val="00EA64C3"/>
    <w:rsid w:val="00EB039C"/>
    <w:rsid w:val="00EB2C34"/>
    <w:rsid w:val="00EB4BCD"/>
    <w:rsid w:val="00EB72E1"/>
    <w:rsid w:val="00EC6C39"/>
    <w:rsid w:val="00EC78BD"/>
    <w:rsid w:val="00EC7DBC"/>
    <w:rsid w:val="00ED0099"/>
    <w:rsid w:val="00ED02D5"/>
    <w:rsid w:val="00ED297C"/>
    <w:rsid w:val="00EE1C59"/>
    <w:rsid w:val="00EE3BEE"/>
    <w:rsid w:val="00EE613B"/>
    <w:rsid w:val="00EE7555"/>
    <w:rsid w:val="00EF35ED"/>
    <w:rsid w:val="00F02E3E"/>
    <w:rsid w:val="00F04DAB"/>
    <w:rsid w:val="00F0743A"/>
    <w:rsid w:val="00F105CA"/>
    <w:rsid w:val="00F133B9"/>
    <w:rsid w:val="00F13429"/>
    <w:rsid w:val="00F16F48"/>
    <w:rsid w:val="00F17A3B"/>
    <w:rsid w:val="00F229A7"/>
    <w:rsid w:val="00F267F7"/>
    <w:rsid w:val="00F308C1"/>
    <w:rsid w:val="00F308DA"/>
    <w:rsid w:val="00F35509"/>
    <w:rsid w:val="00F36671"/>
    <w:rsid w:val="00F40A90"/>
    <w:rsid w:val="00F41E71"/>
    <w:rsid w:val="00F424E2"/>
    <w:rsid w:val="00F46ECF"/>
    <w:rsid w:val="00F53272"/>
    <w:rsid w:val="00F558D2"/>
    <w:rsid w:val="00F6156F"/>
    <w:rsid w:val="00F66B95"/>
    <w:rsid w:val="00F672C7"/>
    <w:rsid w:val="00F67493"/>
    <w:rsid w:val="00F6791B"/>
    <w:rsid w:val="00F75BAC"/>
    <w:rsid w:val="00F824D3"/>
    <w:rsid w:val="00F84BE4"/>
    <w:rsid w:val="00F8766D"/>
    <w:rsid w:val="00F91E2B"/>
    <w:rsid w:val="00F92092"/>
    <w:rsid w:val="00F951F3"/>
    <w:rsid w:val="00F95871"/>
    <w:rsid w:val="00FA00A7"/>
    <w:rsid w:val="00FA7030"/>
    <w:rsid w:val="00FA7B48"/>
    <w:rsid w:val="00FB0717"/>
    <w:rsid w:val="00FB4D9B"/>
    <w:rsid w:val="00FB7673"/>
    <w:rsid w:val="00FB7914"/>
    <w:rsid w:val="00FC0031"/>
    <w:rsid w:val="00FC0B30"/>
    <w:rsid w:val="00FC38F8"/>
    <w:rsid w:val="00FD15D6"/>
    <w:rsid w:val="00FD1FD5"/>
    <w:rsid w:val="00FD3AB2"/>
    <w:rsid w:val="00FD71F7"/>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pl-PL"/>
    </w:rPr>
  </w:style>
  <w:style w:type="paragraph" w:styleId="Heading1">
    <w:name w:val="heading 1"/>
    <w:basedOn w:val="Normal"/>
    <w:next w:val="Text1"/>
    <w:link w:val="Heading1Char"/>
    <w:uiPriority w:val="9"/>
    <w:qFormat/>
    <w:pPr>
      <w:keepNext/>
      <w:numPr>
        <w:numId w:val="1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3"/>
      </w:numPr>
      <w:contextualSpacing/>
    </w:pPr>
  </w:style>
  <w:style w:type="paragraph" w:styleId="ListNumber2">
    <w:name w:val="List Number 2"/>
    <w:basedOn w:val="Normal"/>
    <w:uiPriority w:val="99"/>
    <w:semiHidden/>
    <w:unhideWhenUsed/>
    <w:rsid w:val="009713B0"/>
    <w:pPr>
      <w:numPr>
        <w:numId w:val="4"/>
      </w:numPr>
      <w:contextualSpacing/>
    </w:pPr>
  </w:style>
  <w:style w:type="paragraph" w:styleId="ListBullet3">
    <w:name w:val="List Bullet 3"/>
    <w:basedOn w:val="Normal"/>
    <w:uiPriority w:val="99"/>
    <w:semiHidden/>
    <w:unhideWhenUsed/>
    <w:rsid w:val="001840A1"/>
    <w:pPr>
      <w:numPr>
        <w:numId w:val="5"/>
      </w:numPr>
      <w:contextualSpacing/>
    </w:pPr>
  </w:style>
  <w:style w:type="paragraph" w:styleId="ListBullet4">
    <w:name w:val="List Bullet 4"/>
    <w:basedOn w:val="Normal"/>
    <w:uiPriority w:val="99"/>
    <w:semiHidden/>
    <w:unhideWhenUsed/>
    <w:rsid w:val="001840A1"/>
    <w:pPr>
      <w:numPr>
        <w:numId w:val="6"/>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pl-PL"/>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pl-PL"/>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092E1D"/>
    <w:rPr>
      <w:rFonts w:ascii="Times New Roman" w:hAnsi="Times New Roman" w:cs="Times New Roman"/>
      <w:sz w:val="24"/>
      <w:lang w:val="pl-PL"/>
    </w:rPr>
  </w:style>
  <w:style w:type="character" w:customStyle="1" w:styleId="FooterChar">
    <w:name w:val="Footer Char"/>
    <w:basedOn w:val="DefaultParagraphFont"/>
    <w:link w:val="Footer"/>
    <w:uiPriority w:val="99"/>
    <w:rsid w:val="00092E1D"/>
    <w:rPr>
      <w:rFonts w:ascii="Times New Roman" w:hAnsi="Times New Roman" w:cs="Times New Roman"/>
      <w:sz w:val="24"/>
      <w:lang w:val="pl-PL"/>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pl-PL"/>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pl-PL"/>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pl-PL"/>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pl-PL"/>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pl-PL"/>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pl-PL"/>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pl-PL"/>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092E1D"/>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092E1D"/>
    <w:pPr>
      <w:spacing w:before="0"/>
      <w:jc w:val="right"/>
    </w:pPr>
    <w:rPr>
      <w:sz w:val="28"/>
    </w:rPr>
  </w:style>
  <w:style w:type="paragraph" w:customStyle="1" w:styleId="FooterSensitivity">
    <w:name w:val="Footer Sensitivity"/>
    <w:basedOn w:val="Normal"/>
    <w:rsid w:val="00092E1D"/>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7"/>
      </w:numPr>
    </w:pPr>
  </w:style>
  <w:style w:type="paragraph" w:customStyle="1" w:styleId="Tiret1">
    <w:name w:val="Tiret 1"/>
    <w:basedOn w:val="Point1"/>
    <w:pPr>
      <w:numPr>
        <w:numId w:val="8"/>
      </w:numPr>
    </w:pPr>
  </w:style>
  <w:style w:type="paragraph" w:customStyle="1" w:styleId="Tiret2">
    <w:name w:val="Tiret 2"/>
    <w:basedOn w:val="Point2"/>
    <w:pPr>
      <w:numPr>
        <w:numId w:val="9"/>
      </w:numPr>
    </w:pPr>
  </w:style>
  <w:style w:type="paragraph" w:customStyle="1" w:styleId="Tiret3">
    <w:name w:val="Tiret 3"/>
    <w:basedOn w:val="Point3"/>
    <w:pPr>
      <w:numPr>
        <w:numId w:val="10"/>
      </w:numPr>
    </w:pPr>
  </w:style>
  <w:style w:type="paragraph" w:customStyle="1" w:styleId="Tiret4">
    <w:name w:val="Tiret 4"/>
    <w:basedOn w:val="Point4"/>
    <w:pPr>
      <w:numPr>
        <w:numId w:val="11"/>
      </w:numPr>
    </w:pPr>
  </w:style>
  <w:style w:type="paragraph" w:customStyle="1" w:styleId="Tiret5">
    <w:name w:val="Tiret 5"/>
    <w:basedOn w:val="Point5"/>
    <w:pPr>
      <w:numPr>
        <w:numId w:val="1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3"/>
      </w:numPr>
    </w:pPr>
  </w:style>
  <w:style w:type="paragraph" w:customStyle="1" w:styleId="NumPar2">
    <w:name w:val="NumPar 2"/>
    <w:basedOn w:val="Normal"/>
    <w:next w:val="Text1"/>
    <w:pPr>
      <w:numPr>
        <w:ilvl w:val="1"/>
        <w:numId w:val="13"/>
      </w:numPr>
    </w:pPr>
  </w:style>
  <w:style w:type="paragraph" w:customStyle="1" w:styleId="NumPar3">
    <w:name w:val="NumPar 3"/>
    <w:basedOn w:val="Normal"/>
    <w:next w:val="Text1"/>
    <w:pPr>
      <w:numPr>
        <w:ilvl w:val="2"/>
        <w:numId w:val="13"/>
      </w:numPr>
    </w:pPr>
  </w:style>
  <w:style w:type="paragraph" w:customStyle="1" w:styleId="NumPar4">
    <w:name w:val="NumPar 4"/>
    <w:basedOn w:val="Normal"/>
    <w:next w:val="Text1"/>
    <w:pPr>
      <w:numPr>
        <w:ilvl w:val="3"/>
        <w:numId w:val="13"/>
      </w:numPr>
    </w:pPr>
  </w:style>
  <w:style w:type="paragraph" w:customStyle="1" w:styleId="NumPar5">
    <w:name w:val="NumPar 5"/>
    <w:basedOn w:val="Normal"/>
    <w:next w:val="Text2"/>
    <w:pPr>
      <w:numPr>
        <w:ilvl w:val="4"/>
        <w:numId w:val="13"/>
      </w:numPr>
    </w:pPr>
  </w:style>
  <w:style w:type="paragraph" w:customStyle="1" w:styleId="NumPar6">
    <w:name w:val="NumPar 6"/>
    <w:basedOn w:val="Normal"/>
    <w:next w:val="Text2"/>
    <w:pPr>
      <w:numPr>
        <w:ilvl w:val="5"/>
        <w:numId w:val="13"/>
      </w:numPr>
    </w:pPr>
  </w:style>
  <w:style w:type="paragraph" w:customStyle="1" w:styleId="NumPar7">
    <w:name w:val="NumPar 7"/>
    <w:basedOn w:val="Normal"/>
    <w:next w:val="Text2"/>
    <w:pPr>
      <w:numPr>
        <w:ilvl w:val="6"/>
        <w:numId w:val="1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5"/>
      </w:numPr>
    </w:pPr>
  </w:style>
  <w:style w:type="paragraph" w:customStyle="1" w:styleId="Point1number">
    <w:name w:val="Point 1 (number)"/>
    <w:basedOn w:val="Normal"/>
    <w:pPr>
      <w:numPr>
        <w:ilvl w:val="2"/>
        <w:numId w:val="15"/>
      </w:numPr>
    </w:pPr>
  </w:style>
  <w:style w:type="paragraph" w:customStyle="1" w:styleId="Point2number">
    <w:name w:val="Point 2 (number)"/>
    <w:basedOn w:val="Normal"/>
    <w:pPr>
      <w:numPr>
        <w:ilvl w:val="4"/>
        <w:numId w:val="15"/>
      </w:numPr>
    </w:pPr>
  </w:style>
  <w:style w:type="paragraph" w:customStyle="1" w:styleId="Point3number">
    <w:name w:val="Point 3 (number)"/>
    <w:basedOn w:val="Normal"/>
    <w:pPr>
      <w:numPr>
        <w:ilvl w:val="6"/>
        <w:numId w:val="15"/>
      </w:numPr>
    </w:pPr>
  </w:style>
  <w:style w:type="paragraph" w:customStyle="1" w:styleId="Point0letter">
    <w:name w:val="Point 0 (letter)"/>
    <w:basedOn w:val="Normal"/>
    <w:pPr>
      <w:numPr>
        <w:ilvl w:val="1"/>
        <w:numId w:val="15"/>
      </w:numPr>
    </w:pPr>
  </w:style>
  <w:style w:type="paragraph" w:customStyle="1" w:styleId="Point1letter">
    <w:name w:val="Point 1 (letter)"/>
    <w:basedOn w:val="Normal"/>
    <w:pPr>
      <w:numPr>
        <w:ilvl w:val="3"/>
        <w:numId w:val="15"/>
      </w:numPr>
    </w:pPr>
  </w:style>
  <w:style w:type="paragraph" w:customStyle="1" w:styleId="Point2letter">
    <w:name w:val="Point 2 (letter)"/>
    <w:basedOn w:val="Normal"/>
    <w:pPr>
      <w:numPr>
        <w:ilvl w:val="5"/>
        <w:numId w:val="15"/>
      </w:numPr>
    </w:pPr>
  </w:style>
  <w:style w:type="paragraph" w:customStyle="1" w:styleId="Point3letter">
    <w:name w:val="Point 3 (letter)"/>
    <w:basedOn w:val="Normal"/>
    <w:pPr>
      <w:numPr>
        <w:ilvl w:val="7"/>
        <w:numId w:val="15"/>
      </w:numPr>
    </w:pPr>
  </w:style>
  <w:style w:type="paragraph" w:customStyle="1" w:styleId="Point4letter">
    <w:name w:val="Point 4 (letter)"/>
    <w:basedOn w:val="Normal"/>
    <w:pPr>
      <w:numPr>
        <w:ilvl w:val="8"/>
        <w:numId w:val="15"/>
      </w:numPr>
    </w:pPr>
  </w:style>
  <w:style w:type="paragraph" w:customStyle="1" w:styleId="Bullet0">
    <w:name w:val="Bullet 0"/>
    <w:basedOn w:val="Normal"/>
    <w:pPr>
      <w:numPr>
        <w:numId w:val="16"/>
      </w:numPr>
    </w:pPr>
  </w:style>
  <w:style w:type="paragraph" w:customStyle="1" w:styleId="Bullet1">
    <w:name w:val="Bullet 1"/>
    <w:basedOn w:val="Normal"/>
    <w:pPr>
      <w:numPr>
        <w:numId w:val="17"/>
      </w:numPr>
    </w:pPr>
  </w:style>
  <w:style w:type="paragraph" w:customStyle="1" w:styleId="Bullet2">
    <w:name w:val="Bullet 2"/>
    <w:basedOn w:val="Normal"/>
    <w:pPr>
      <w:numPr>
        <w:numId w:val="18"/>
      </w:numPr>
    </w:pPr>
  </w:style>
  <w:style w:type="paragraph" w:customStyle="1" w:styleId="Bullet3">
    <w:name w:val="Bullet 3"/>
    <w:basedOn w:val="Normal"/>
    <w:pPr>
      <w:numPr>
        <w:numId w:val="19"/>
      </w:numPr>
    </w:pPr>
  </w:style>
  <w:style w:type="paragraph" w:customStyle="1" w:styleId="Bullet4">
    <w:name w:val="Bullet 4"/>
    <w:basedOn w:val="Normal"/>
    <w:pPr>
      <w:numPr>
        <w:numId w:val="2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092E1D"/>
    <w:pPr>
      <w:tabs>
        <w:tab w:val="center" w:pos="4535"/>
        <w:tab w:val="right" w:pos="9071"/>
      </w:tabs>
      <w:spacing w:before="0"/>
    </w:pPr>
  </w:style>
  <w:style w:type="paragraph" w:customStyle="1" w:styleId="HeaderLandscape">
    <w:name w:val="HeaderLandscape"/>
    <w:basedOn w:val="Normal"/>
    <w:rsid w:val="00092E1D"/>
    <w:pPr>
      <w:tabs>
        <w:tab w:val="center" w:pos="7285"/>
        <w:tab w:val="right" w:pos="14003"/>
      </w:tabs>
      <w:spacing w:before="0"/>
    </w:pPr>
  </w:style>
  <w:style w:type="paragraph" w:styleId="Footer">
    <w:name w:val="footer"/>
    <w:basedOn w:val="Normal"/>
    <w:link w:val="FooterChar"/>
    <w:uiPriority w:val="99"/>
    <w:unhideWhenUsed/>
    <w:rsid w:val="00092E1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092E1D"/>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2.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6592A5-DE9F-49EC-99C8-269C70DDEAC1}">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10</TotalTime>
  <Pages>6</Pages>
  <Words>1644</Words>
  <Characters>9371</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39</cp:revision>
  <cp:lastPrinted>2025-05-08T07:59:00Z</cp:lastPrinted>
  <dcterms:created xsi:type="dcterms:W3CDTF">2025-09-16T13:52:00Z</dcterms:created>
  <dcterms:modified xsi:type="dcterms:W3CDTF">2025-09-30T15:24:00Z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