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9533F" w:rsidRPr="00473EEE" w:rsidRDefault="00D95323" w:rsidP="00D95323">
      <w:pPr>
        <w:pStyle w:val="Pagedecouverture"/>
        <w:rPr>
          <w:noProof/>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1" type="#_x0000_t75" alt="EAB2C055-7A32-4F4D-81E0-9D5A26739DB9" style="width:455.25pt;height:383.25pt">
            <v:imagedata r:id="rId11" o:title=""/>
          </v:shape>
        </w:pict>
      </w:r>
    </w:p>
    <w:p w:rsidR="00FE7FED" w:rsidRPr="00473EEE" w:rsidRDefault="00FE7FED">
      <w:pPr>
        <w:rPr>
          <w:noProof/>
        </w:rPr>
        <w:sectPr w:rsidR="00FE7FED" w:rsidRPr="00473EEE" w:rsidSect="00D95323">
          <w:headerReference w:type="even" r:id="rId12"/>
          <w:headerReference w:type="default" r:id="rId13"/>
          <w:footerReference w:type="even" r:id="rId14"/>
          <w:footerReference w:type="default" r:id="rId15"/>
          <w:headerReference w:type="first" r:id="rId16"/>
          <w:footerReference w:type="first" r:id="rId17"/>
          <w:pgSz w:w="11907" w:h="16839"/>
          <w:pgMar w:top="1134" w:right="1417" w:bottom="1134" w:left="1417" w:header="709" w:footer="709" w:gutter="0"/>
          <w:pgNumType w:start="0"/>
          <w:cols w:space="720"/>
          <w:docGrid w:linePitch="360"/>
        </w:sectPr>
      </w:pPr>
    </w:p>
    <w:p w:rsidR="009713B0" w:rsidRPr="00473EEE" w:rsidRDefault="00473EEE" w:rsidP="00473EEE">
      <w:pPr>
        <w:pStyle w:val="Typedudocument"/>
        <w:rPr>
          <w:noProof/>
        </w:rPr>
      </w:pPr>
      <w:bookmarkStart w:id="0" w:name="_Hlk209186983"/>
      <w:bookmarkStart w:id="1" w:name="_GoBack"/>
      <w:bookmarkEnd w:id="1"/>
      <w:r w:rsidRPr="00473EEE">
        <w:rPr>
          <w:noProof/>
        </w:rPr>
        <w:lastRenderedPageBreak/>
        <w:t>UITVOERINGSVERORDENING (EU) …/... VAN DE COMMISSIE</w:t>
      </w:r>
    </w:p>
    <w:p w:rsidR="009713B0" w:rsidRPr="00473EEE" w:rsidRDefault="006E0011" w:rsidP="00473EEE">
      <w:pPr>
        <w:pStyle w:val="Datedadoption"/>
        <w:rPr>
          <w:noProof/>
        </w:rPr>
      </w:pPr>
      <w:r>
        <w:rPr>
          <w:noProof/>
        </w:rPr>
        <w:t>van 1.10.2025</w:t>
      </w:r>
    </w:p>
    <w:p w:rsidR="009713B0" w:rsidRPr="00473EEE" w:rsidRDefault="00473EEE" w:rsidP="00473EEE">
      <w:pPr>
        <w:pStyle w:val="Titreobjet"/>
        <w:rPr>
          <w:noProof/>
        </w:rPr>
      </w:pPr>
      <w:r w:rsidRPr="00473EEE">
        <w:rPr>
          <w:noProof/>
        </w:rPr>
        <w:t>tot vaststelling van technische uitvoeringsnormen voor de toepassing van Verordening (EU) nr. 260/2012 van het Europees Parlement en de Raad wat betreft eenvormige rapportagetemplates, instructies en methode voor het rapporteren van de hoogte van kosten voor overmakingen, instantovermakingen en betaalrekeningen, en het aandeel afgewezen transacties</w:t>
      </w:r>
    </w:p>
    <w:bookmarkEnd w:id="0"/>
    <w:p w:rsidR="009713B0" w:rsidRPr="00473EEE" w:rsidRDefault="009713B0" w:rsidP="009713B0">
      <w:pPr>
        <w:pStyle w:val="Institutionquiagit"/>
        <w:rPr>
          <w:noProof/>
        </w:rPr>
      </w:pPr>
      <w:r w:rsidRPr="00473EEE">
        <w:rPr>
          <w:noProof/>
        </w:rPr>
        <w:t>DE EUROPESE COMMISSIE,</w:t>
      </w:r>
    </w:p>
    <w:p w:rsidR="009713B0" w:rsidRPr="00473EEE" w:rsidRDefault="009713B0" w:rsidP="009713B0">
      <w:pPr>
        <w:rPr>
          <w:noProof/>
          <w:color w:val="000000"/>
        </w:rPr>
      </w:pPr>
      <w:r w:rsidRPr="00473EEE">
        <w:rPr>
          <w:noProof/>
          <w:color w:val="000000"/>
        </w:rPr>
        <w:t>Gezien het Verdrag betreffende de werking van de Europese Unie,</w:t>
      </w:r>
    </w:p>
    <w:p w:rsidR="009713B0" w:rsidRPr="00473EEE" w:rsidRDefault="009713B0" w:rsidP="009713B0">
      <w:pPr>
        <w:rPr>
          <w:noProof/>
          <w:color w:val="000000"/>
        </w:rPr>
      </w:pPr>
      <w:r w:rsidRPr="00473EEE">
        <w:rPr>
          <w:noProof/>
          <w:color w:val="000000"/>
        </w:rPr>
        <w:t>Gezien Verordening (EU) nr. 260/2012 van het Europees Parlement en de Raad van 14 maart 2012 tot vaststelling van technische en bedrijfsmatige vereisten voor overmakingen en automatische afschrijvingen in euro en tot wijziging van Verordening (EG) nr. 924/2009</w:t>
      </w:r>
      <w:r w:rsidRPr="00473EEE">
        <w:rPr>
          <w:rStyle w:val="FootnoteReference"/>
          <w:noProof/>
          <w:color w:val="000000"/>
        </w:rPr>
        <w:footnoteReference w:id="2"/>
      </w:r>
      <w:r w:rsidRPr="00473EEE">
        <w:rPr>
          <w:noProof/>
          <w:color w:val="000000"/>
        </w:rPr>
        <w:t xml:space="preserve">, en met name artikel 15, lid 5, derde alinea, </w:t>
      </w:r>
    </w:p>
    <w:p w:rsidR="009713B0" w:rsidRPr="00473EEE" w:rsidRDefault="009713B0" w:rsidP="009713B0">
      <w:pPr>
        <w:rPr>
          <w:noProof/>
        </w:rPr>
      </w:pPr>
      <w:r w:rsidRPr="00473EEE">
        <w:rPr>
          <w:noProof/>
          <w:color w:val="000000"/>
        </w:rPr>
        <w:t>Overwegende hetgeen volgt:</w:t>
      </w:r>
    </w:p>
    <w:p w:rsidR="00AC0006" w:rsidRPr="00473EEE" w:rsidRDefault="00441403" w:rsidP="00441403">
      <w:pPr>
        <w:pStyle w:val="ManualConsidrant"/>
        <w:rPr>
          <w:noProof/>
        </w:rPr>
      </w:pPr>
      <w:r w:rsidRPr="00441403">
        <w:rPr>
          <w:noProof/>
        </w:rPr>
        <w:t>(1)</w:t>
      </w:r>
      <w:r w:rsidRPr="00441403">
        <w:rPr>
          <w:noProof/>
        </w:rPr>
        <w:tab/>
      </w:r>
      <w:r w:rsidR="00925CEE" w:rsidRPr="00473EEE">
        <w:rPr>
          <w:noProof/>
        </w:rPr>
        <w:t xml:space="preserve">Aan de hand van rapportage krachtens artikel 15, lid 3, van Verordening (EU) nr. 260/2012 over de hoogte van kosten moet Commissie een beoordeling kunnen maken van het effect van de regel betreffende de voor instantovermakingen berekende kosten, zoals bepaald in artikel 5 ter, lid 1, van die verordening, op de kosten voor betaalrekeningen – zowel voor binnenlandse als voor buitenlandse overmakingen – en voor instantovermakingen in euro en in de nationale valuta van de lidstaten die de euro niet als munt hebben. De kosten die betaaldienstaanbieders (PSP’s) berekenen voor overmakingen, daaronder begrepen instantovermakingen, verschillen doorgaans afhankelijk van de kenmerken van de betrokken overmaking. Bij die kenmerken kan het gaan om de vraag of de betaaldienstgebruiker (PSU) de betaler of de ontvanger is, een consument of niet, of om welk type betaalinitiatiekanaal het gaat. De aangeleverde rapportage over overmakingen moet dus uitsplitsingen bevatten in binnenlandse en buitenlandse overmakingen, type betaaldienstgebruiker en betaalinitiatiekanaal. </w:t>
      </w:r>
    </w:p>
    <w:p w:rsidR="00F133B9" w:rsidRPr="00473EEE" w:rsidRDefault="00441403" w:rsidP="00441403">
      <w:pPr>
        <w:pStyle w:val="ManualConsidrant"/>
        <w:rPr>
          <w:noProof/>
        </w:rPr>
      </w:pPr>
      <w:r w:rsidRPr="00441403">
        <w:rPr>
          <w:noProof/>
        </w:rPr>
        <w:t>(2)</w:t>
      </w:r>
      <w:r w:rsidRPr="00441403">
        <w:rPr>
          <w:noProof/>
        </w:rPr>
        <w:tab/>
      </w:r>
      <w:r w:rsidR="00914C54" w:rsidRPr="00473EEE">
        <w:rPr>
          <w:noProof/>
        </w:rPr>
        <w:t>Betaaldienstaanbieders kunnen ervoor kiezen om kosten op transactiebasis te berekenen in nominale termen of als percentage van de transactiewaarde. Ook kunnen betaaldienstaanbieders kiezen voor alternatieve kostenstructuren, zoals gestaffelde tarieven op basis van verschillende bandbreedtes van de transactiewaarde of benaderingen waarbij een aantal transacties per maand kosteloos is en daarboven per transactie kosten worden berekend. Het zou onwenselijk zijn dat die heterogeniteit van commerciële praktijken leidt tot het omzeilen van het doel van de regel betreffende de kosten voor instantovermakingen die in artikel 5 ter, lid 1, van Verordening (EU) nr. 260/2012 is vastgelegd. De methode voor het rapporteren van de informatie over de hoogte van de kosten voor reguliere overmakingen en instantovermakingen moet de Commissie in staat stellen om, ondanks de verschillende methodes die betaaldienstaanbieders gebruiken voor het berekenen van de kosten, de door betaaldienstaanbieders aangeleverde informatie op eenvormige en vergelijkbare manier te evalueren op het niveau van een betaaldienstaanbieder in de tijd en tussen verschillende betaaldienstaanbieders op een bepaald tijdstip. Daarom moet de rapportage de informatie bevatten over de totale geaggregeerde kosten, het volume en de waarde van overmakingen, daaronder begrepen instantovermakingen, in de nationale valuta. De rapportage over – verzonden en ontvangen – overmakingen moet ook een uitsplitsing bevatten tussen kosteloze overmakingen en overmakingen waarvoor moet worden betaald.</w:t>
      </w:r>
    </w:p>
    <w:p w:rsidR="009713B0" w:rsidRPr="00473EEE" w:rsidRDefault="00441403" w:rsidP="00441403">
      <w:pPr>
        <w:pStyle w:val="ManualConsidrant"/>
        <w:rPr>
          <w:noProof/>
        </w:rPr>
      </w:pPr>
      <w:r w:rsidRPr="00441403">
        <w:rPr>
          <w:noProof/>
        </w:rPr>
        <w:t>(3)</w:t>
      </w:r>
      <w:r w:rsidRPr="00441403">
        <w:rPr>
          <w:noProof/>
        </w:rPr>
        <w:tab/>
      </w:r>
      <w:r w:rsidR="004425F3" w:rsidRPr="00473EEE">
        <w:rPr>
          <w:noProof/>
        </w:rPr>
        <w:t>Betaaldienstaanbieders moeten op entiteitsniveau voldoen aan hun rapportageverplichtingen zoals die in artikel 15, lid 3, van Verordening (EU) nr. 260/2012 zijn vastgesteld. Om de benadering van de rapportage van betalingsstatistieken af te stemmen op die van de ECB, moeten bijkantoren van betaaldienstaanbieders gevestigd in lidstaten niet zijnde lidstaten van hun moederentiteiten, hun data aanleveren bij de bevoegde autoriteit van de lidstaat van ontvangst, en moeten moederentiteiten voor zichzelf rapporteren aan de bevoegde autoriteit van hun lidstaat van herkomst.</w:t>
      </w:r>
    </w:p>
    <w:p w:rsidR="009713B0" w:rsidRPr="00473EEE" w:rsidRDefault="00441403" w:rsidP="00441403">
      <w:pPr>
        <w:pStyle w:val="ManualConsidrant"/>
        <w:rPr>
          <w:noProof/>
        </w:rPr>
      </w:pPr>
      <w:r w:rsidRPr="00441403">
        <w:rPr>
          <w:noProof/>
        </w:rPr>
        <w:t>(4)</w:t>
      </w:r>
      <w:r w:rsidRPr="00441403">
        <w:rPr>
          <w:noProof/>
        </w:rPr>
        <w:tab/>
      </w:r>
      <w:r w:rsidR="000D1771" w:rsidRPr="00473EEE">
        <w:rPr>
          <w:noProof/>
        </w:rPr>
        <w:t>Betaaldienstaanbieders die gevestigd zijn in lidstaten die de euro niet als munt hebben, en die hun betaaldienstgebruikers de betaaldienst aanbieden van het ontvangen en verzenden van reguliere overmakingen in euro, zijn verplicht om hun betaaldienstgebruikers de betaaldienst van het ontvangen van instantovermakingen aan te bieden tegen 9 januari 2027 en de betaaldienst van het verzenden van instantovermakingen in euro tegen 9 juli 2027, zoals bepaald in artikel 5 bis, lid 8, van Verordening (EU) nr. 260/2012. Die betaaldienstaanbieders moeten, overeenkomstig artikel 5 ter, lid 3, tweede alinea, van die verordening, tegen 9 januari 2027 ook verplichtingen nakomen wat betreft de kosten die betalers en ontvangers worden berekend voor het verzenden en ontvangen van instantovermakingen in euro. Om de Commissie in staat te stellen om, krachtens artikel 15, lid 2, punt a), van Verordening (EU) nr. 260/2012, de effecten van die verordening te beoordelen voor de hoogte van kosten voor overmakingen, met inbegrip van instantovermakingen, die luiden in de nationale valuta van de lidstaten die de euro niet als munt hebben, dienen betaaldienstaanbieders die in deze lidstaten zijn gevestigd en die hun betaaldienstgebruikers de betaaldienst aanbieden van het ontvangen en verzenden van reguliere overmakingen in euro, te rapporteren over het aantal en de waarde van, en de kosten voor, overmakingen, met inbegrip van instantovermakingen, die in hun nationale valuta en in euro luiden.</w:t>
      </w:r>
    </w:p>
    <w:p w:rsidR="009713B0" w:rsidRPr="00473EEE" w:rsidRDefault="00441403" w:rsidP="00441403">
      <w:pPr>
        <w:pStyle w:val="ManualConsidrant"/>
        <w:rPr>
          <w:noProof/>
        </w:rPr>
      </w:pPr>
      <w:r w:rsidRPr="00441403">
        <w:rPr>
          <w:noProof/>
        </w:rPr>
        <w:t>(5)</w:t>
      </w:r>
      <w:r w:rsidRPr="00441403">
        <w:rPr>
          <w:noProof/>
        </w:rPr>
        <w:tab/>
      </w:r>
      <w:r w:rsidR="009713B0" w:rsidRPr="00473EEE">
        <w:rPr>
          <w:noProof/>
        </w:rPr>
        <w:t>Ten behoeve van de rapportage overeenkomstig artikel 15, lid 3, van Verordening (EU) nr. 260/2012 moeten betaaldienstaanbieders hun bevoegde autoriteiten data verstrekken over het totale aantal betaalrekeningen en het geaggregeerde niveau van de totale kosten voor betaalrekeningen. Om de Commissie in staat te stellen te beoordelen of er een verband is tussen potentiële wijzigingen in de kosten voor betaalrekeningen en veranderingen in de kosten voor overmakingen en instantovermakingen, moet de rapportage ook uitsplitsingen bevatten voor vergoedingen voor het aanhouden van rekeningen.</w:t>
      </w:r>
    </w:p>
    <w:p w:rsidR="009713B0" w:rsidRPr="00473EEE" w:rsidRDefault="00441403" w:rsidP="00441403">
      <w:pPr>
        <w:pStyle w:val="ManualConsidrant"/>
        <w:rPr>
          <w:noProof/>
        </w:rPr>
      </w:pPr>
      <w:r w:rsidRPr="00441403">
        <w:rPr>
          <w:noProof/>
        </w:rPr>
        <w:t>(6)</w:t>
      </w:r>
      <w:r w:rsidRPr="00441403">
        <w:rPr>
          <w:noProof/>
        </w:rPr>
        <w:tab/>
      </w:r>
      <w:r w:rsidR="00136075" w:rsidRPr="00473EEE">
        <w:rPr>
          <w:noProof/>
        </w:rPr>
        <w:t>Om de Commissie in staat te stellen om te beoordelen of het aandeel instantovermakingen dat wordt afgewezen als gevolg van de toepassing van gerichte financiële beperkende maatregelen die zijn vastgesteld overeenkomstig artikel 215 van het Verdrag betreffende de werking van de Europese Unie, en om te beoordelen of dat aandeel is veranderd sinds de bij Verordening (EU) 2024/886 van het Europees Parlement en de Raad</w:t>
      </w:r>
      <w:r w:rsidR="00136075" w:rsidRPr="00473EEE">
        <w:rPr>
          <w:rStyle w:val="FootnoteReference"/>
          <w:noProof/>
        </w:rPr>
        <w:footnoteReference w:id="3"/>
      </w:r>
      <w:r w:rsidR="00136075" w:rsidRPr="00473EEE">
        <w:rPr>
          <w:noProof/>
        </w:rPr>
        <w:t xml:space="preserve"> ingevoerde wijzigingen in Verordening (EU) nr. 260/2012 van toepassing zijn geworden, moeten betaaldienstaanbieders hun bevoegde autoriteiten data verstrekken over dat aandeel in een bepaald jaar, met inbegrip van het aantal gevallen waarin instantovermakingen niet zijn uitgevoerd of middelen zijn bevroren door de betaaldienstaanbieder van de betaler of ontvanger. </w:t>
      </w:r>
    </w:p>
    <w:p w:rsidR="0039723A" w:rsidRPr="00473EEE" w:rsidRDefault="00441403" w:rsidP="00441403">
      <w:pPr>
        <w:pStyle w:val="ManualConsidrant"/>
        <w:rPr>
          <w:noProof/>
        </w:rPr>
      </w:pPr>
      <w:r w:rsidRPr="00441403">
        <w:rPr>
          <w:noProof/>
        </w:rPr>
        <w:t>(7)</w:t>
      </w:r>
      <w:r w:rsidRPr="00441403">
        <w:rPr>
          <w:noProof/>
        </w:rPr>
        <w:tab/>
      </w:r>
      <w:r w:rsidR="00B17DF1" w:rsidRPr="00473EEE">
        <w:rPr>
          <w:noProof/>
        </w:rPr>
        <w:t>Om de rapportage te harmoniseren moeten betaaldienstaanbieders het datapuntmodel en de validatieformules gebruiken die op de website van de Europese Bankautoriteit (“EBA”) beschikbaar worden gesteld. Daarnaast moeten bevoegde autoriteiten, om de rapportagedruk te verminderen en om overlapping te voorkomen, de mogelijkheid hebben om betaaldienstaanbieders die in hun jurisdictie gevestigd zijn, toe te staan de rapportage te beperken tot datapunten die nog niet eerder zijn aangeleverd.</w:t>
      </w:r>
    </w:p>
    <w:p w:rsidR="009713B0" w:rsidRPr="00473EEE" w:rsidRDefault="00441403" w:rsidP="00441403">
      <w:pPr>
        <w:pStyle w:val="ManualConsidrant"/>
        <w:rPr>
          <w:noProof/>
        </w:rPr>
      </w:pPr>
      <w:r w:rsidRPr="00441403">
        <w:rPr>
          <w:noProof/>
        </w:rPr>
        <w:t>(8)</w:t>
      </w:r>
      <w:r w:rsidRPr="00441403">
        <w:rPr>
          <w:noProof/>
        </w:rPr>
        <w:tab/>
      </w:r>
      <w:r w:rsidR="009713B0" w:rsidRPr="00473EEE">
        <w:rPr>
          <w:noProof/>
        </w:rPr>
        <w:t>Deze verordening is gebaseerd op de ontwerpen van technische uitvoeringsnormen die de EBA bij de Commissie heeft ingediend.</w:t>
      </w:r>
    </w:p>
    <w:p w:rsidR="009713B0" w:rsidRPr="00473EEE" w:rsidRDefault="00441403" w:rsidP="00441403">
      <w:pPr>
        <w:pStyle w:val="ManualConsidrant"/>
        <w:rPr>
          <w:noProof/>
        </w:rPr>
      </w:pPr>
      <w:r w:rsidRPr="00441403">
        <w:rPr>
          <w:noProof/>
        </w:rPr>
        <w:t>(9)</w:t>
      </w:r>
      <w:r w:rsidRPr="00441403">
        <w:rPr>
          <w:noProof/>
        </w:rPr>
        <w:tab/>
      </w:r>
      <w:r w:rsidR="009713B0" w:rsidRPr="00473EEE">
        <w:rPr>
          <w:noProof/>
        </w:rPr>
        <w:t>De EBA heeft open publieke consultaties georganiseerd over de ontwerpen van technische uitvoeringsnormen waarop deze verordening is gebaseerd, heeft de mogelijke kosten en baten ervan geanalyseerd en heeft het advies van de overeenkomstig artikel 37 van Verordening (EU) nr. 1093/2010 van het Europees Parlement en de Raad</w:t>
      </w:r>
      <w:r w:rsidR="009713B0" w:rsidRPr="00473EEE">
        <w:rPr>
          <w:rStyle w:val="FootnoteReference"/>
          <w:noProof/>
        </w:rPr>
        <w:footnoteReference w:id="4"/>
      </w:r>
      <w:r w:rsidR="009713B0" w:rsidRPr="00473EEE">
        <w:rPr>
          <w:noProof/>
        </w:rPr>
        <w:t xml:space="preserve"> opgerichte Stakeholdergroep bankwezen ingewonnen,</w:t>
      </w:r>
    </w:p>
    <w:p w:rsidR="009713B0" w:rsidRPr="00473EEE" w:rsidRDefault="009713B0" w:rsidP="009713B0">
      <w:pPr>
        <w:pStyle w:val="Formuledadoption"/>
        <w:rPr>
          <w:noProof/>
        </w:rPr>
      </w:pPr>
      <w:r w:rsidRPr="00473EEE">
        <w:rPr>
          <w:noProof/>
        </w:rPr>
        <w:t>HEEFT DE VOLGENDE VERORDENING VASTGESTELD:</w:t>
      </w:r>
    </w:p>
    <w:p w:rsidR="009713B0" w:rsidRPr="00473EEE" w:rsidRDefault="009713B0" w:rsidP="009713B0">
      <w:pPr>
        <w:pStyle w:val="Titrearticle"/>
        <w:rPr>
          <w:noProof/>
        </w:rPr>
      </w:pPr>
      <w:r w:rsidRPr="00473EEE">
        <w:rPr>
          <w:noProof/>
        </w:rPr>
        <w:t>Artikel 1</w:t>
      </w:r>
    </w:p>
    <w:p w:rsidR="009713B0" w:rsidRPr="00473EEE" w:rsidRDefault="009713B0" w:rsidP="009713B0">
      <w:pPr>
        <w:jc w:val="center"/>
        <w:rPr>
          <w:b/>
          <w:bCs/>
          <w:noProof/>
        </w:rPr>
      </w:pPr>
      <w:r w:rsidRPr="00473EEE">
        <w:rPr>
          <w:b/>
          <w:noProof/>
        </w:rPr>
        <w:t>Rapportage over de hoogte van kosten</w:t>
      </w:r>
    </w:p>
    <w:p w:rsidR="009713B0" w:rsidRPr="00473EEE" w:rsidRDefault="009713B0" w:rsidP="009713B0">
      <w:pPr>
        <w:pStyle w:val="Point0"/>
        <w:rPr>
          <w:noProof/>
        </w:rPr>
      </w:pPr>
      <w:r w:rsidRPr="00473EEE">
        <w:rPr>
          <w:noProof/>
        </w:rPr>
        <w:t>1.</w:t>
      </w:r>
      <w:r w:rsidRPr="00473EEE">
        <w:rPr>
          <w:noProof/>
        </w:rPr>
        <w:tab/>
        <w:t>Betaaldienstaanbieders rapporteren over de hoogte van kosten voor overmakingen, instantovermakingen en betaalrekeningen door de in de templates 1.1., 1.2, 2.1, 2.2 en 3 van bijlage I gespecificeerde informatie aan te leveren, overeenkomstig de instructies in bijlage II.</w:t>
      </w:r>
    </w:p>
    <w:p w:rsidR="009713B0" w:rsidRPr="00473EEE" w:rsidRDefault="009713B0" w:rsidP="009713B0">
      <w:pPr>
        <w:pStyle w:val="Point0"/>
        <w:rPr>
          <w:noProof/>
        </w:rPr>
      </w:pPr>
      <w:r w:rsidRPr="00473EEE">
        <w:rPr>
          <w:noProof/>
        </w:rPr>
        <w:t>2.</w:t>
      </w:r>
      <w:r w:rsidRPr="00473EEE">
        <w:rPr>
          <w:noProof/>
        </w:rPr>
        <w:tab/>
        <w:t>Betaaldienstaanbieders rapporteren de jaarlijkse geaggregeerde cijfers tot en met 31 december van het kalenderjaar voorafgaand aan het jaar waarin de rapportage wordt aangeleverd.</w:t>
      </w:r>
    </w:p>
    <w:p w:rsidR="009713B0" w:rsidRPr="00473EEE" w:rsidRDefault="009713B0" w:rsidP="009713B0">
      <w:pPr>
        <w:pStyle w:val="Point0"/>
        <w:rPr>
          <w:noProof/>
        </w:rPr>
      </w:pPr>
      <w:r w:rsidRPr="00473EEE">
        <w:rPr>
          <w:noProof/>
        </w:rPr>
        <w:t>3.</w:t>
      </w:r>
      <w:r w:rsidRPr="00473EEE">
        <w:rPr>
          <w:noProof/>
        </w:rPr>
        <w:tab/>
        <w:t>In afwijking van lid 2 bevat de eerste geharmoniseerde rapportage geaggregeerde cijfers voor elk jaar voorafgaand aan het jaar waarin de rapportage wordt aangeleverd, aanvangend met de periode van 26 oktober 2022 tot en met 31 december 2022, voor het jaar 2022.</w:t>
      </w:r>
    </w:p>
    <w:p w:rsidR="009713B0" w:rsidRPr="00473EEE" w:rsidRDefault="009713B0" w:rsidP="009713B0">
      <w:pPr>
        <w:pStyle w:val="Titrearticle"/>
        <w:rPr>
          <w:noProof/>
        </w:rPr>
      </w:pPr>
      <w:r w:rsidRPr="00473EEE">
        <w:rPr>
          <w:noProof/>
        </w:rPr>
        <w:t>Artikel 2</w:t>
      </w:r>
    </w:p>
    <w:p w:rsidR="009713B0" w:rsidRPr="00473EEE" w:rsidRDefault="009713B0" w:rsidP="009713B0">
      <w:pPr>
        <w:jc w:val="center"/>
        <w:rPr>
          <w:b/>
          <w:bCs/>
          <w:noProof/>
        </w:rPr>
      </w:pPr>
      <w:r w:rsidRPr="00473EEE">
        <w:rPr>
          <w:b/>
          <w:noProof/>
        </w:rPr>
        <w:t>Rapportage van het aandeel afgewezen instantovermakingstransacties en referentieperioden</w:t>
      </w:r>
    </w:p>
    <w:p w:rsidR="009713B0" w:rsidRPr="00473EEE" w:rsidRDefault="009713B0" w:rsidP="009713B0">
      <w:pPr>
        <w:pStyle w:val="Point0"/>
        <w:rPr>
          <w:noProof/>
        </w:rPr>
      </w:pPr>
      <w:r w:rsidRPr="00473EEE">
        <w:rPr>
          <w:noProof/>
        </w:rPr>
        <w:t>1.</w:t>
      </w:r>
      <w:r w:rsidRPr="00473EEE">
        <w:rPr>
          <w:noProof/>
        </w:rPr>
        <w:tab/>
        <w:t>Betaaldienstaanbieders rapporteren het aandeel instantovermakingstransacties dat is afgewezen als gevolg van gerichte financiële beperkende maatregelen, als bedoeld in artikel 15, lid 3, van Verordening (EU) nr. 260/2012, daaronder begrepen, afzonderlijke data voor binnenlandse en buitenlandse transacties, door de in template 4 van bijlage I gespecificeerde informatie aan te leveren, overeenkomstig de instructies in bijlage II.</w:t>
      </w:r>
    </w:p>
    <w:p w:rsidR="009713B0" w:rsidRPr="00473EEE" w:rsidRDefault="009713B0" w:rsidP="009713B0">
      <w:pPr>
        <w:pStyle w:val="Point0"/>
        <w:rPr>
          <w:noProof/>
        </w:rPr>
      </w:pPr>
      <w:r w:rsidRPr="00473EEE">
        <w:rPr>
          <w:noProof/>
        </w:rPr>
        <w:t>2.</w:t>
      </w:r>
      <w:r w:rsidRPr="00473EEE">
        <w:rPr>
          <w:noProof/>
        </w:rPr>
        <w:tab/>
        <w:t>De rapportages bevatten het aantal afwijzingen voor het kalenderjaar voorafgaand aan het jaar waarin de rapportage wordt aangeleverd.</w:t>
      </w:r>
    </w:p>
    <w:p w:rsidR="00AD7B15" w:rsidRPr="00473EEE" w:rsidRDefault="009713B0" w:rsidP="009713B0">
      <w:pPr>
        <w:pStyle w:val="Point0"/>
        <w:rPr>
          <w:noProof/>
        </w:rPr>
      </w:pPr>
      <w:r w:rsidRPr="00473EEE">
        <w:rPr>
          <w:noProof/>
        </w:rPr>
        <w:t>3.</w:t>
      </w:r>
      <w:r w:rsidRPr="00473EEE">
        <w:rPr>
          <w:noProof/>
        </w:rPr>
        <w:tab/>
        <w:t>In afwijking van lid 2 bevat de eerste geharmoniseerde rapportage de ingevulde templates met het aantal afwijzingen voor elk jaar voorafgaand aan het jaar waarin de rapportage wordt aangeleverd, aanvangend met de periode van 26 oktober 2022 tot en met 31 december 2022, voor het jaar 2022.</w:t>
      </w:r>
    </w:p>
    <w:p w:rsidR="00AD7B15" w:rsidRPr="00473EEE" w:rsidRDefault="00AD7B15">
      <w:pPr>
        <w:spacing w:before="0" w:after="200" w:line="276" w:lineRule="auto"/>
        <w:jc w:val="left"/>
        <w:rPr>
          <w:noProof/>
        </w:rPr>
      </w:pPr>
    </w:p>
    <w:p w:rsidR="009713B0" w:rsidRPr="00473EEE" w:rsidRDefault="009713B0" w:rsidP="009713B0">
      <w:pPr>
        <w:pStyle w:val="Titrearticle"/>
        <w:rPr>
          <w:noProof/>
        </w:rPr>
      </w:pPr>
      <w:r w:rsidRPr="00473EEE">
        <w:rPr>
          <w:noProof/>
        </w:rPr>
        <w:t>Artikel 3</w:t>
      </w:r>
    </w:p>
    <w:p w:rsidR="009713B0" w:rsidRPr="00473EEE" w:rsidRDefault="009713B0" w:rsidP="009713B0">
      <w:pPr>
        <w:jc w:val="center"/>
        <w:rPr>
          <w:b/>
          <w:bCs/>
          <w:noProof/>
        </w:rPr>
      </w:pPr>
      <w:r w:rsidRPr="00473EEE">
        <w:rPr>
          <w:b/>
          <w:noProof/>
        </w:rPr>
        <w:t>Formats voor data-uitwisseling en bij de aangeleverde data te voegen informatie</w:t>
      </w:r>
    </w:p>
    <w:p w:rsidR="009713B0" w:rsidRPr="00473EEE" w:rsidRDefault="009713B0" w:rsidP="009713B0">
      <w:pPr>
        <w:rPr>
          <w:noProof/>
        </w:rPr>
      </w:pPr>
      <w:r w:rsidRPr="00473EEE">
        <w:rPr>
          <w:noProof/>
        </w:rPr>
        <w:t>Betaaldienstaanbieders rapporteren de in de artikelen 1 en 2 van deze verordening bedoelde informatie in de door hun bevoegde autoriteiten gespecificeerde formats voor data-uitwisseling en datarepresentaties, met inachtneming van de definitie van datapunten van het datapuntenmodel en de validatieformules die op de EBA-website beschikbaar worden gesteld. Betaaldienstaanbieders houden zich aan de volgende specificaties:</w:t>
      </w:r>
    </w:p>
    <w:p w:rsidR="009713B0" w:rsidRPr="00473EEE" w:rsidRDefault="00441403" w:rsidP="00441403">
      <w:pPr>
        <w:pStyle w:val="Point0"/>
        <w:rPr>
          <w:noProof/>
        </w:rPr>
      </w:pPr>
      <w:r w:rsidRPr="00441403">
        <w:rPr>
          <w:noProof/>
        </w:rPr>
        <w:t>(a)</w:t>
      </w:r>
      <w:r w:rsidRPr="00441403">
        <w:rPr>
          <w:noProof/>
        </w:rPr>
        <w:tab/>
      </w:r>
      <w:r w:rsidR="009713B0" w:rsidRPr="00473EEE">
        <w:rPr>
          <w:noProof/>
        </w:rPr>
        <w:t>bij het aanleveren van data wordt niet-gevraagde of niet-toepasselijke informatie achterwege gelaten;</w:t>
      </w:r>
    </w:p>
    <w:p w:rsidR="009713B0" w:rsidRPr="00473EEE" w:rsidRDefault="00441403" w:rsidP="00441403">
      <w:pPr>
        <w:pStyle w:val="Point0"/>
        <w:rPr>
          <w:noProof/>
        </w:rPr>
      </w:pPr>
      <w:r w:rsidRPr="00441403">
        <w:rPr>
          <w:noProof/>
        </w:rPr>
        <w:t>(b)</w:t>
      </w:r>
      <w:r w:rsidRPr="00441403">
        <w:rPr>
          <w:noProof/>
        </w:rPr>
        <w:tab/>
      </w:r>
      <w:r w:rsidR="009713B0" w:rsidRPr="00473EEE">
        <w:rPr>
          <w:noProof/>
        </w:rPr>
        <w:t>numerieke waarden worden als volgt aangeleverd:</w:t>
      </w:r>
    </w:p>
    <w:p w:rsidR="009713B0" w:rsidRPr="00473EEE" w:rsidRDefault="0055071E" w:rsidP="009713B0">
      <w:pPr>
        <w:pStyle w:val="Point1"/>
        <w:rPr>
          <w:noProof/>
        </w:rPr>
      </w:pPr>
      <w:r w:rsidRPr="00473EEE">
        <w:rPr>
          <w:noProof/>
        </w:rPr>
        <w:t>i)</w:t>
      </w:r>
      <w:r w:rsidRPr="00473EEE">
        <w:rPr>
          <w:noProof/>
        </w:rPr>
        <w:tab/>
        <w:t>betaaldienstaanbieders rapporteren datapunten van het datatype “Monetair” met een nauwkeurigheid van minimaal duizendtallen;</w:t>
      </w:r>
    </w:p>
    <w:p w:rsidR="009713B0" w:rsidRPr="00473EEE" w:rsidRDefault="0055071E" w:rsidP="009713B0">
      <w:pPr>
        <w:pStyle w:val="Point1"/>
        <w:rPr>
          <w:noProof/>
        </w:rPr>
      </w:pPr>
      <w:r w:rsidRPr="00473EEE">
        <w:rPr>
          <w:noProof/>
        </w:rPr>
        <w:t>ii)</w:t>
      </w:r>
      <w:r w:rsidRPr="00473EEE">
        <w:rPr>
          <w:noProof/>
        </w:rPr>
        <w:tab/>
        <w:t>betaaldienstaanbieders gebruiken geen decimalen bij het rapporteren van datapunten van het datatype “Geheel getal” en rapporteren tot op de eenheid nauwkeurig.</w:t>
      </w:r>
    </w:p>
    <w:p w:rsidR="009713B0" w:rsidRPr="00473EEE" w:rsidRDefault="009713B0" w:rsidP="009713B0">
      <w:pPr>
        <w:pStyle w:val="Titrearticle"/>
        <w:rPr>
          <w:noProof/>
        </w:rPr>
      </w:pPr>
      <w:r w:rsidRPr="00473EEE">
        <w:rPr>
          <w:noProof/>
        </w:rPr>
        <w:t>Artikel 4</w:t>
      </w:r>
    </w:p>
    <w:p w:rsidR="009713B0" w:rsidRPr="00473EEE" w:rsidRDefault="009713B0" w:rsidP="009713B0">
      <w:pPr>
        <w:jc w:val="center"/>
        <w:rPr>
          <w:noProof/>
        </w:rPr>
      </w:pPr>
      <w:r w:rsidRPr="00473EEE">
        <w:rPr>
          <w:b/>
          <w:noProof/>
        </w:rPr>
        <w:t>Inwerkingtreding</w:t>
      </w:r>
    </w:p>
    <w:p w:rsidR="009713B0" w:rsidRPr="00473EEE" w:rsidRDefault="009713B0" w:rsidP="009713B0">
      <w:pPr>
        <w:rPr>
          <w:noProof/>
        </w:rPr>
      </w:pPr>
      <w:r w:rsidRPr="00473EEE">
        <w:rPr>
          <w:noProof/>
        </w:rPr>
        <w:t>Deze verordening treedt in werking op de twintigste dag na die van de bekendmaking ervan in het</w:t>
      </w:r>
      <w:r w:rsidRPr="00473EEE">
        <w:rPr>
          <w:i/>
          <w:noProof/>
        </w:rPr>
        <w:t xml:space="preserve"> Publicatieblad van de Europese Unie</w:t>
      </w:r>
      <w:r w:rsidRPr="00473EEE">
        <w:rPr>
          <w:noProof/>
        </w:rPr>
        <w:t>.</w:t>
      </w:r>
    </w:p>
    <w:p w:rsidR="009713B0" w:rsidRPr="00473EEE" w:rsidRDefault="009713B0" w:rsidP="009713B0">
      <w:pPr>
        <w:pStyle w:val="Applicationdirecte"/>
        <w:rPr>
          <w:noProof/>
        </w:rPr>
      </w:pPr>
      <w:r w:rsidRPr="00473EEE">
        <w:rPr>
          <w:noProof/>
        </w:rPr>
        <w:t>Deze verordening is verbindend in al haar onderdelen en is rechtstreeks toepasselijk in elke lidstaat.</w:t>
      </w:r>
    </w:p>
    <w:p w:rsidR="009713B0" w:rsidRPr="00473EEE" w:rsidRDefault="006E0011" w:rsidP="00226BC5">
      <w:pPr>
        <w:pStyle w:val="Fait"/>
        <w:rPr>
          <w:noProof/>
        </w:rPr>
      </w:pPr>
      <w:r>
        <w:rPr>
          <w:noProof/>
        </w:rPr>
        <w:t>Gedaan te Brussel, 1.10.2025</w:t>
      </w:r>
    </w:p>
    <w:p w:rsidR="009713B0" w:rsidRPr="00473EEE" w:rsidRDefault="009713B0" w:rsidP="00226BC5">
      <w:pPr>
        <w:pStyle w:val="Institutionquisigne"/>
        <w:rPr>
          <w:noProof/>
        </w:rPr>
      </w:pPr>
      <w:r w:rsidRPr="00473EEE">
        <w:rPr>
          <w:noProof/>
        </w:rPr>
        <w:tab/>
        <w:t>Voor de Commissie</w:t>
      </w:r>
    </w:p>
    <w:p w:rsidR="00FE7FED" w:rsidRPr="00473EEE" w:rsidRDefault="006174F4" w:rsidP="009713B0">
      <w:pPr>
        <w:pStyle w:val="Personnequisigne"/>
        <w:rPr>
          <w:noProof/>
        </w:rPr>
      </w:pPr>
      <w:r>
        <w:rPr>
          <w:noProof/>
        </w:rPr>
        <w:tab/>
        <w:t>De voorzitter</w:t>
      </w:r>
      <w:r>
        <w:rPr>
          <w:noProof/>
        </w:rPr>
        <w:br/>
      </w:r>
      <w:r>
        <w:rPr>
          <w:noProof/>
        </w:rPr>
        <w:tab/>
        <w:t>Ursula VON DER LEYEN</w:t>
      </w:r>
    </w:p>
    <w:sectPr w:rsidR="00FE7FED" w:rsidRPr="00473EEE" w:rsidSect="00D95323">
      <w:headerReference w:type="even" r:id="rId18"/>
      <w:footerReference w:type="even" r:id="rId19"/>
      <w:footerReference w:type="default" r:id="rId20"/>
      <w:headerReference w:type="first" r:id="rId21"/>
      <w:footerReference w:type="first" r:id="rId22"/>
      <w:pgSz w:w="11907" w:h="16839"/>
      <w:pgMar w:top="1134" w:right="1417" w:bottom="1134" w:left="141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73EBC" w:rsidRDefault="00973EBC" w:rsidP="00FE7FED">
      <w:pPr>
        <w:spacing w:before="0" w:after="0"/>
      </w:pPr>
      <w:r>
        <w:separator/>
      </w:r>
    </w:p>
  </w:endnote>
  <w:endnote w:type="continuationSeparator" w:id="0">
    <w:p w:rsidR="00973EBC" w:rsidRDefault="00973EBC" w:rsidP="00FE7FED">
      <w:pPr>
        <w:spacing w:before="0" w:after="0"/>
      </w:pPr>
      <w:r>
        <w:continuationSeparator/>
      </w:r>
    </w:p>
  </w:endnote>
  <w:endnote w:type="continuationNotice" w:id="1">
    <w:p w:rsidR="00973EBC" w:rsidRDefault="00973EBC">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Yu Gothic UI"/>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95323" w:rsidRPr="00D95323" w:rsidRDefault="00D95323" w:rsidP="00D95323">
    <w:pPr>
      <w:pStyle w:val="Footer"/>
      <w:rPr>
        <w:rFonts w:ascii="Arial" w:hAnsi="Arial" w:cs="Arial"/>
        <w:b/>
        <w:sz w:val="48"/>
      </w:rPr>
    </w:pPr>
    <w:r w:rsidRPr="00D95323">
      <w:rPr>
        <w:rFonts w:ascii="Arial" w:hAnsi="Arial" w:cs="Arial"/>
        <w:b/>
        <w:sz w:val="48"/>
      </w:rPr>
      <w:t>NL</w:t>
    </w:r>
    <w:r w:rsidRPr="00D95323">
      <w:rPr>
        <w:rFonts w:ascii="Arial" w:hAnsi="Arial" w:cs="Arial"/>
        <w:b/>
        <w:sz w:val="48"/>
      </w:rPr>
      <w:tab/>
    </w:r>
    <w:r w:rsidRPr="00D95323">
      <w:rPr>
        <w:rFonts w:ascii="Arial" w:hAnsi="Arial" w:cs="Arial"/>
        <w:b/>
        <w:sz w:val="48"/>
      </w:rPr>
      <w:tab/>
    </w:r>
    <w:r w:rsidRPr="00D95323">
      <w:tab/>
    </w:r>
    <w:r w:rsidRPr="00D95323">
      <w:rPr>
        <w:rFonts w:ascii="Arial" w:hAnsi="Arial" w:cs="Arial"/>
        <w:b/>
        <w:sz w:val="48"/>
      </w:rPr>
      <w:t>NL</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95323" w:rsidRPr="00D95323" w:rsidRDefault="00D95323" w:rsidP="00D95323">
    <w:pPr>
      <w:pStyle w:val="Footer"/>
      <w:rPr>
        <w:rFonts w:ascii="Arial" w:hAnsi="Arial" w:cs="Arial"/>
        <w:b/>
        <w:sz w:val="48"/>
      </w:rPr>
    </w:pPr>
    <w:r w:rsidRPr="00D95323">
      <w:rPr>
        <w:rFonts w:ascii="Arial" w:hAnsi="Arial" w:cs="Arial"/>
        <w:b/>
        <w:sz w:val="48"/>
      </w:rPr>
      <w:t>NL</w:t>
    </w:r>
    <w:r w:rsidRPr="00D95323">
      <w:rPr>
        <w:rFonts w:ascii="Arial" w:hAnsi="Arial" w:cs="Arial"/>
        <w:b/>
        <w:sz w:val="48"/>
      </w:rPr>
      <w:tab/>
    </w:r>
    <w:r w:rsidRPr="00D95323">
      <w:rPr>
        <w:rFonts w:ascii="Arial" w:hAnsi="Arial" w:cs="Arial"/>
        <w:b/>
        <w:sz w:val="48"/>
      </w:rPr>
      <w:tab/>
    </w:r>
    <w:r w:rsidRPr="00D95323">
      <w:tab/>
    </w:r>
    <w:r w:rsidRPr="00D95323">
      <w:rPr>
        <w:rFonts w:ascii="Arial" w:hAnsi="Arial" w:cs="Arial"/>
        <w:b/>
        <w:sz w:val="48"/>
      </w:rPr>
      <w:t>NL</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95323" w:rsidRPr="00D95323" w:rsidRDefault="00D95323" w:rsidP="00D95323">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95323" w:rsidRDefault="00D95323">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95323" w:rsidRPr="00D95323" w:rsidRDefault="00D95323" w:rsidP="00D95323">
    <w:pPr>
      <w:pStyle w:val="Footer"/>
      <w:rPr>
        <w:rFonts w:ascii="Arial" w:hAnsi="Arial" w:cs="Arial"/>
        <w:b/>
        <w:sz w:val="48"/>
      </w:rPr>
    </w:pPr>
    <w:r w:rsidRPr="00D95323">
      <w:rPr>
        <w:rFonts w:ascii="Arial" w:hAnsi="Arial" w:cs="Arial"/>
        <w:b/>
        <w:sz w:val="48"/>
      </w:rPr>
      <w:t>NL</w:t>
    </w:r>
    <w:r w:rsidRPr="00D95323">
      <w:rPr>
        <w:rFonts w:ascii="Arial" w:hAnsi="Arial" w:cs="Arial"/>
        <w:b/>
        <w:sz w:val="48"/>
      </w:rPr>
      <w:tab/>
    </w:r>
    <w:r>
      <w:fldChar w:fldCharType="begin"/>
    </w:r>
    <w:r>
      <w:instrText xml:space="preserve"> PAGE  \* MERGEFORMAT </w:instrText>
    </w:r>
    <w:r>
      <w:fldChar w:fldCharType="separate"/>
    </w:r>
    <w:r w:rsidR="00063FE4">
      <w:rPr>
        <w:noProof/>
      </w:rPr>
      <w:t>2</w:t>
    </w:r>
    <w:r>
      <w:fldChar w:fldCharType="end"/>
    </w:r>
    <w:r>
      <w:tab/>
    </w:r>
    <w:r w:rsidRPr="00D95323">
      <w:tab/>
    </w:r>
    <w:r w:rsidRPr="00D95323">
      <w:rPr>
        <w:rFonts w:ascii="Arial" w:hAnsi="Arial" w:cs="Arial"/>
        <w:b/>
        <w:sz w:val="48"/>
      </w:rPr>
      <w:t>NL</w:t>
    </w: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95323" w:rsidRDefault="00D95323" w:rsidP="00D9532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73EBC" w:rsidRDefault="00973EBC" w:rsidP="00FE7FED">
      <w:pPr>
        <w:spacing w:before="0" w:after="0"/>
      </w:pPr>
      <w:r>
        <w:separator/>
      </w:r>
    </w:p>
  </w:footnote>
  <w:footnote w:type="continuationSeparator" w:id="0">
    <w:p w:rsidR="00973EBC" w:rsidRDefault="00973EBC" w:rsidP="00FE7FED">
      <w:pPr>
        <w:spacing w:before="0" w:after="0"/>
      </w:pPr>
      <w:r>
        <w:continuationSeparator/>
      </w:r>
    </w:p>
  </w:footnote>
  <w:footnote w:type="continuationNotice" w:id="1">
    <w:p w:rsidR="00973EBC" w:rsidRDefault="00973EBC">
      <w:pPr>
        <w:spacing w:before="0" w:after="0"/>
      </w:pPr>
    </w:p>
  </w:footnote>
  <w:footnote w:id="2">
    <w:p w:rsidR="00A8350B" w:rsidRPr="00473EEE" w:rsidRDefault="00A8350B">
      <w:pPr>
        <w:pStyle w:val="FootnoteText"/>
      </w:pPr>
      <w:r>
        <w:rPr>
          <w:rStyle w:val="FootnoteReference"/>
        </w:rPr>
        <w:footnoteRef/>
      </w:r>
      <w:r w:rsidRPr="00473EEE">
        <w:tab/>
        <w:t xml:space="preserve">PB L 94 van 30.3.2012, blz. 22, ELI: http://data.europa.eu/eli/reg/2012/260/oj. </w:t>
      </w:r>
    </w:p>
  </w:footnote>
  <w:footnote w:id="3">
    <w:p w:rsidR="00AD7B15" w:rsidRPr="00473EEE" w:rsidRDefault="00AD7B15" w:rsidP="00473EEE">
      <w:pPr>
        <w:pStyle w:val="FootnoteText"/>
      </w:pPr>
      <w:r>
        <w:rPr>
          <w:rStyle w:val="FootnoteReference"/>
        </w:rPr>
        <w:footnoteRef/>
      </w:r>
      <w:r w:rsidRPr="00473EEE">
        <w:tab/>
        <w:t>Verordening (EU) 2024/886 van het Europees Parlement en de Raad van 13 maart 2024 tot wijziging van Verordeningen (EU) nr. 260/2012 en (EU) 2021/1230 en Richtlijnen 98/26/EG en (EU) 2015/2366 wat betreft instantovermakingen in euro’s (PB L, 2024/886, 19.3.2024, ELI: http://data.europa.eu/eli/reg/2024/886/oj).</w:t>
      </w:r>
    </w:p>
  </w:footnote>
  <w:footnote w:id="4">
    <w:p w:rsidR="009713B0" w:rsidRPr="00473EEE" w:rsidRDefault="009713B0" w:rsidP="009713B0">
      <w:pPr>
        <w:pStyle w:val="FootnoteText"/>
      </w:pPr>
      <w:r>
        <w:rPr>
          <w:rStyle w:val="FootnoteReference"/>
        </w:rPr>
        <w:footnoteRef/>
      </w:r>
      <w:r w:rsidRPr="00473EEE">
        <w:tab/>
        <w:t>Verordening (EU) nr. 1093/2010 van het Europees Parlement en de Raad van 24 november 2010 tot oprichting van een Europese toezichthoudende autoriteit (Europese Bankautoriteit), tot wijziging van Besluit nr. 716/2009/EG en tot intrekking van Besluit 2009/78/EG van de Commissie (PB L 331 van 15.12.2010, blz. 12, ELI: http://data.europa.eu/eli/reg/2010/1093/oj).</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95323" w:rsidRPr="00D95323" w:rsidRDefault="00D95323" w:rsidP="00D9532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95323" w:rsidRPr="00D95323" w:rsidRDefault="00D95323" w:rsidP="00D9532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95323" w:rsidRPr="00D95323" w:rsidRDefault="00D95323" w:rsidP="00D95323">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95323" w:rsidRDefault="00D95323">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95323" w:rsidRDefault="00D9532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F"/>
    <w:multiLevelType w:val="singleLevel"/>
    <w:tmpl w:val="F9DE80BA"/>
    <w:lvl w:ilvl="0">
      <w:start w:val="1"/>
      <w:numFmt w:val="decimal"/>
      <w:pStyle w:val="ListNumber2"/>
      <w:lvlText w:val="%1."/>
      <w:lvlJc w:val="left"/>
      <w:pPr>
        <w:tabs>
          <w:tab w:val="num" w:pos="643"/>
        </w:tabs>
        <w:ind w:left="643" w:hanging="360"/>
      </w:pPr>
    </w:lvl>
  </w:abstractNum>
  <w:abstractNum w:abstractNumId="1" w15:restartNumberingAfterBreak="0">
    <w:nsid w:val="FFFFFF81"/>
    <w:multiLevelType w:val="singleLevel"/>
    <w:tmpl w:val="16C0063C"/>
    <w:lvl w:ilvl="0">
      <w:start w:val="1"/>
      <w:numFmt w:val="bullet"/>
      <w:pStyle w:val="ListBullet4"/>
      <w:lvlText w:val=""/>
      <w:lvlJc w:val="left"/>
      <w:pPr>
        <w:tabs>
          <w:tab w:val="num" w:pos="1209"/>
        </w:tabs>
        <w:ind w:left="1209" w:hanging="360"/>
      </w:pPr>
      <w:rPr>
        <w:rFonts w:ascii="Symbol" w:hAnsi="Symbol" w:hint="default"/>
      </w:rPr>
    </w:lvl>
  </w:abstractNum>
  <w:abstractNum w:abstractNumId="2" w15:restartNumberingAfterBreak="0">
    <w:nsid w:val="FFFFFF82"/>
    <w:multiLevelType w:val="singleLevel"/>
    <w:tmpl w:val="7FDEC95E"/>
    <w:lvl w:ilvl="0">
      <w:start w:val="1"/>
      <w:numFmt w:val="bullet"/>
      <w:pStyle w:val="ListBullet3"/>
      <w:lvlText w:val=""/>
      <w:lvlJc w:val="left"/>
      <w:pPr>
        <w:tabs>
          <w:tab w:val="num" w:pos="926"/>
        </w:tabs>
        <w:ind w:left="926" w:hanging="360"/>
      </w:pPr>
      <w:rPr>
        <w:rFonts w:ascii="Symbol" w:hAnsi="Symbol" w:hint="default"/>
      </w:rPr>
    </w:lvl>
  </w:abstractNum>
  <w:abstractNum w:abstractNumId="3" w15:restartNumberingAfterBreak="0">
    <w:nsid w:val="FFFFFF83"/>
    <w:multiLevelType w:val="singleLevel"/>
    <w:tmpl w:val="36CE0050"/>
    <w:lvl w:ilvl="0">
      <w:start w:val="1"/>
      <w:numFmt w:val="bullet"/>
      <w:pStyle w:val="ListBullet2"/>
      <w:lvlText w:val=""/>
      <w:lvlJc w:val="left"/>
      <w:pPr>
        <w:tabs>
          <w:tab w:val="num" w:pos="643"/>
        </w:tabs>
        <w:ind w:left="643" w:hanging="360"/>
      </w:pPr>
      <w:rPr>
        <w:rFonts w:ascii="Symbol" w:hAnsi="Symbol" w:hint="default"/>
      </w:rPr>
    </w:lvl>
  </w:abstractNum>
  <w:abstractNum w:abstractNumId="4" w15:restartNumberingAfterBreak="0">
    <w:nsid w:val="FFFFFF89"/>
    <w:multiLevelType w:val="singleLevel"/>
    <w:tmpl w:val="7B7A921E"/>
    <w:lvl w:ilvl="0">
      <w:start w:val="1"/>
      <w:numFmt w:val="bullet"/>
      <w:pStyle w:val="ListBullet"/>
      <w:lvlText w:val=""/>
      <w:lvlJc w:val="left"/>
      <w:pPr>
        <w:tabs>
          <w:tab w:val="num" w:pos="360"/>
        </w:tabs>
        <w:ind w:left="360" w:hanging="360"/>
      </w:pPr>
      <w:rPr>
        <w:rFonts w:ascii="Symbol" w:hAnsi="Symbol" w:hint="default"/>
      </w:rPr>
    </w:lvl>
  </w:abstractNum>
  <w:abstractNum w:abstractNumId="5"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6"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decimal"/>
      <w:pStyle w:val="NumPar5"/>
      <w:lvlText w:val="%1.%2.%3.%4.%5."/>
      <w:lvlJc w:val="left"/>
      <w:pPr>
        <w:tabs>
          <w:tab w:val="num" w:pos="1417"/>
        </w:tabs>
        <w:ind w:left="1417" w:hanging="1417"/>
      </w:pPr>
    </w:lvl>
    <w:lvl w:ilvl="5">
      <w:start w:val="1"/>
      <w:numFmt w:val="decimal"/>
      <w:pStyle w:val="NumPar6"/>
      <w:lvlText w:val="%1.%2.%3.%4.%5.%6."/>
      <w:lvlJc w:val="left"/>
      <w:pPr>
        <w:tabs>
          <w:tab w:val="num" w:pos="1417"/>
        </w:tabs>
        <w:ind w:left="1417" w:hanging="1417"/>
      </w:pPr>
    </w:lvl>
    <w:lvl w:ilvl="6">
      <w:start w:val="1"/>
      <w:numFmt w:val="decimal"/>
      <w:pStyle w:val="NumPar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8" w15:restartNumberingAfterBreak="0">
    <w:nsid w:val="2CE9221F"/>
    <w:multiLevelType w:val="singleLevel"/>
    <w:tmpl w:val="9B4AFB48"/>
    <w:name w:val="Tiret 3"/>
    <w:lvl w:ilvl="0">
      <w:start w:val="1"/>
      <w:numFmt w:val="bullet"/>
      <w:lvlRestart w:val="0"/>
      <w:pStyle w:val="Tiret3"/>
      <w:lvlText w:val="–"/>
      <w:lvlJc w:val="left"/>
      <w:pPr>
        <w:tabs>
          <w:tab w:val="num" w:pos="2551"/>
        </w:tabs>
        <w:ind w:left="2551" w:hanging="567"/>
      </w:pPr>
    </w:lvl>
  </w:abstractNum>
  <w:abstractNum w:abstractNumId="9"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0" w15:restartNumberingAfterBreak="0">
    <w:nsid w:val="42FC0772"/>
    <w:multiLevelType w:val="singleLevel"/>
    <w:tmpl w:val="4128FCF8"/>
    <w:name w:val="Tiret 4"/>
    <w:lvl w:ilvl="0">
      <w:start w:val="1"/>
      <w:numFmt w:val="bullet"/>
      <w:lvlRestart w:val="0"/>
      <w:pStyle w:val="Tiret4"/>
      <w:lvlText w:val="–"/>
      <w:lvlJc w:val="left"/>
      <w:pPr>
        <w:tabs>
          <w:tab w:val="num" w:pos="3118"/>
        </w:tabs>
        <w:ind w:left="3118" w:hanging="567"/>
      </w:pPr>
    </w:lvl>
  </w:abstractNum>
  <w:abstractNum w:abstractNumId="11" w15:restartNumberingAfterBreak="0">
    <w:nsid w:val="42FC077D"/>
    <w:multiLevelType w:val="singleLevel"/>
    <w:tmpl w:val="4128FD03"/>
    <w:name w:val="Tiret 5"/>
    <w:lvl w:ilvl="0">
      <w:start w:val="1"/>
      <w:numFmt w:val="bullet"/>
      <w:lvlRestart w:val="0"/>
      <w:pStyle w:val="Tiret5"/>
      <w:lvlText w:val="–"/>
      <w:lvlJc w:val="left"/>
      <w:pPr>
        <w:tabs>
          <w:tab w:val="num" w:pos="3685"/>
        </w:tabs>
        <w:ind w:left="3685" w:hanging="567"/>
      </w:pPr>
    </w:lvl>
  </w:abstractNum>
  <w:abstractNum w:abstractNumId="12"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3"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14"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15"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16"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17" w15:restartNumberingAfterBreak="0">
    <w:nsid w:val="64A12FA4"/>
    <w:multiLevelType w:val="multilevel"/>
    <w:tmpl w:val="428ECF3E"/>
    <w:name w:val="Heading"/>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decimal"/>
      <w:pStyle w:val="Heading5"/>
      <w:lvlText w:val="%1.%2.%3.%4.%5."/>
      <w:lvlJc w:val="left"/>
      <w:pPr>
        <w:tabs>
          <w:tab w:val="num" w:pos="1417"/>
        </w:tabs>
        <w:ind w:left="1417" w:hanging="1417"/>
      </w:pPr>
    </w:lvl>
    <w:lvl w:ilvl="5">
      <w:start w:val="1"/>
      <w:numFmt w:val="decimal"/>
      <w:pStyle w:val="Heading6"/>
      <w:lvlText w:val="%1.%2.%3.%4.%5.%6."/>
      <w:lvlJc w:val="left"/>
      <w:pPr>
        <w:tabs>
          <w:tab w:val="num" w:pos="1417"/>
        </w:tabs>
        <w:ind w:left="1417" w:hanging="1417"/>
      </w:pPr>
    </w:lvl>
    <w:lvl w:ilvl="6">
      <w:start w:val="1"/>
      <w:numFmt w:val="decimal"/>
      <w:pStyle w:val="Heading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15:restartNumberingAfterBreak="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19"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abstractNumId w:val="4"/>
  </w:num>
  <w:num w:numId="2">
    <w:abstractNumId w:val="19"/>
    <w:lvlOverride w:ilvl="0">
      <w:startOverride w:val="1"/>
    </w:lvlOverride>
  </w:num>
  <w:num w:numId="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num>
  <w:num w:numId="5">
    <w:abstractNumId w:val="0"/>
  </w:num>
  <w:num w:numId="6">
    <w:abstractNumId w:val="2"/>
  </w:num>
  <w:num w:numId="7">
    <w:abstractNumId w:val="1"/>
  </w:num>
  <w:num w:numId="8">
    <w:abstractNumId w:val="16"/>
  </w:num>
  <w:num w:numId="9">
    <w:abstractNumId w:val="9"/>
  </w:num>
  <w:num w:numId="10">
    <w:abstractNumId w:val="18"/>
  </w:num>
  <w:num w:numId="11">
    <w:abstractNumId w:val="8"/>
  </w:num>
  <w:num w:numId="12">
    <w:abstractNumId w:val="10"/>
  </w:num>
  <w:num w:numId="13">
    <w:abstractNumId w:val="11"/>
  </w:num>
  <w:num w:numId="14">
    <w:abstractNumId w:val="6"/>
  </w:num>
  <w:num w:numId="15">
    <w:abstractNumId w:val="17"/>
  </w:num>
  <w:num w:numId="16">
    <w:abstractNumId w:val="5"/>
  </w:num>
  <w:num w:numId="17">
    <w:abstractNumId w:val="12"/>
  </w:num>
  <w:num w:numId="18">
    <w:abstractNumId w:val="14"/>
  </w:num>
  <w:num w:numId="19">
    <w:abstractNumId w:val="15"/>
  </w:num>
  <w:num w:numId="20">
    <w:abstractNumId w:val="7"/>
  </w:num>
  <w:num w:numId="21">
    <w:abstractNumId w:val="13"/>
  </w:num>
  <w:num w:numId="22">
    <w:abstractNumId w:val="19"/>
  </w:num>
  <w:num w:numId="23">
    <w:abstractNumId w:val="16"/>
  </w:num>
  <w:num w:numId="24">
    <w:abstractNumId w:val="9"/>
  </w:num>
  <w:num w:numId="25">
    <w:abstractNumId w:val="18"/>
  </w:num>
  <w:num w:numId="26">
    <w:abstractNumId w:val="8"/>
  </w:num>
  <w:num w:numId="27">
    <w:abstractNumId w:val="10"/>
  </w:num>
  <w:num w:numId="28">
    <w:abstractNumId w:val="11"/>
  </w:num>
  <w:num w:numId="29">
    <w:abstractNumId w:val="6"/>
  </w:num>
  <w:num w:numId="30">
    <w:abstractNumId w:val="17"/>
  </w:num>
  <w:num w:numId="31">
    <w:abstractNumId w:val="5"/>
  </w:num>
  <w:num w:numId="32">
    <w:abstractNumId w:val="12"/>
  </w:num>
  <w:num w:numId="33">
    <w:abstractNumId w:val="14"/>
  </w:num>
  <w:num w:numId="34">
    <w:abstractNumId w:val="15"/>
  </w:num>
  <w:num w:numId="35">
    <w:abstractNumId w:val="7"/>
  </w:num>
  <w:num w:numId="36">
    <w:abstractNumId w:val="13"/>
  </w:num>
  <w:num w:numId="37">
    <w:abstractNumId w:val="19"/>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hideSpellingErrors/>
  <w:hideGrammaticalErrors/>
  <w:attachedTemplate r:id="rId1"/>
  <w:revisionView w:markup="0"/>
  <w:defaultTabStop w:val="720"/>
  <w:hyphenationZone w:val="425"/>
  <w:characterSpacingControl w:val="doNotCompress"/>
  <w:hdrShapeDefaults>
    <o:shapedefaults v:ext="edit" spidmax="2051"/>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R_RefLast" w:val="0"/>
    <w:docVar w:name="DQCDateTime" w:val="2025-09-30 17:22:54"/>
    <w:docVar w:name="DQCResult_Distribution" w:val="0;0"/>
    <w:docVar w:name="DQCResult_DocumentContent" w:val="0;0"/>
    <w:docVar w:name="DQCResult_DocumentSize" w:val="0;0"/>
    <w:docVar w:name="DQCResult_InvalidFootnotes" w:val="0;0"/>
    <w:docVar w:name="DQCResult_ModifiedMarkers" w:val="0;0"/>
    <w:docVar w:name="DQCResult_ModifiedNumbering" w:val="0;0"/>
    <w:docVar w:name="DQCResult_Objects" w:val="0;0"/>
    <w:docVar w:name="DQCResult_StructureCheck" w:val="0;0"/>
    <w:docVar w:name="DQCStatus" w:val="Green"/>
    <w:docVar w:name="DQCVersion" w:val="3"/>
    <w:docVar w:name="DQCWithWarnings" w:val="0"/>
    <w:docVar w:name="LW_CORRIGENDUM" w:val="&lt;UNUSED&gt;"/>
    <w:docVar w:name="LW_COVERPAGE_EXISTS" w:val="True"/>
    <w:docVar w:name="LW_COVERPAGE_GUID" w:val="EAB2C055-7A32-4F4D-81E0-9D5A26739DB9"/>
    <w:docVar w:name="LW_COVERPAGE_TYPE" w:val="1"/>
    <w:docVar w:name="LW_CreatedUtc" w:val="2025-02-25T08:25:43.0388982Z"/>
    <w:docVar w:name="LW_CROSSREFERENCE" w:val="&lt;UNUSED&gt;"/>
    <w:docVar w:name="LW_DATE.ADOPT.CP" w:val="van 1.10.2025"/>
    <w:docVar w:name="LW_DATE.ADOPT.CP_DATEFORMAT" w:val="van %DATE%"/>
    <w:docVar w:name="LW_DATE.ADOPT.CP_ISODATE" w:val="2025-10-01"/>
    <w:docVar w:name="LW_DocType" w:val="COM"/>
    <w:docVar w:name="LW_EMISSION" w:val="1.10.2025"/>
    <w:docVar w:name="LW_EMISSION_ISODATE" w:val="2025-10-01"/>
    <w:docVar w:name="LW_EMISSION_LOCATION" w:val="BRX"/>
    <w:docVar w:name="LW_EMISSION_PREFIX" w:val="Brussel, "/>
    <w:docVar w:name="LW_EMISSION_SUFFIX" w:val=" "/>
    <w:docVar w:name="LW_ID_DOCMODEL" w:val="SJ-004"/>
    <w:docVar w:name="LW_ID_DOCSIGNATURE" w:val="SJ-004"/>
    <w:docVar w:name="LW_ID_DOCSTRUCTURE" w:val="COM/AA"/>
    <w:docVar w:name="LW_ID_DOCTYPE" w:val="SJ-004"/>
    <w:docVar w:name="LW_INTERETEEE.CP" w:val="&lt;UNUSED&gt;"/>
    <w:docVar w:name="LW_LANGUE" w:val="NL"/>
    <w:docVar w:name="LW_LANGUESFAISANTFOI.CP" w:val="&lt;UNUSED&gt;"/>
    <w:docVar w:name="LW_LEVEL_OF_SENSITIVITY" w:val="Standard treatment"/>
    <w:docVar w:name="LW_NOM.INST" w:val="EUROPESE COMMISSIE"/>
    <w:docVar w:name="LW_NOM.INST_JOINTDOC" w:val="&lt;EMPTY&gt;"/>
    <w:docVar w:name="LW_PART_NBR" w:val="1"/>
    <w:docVar w:name="LW_PART_NBR_TOTAL" w:val="1"/>
    <w:docVar w:name="LW_REF.INST.NEW" w:val="C"/>
    <w:docVar w:name="LW_REF.INST.NEW_ADOPTED" w:val="final"/>
    <w:docVar w:name="LW_REF.INST.NEW_TEXT" w:val="(2025) 6570"/>
    <w:docVar w:name="LW_REF.INTERNE" w:val="&lt;UNUSED&gt;"/>
    <w:docVar w:name="LW_SENSITIVITY" w:val="&lt;?xml version=&quot;1.0&quot; encoding=&quot;utf-8&quot;?&gt;_x000d__x000a_&lt;SensitivityLevel xmlns:xsd=&quot;http://www.w3.org/2001/XMLSchema&quot; xmlns:xsi=&quot;http://www.w3.org/2001/XMLSchema-instance&quot; id=&quot;standard&quot;&gt;_x000d__x000a_  &lt;nicename EN=&quot;Standard treatment&quot; FR=&quot;Traitement standard&quot; /&gt;_x000d__x000a_  &lt;documentProperty&gt;Standard treatment&lt;/documentProperty&gt;_x000d__x000a_  &lt;markingConfig isAvailable=&quot;false&quot; isMandatory=&quot;false&quot; sensitiveMarkingMandatory=&quot;false&quot; specialMarkingMandatory=&quot;true&quot; isOptionDisplayInHeaderAvailable=&quot;true&quot; sensitiveMarkingListSee=&quot;SensitiveMarkings&quot; specialMarkingListSee=&quot;SpecialMarkings&quot; sensitiveFootnoteTextSee=&quot;sensitiveFootnote&quot; specialFootnoteTextSee=&quot;specialFootnote&quot; /&gt;_x000d__x000a_  &lt;chosenMainMarking xsi:nil=&quot;true&quot; /&gt;_x000d__x000a_  &lt;dateMarking xsi:nil=&quot;true&quot; /&gt;_x000d__x000a_  &lt;releasableToConfig isAvailable=&quot;false&quot; institutionListSee=&quot;DefaultInstitutions&quot; /&gt;_x000d__x000a_  &lt;chosenReleasableTo xsi:nil=&quot;true&quot; /&gt;_x000d__x000a_  &lt;detached xsi:nil=&quot;true&quot; /&gt;_x000d__x000a_  &lt;declassify xsi:nil=&quot;true&quot; /&gt;_x000d__x000a_  &lt;headerTexts xsi:nil=&quot;true&quot; /&gt;_x000d__x000a_  &lt;footerTexts xsi:nil=&quot;true&quot; /&gt;_x000d__x000a_  &lt;isRestricted&gt;false&lt;/isRestricted&gt;_x000d__x000a_&lt;/SensitivityLevel&gt;"/>
    <w:docVar w:name="LW_SUPERTITRE" w:val="&lt;UNUSED&gt;"/>
    <w:docVar w:name="LW_TITRE.OBJ.CP" w:val="tot vaststelling van technische uitvoeringsnormen voor de toepassing van Verordening (EU) nr. 260/2012 van het Europees Parlement en de Raad wat betreft eenvormige rapportagetemplates, instructies en methode voor het rapporteren van de hoogte van kosten voor overmakingen, instantovermakingen en betaalrekeningen, en het aandeel afgewezen transacties"/>
    <w:docVar w:name="LW_TYPE.DOC.CP" w:val="UITVOERINGSVERORDENING (EU) \u8230?/... VAN DE COMMISSIE"/>
    <w:docVar w:name="LwApiVersions" w:val="LW4CoDe 1.24.5.0; LW 9.0, Build 20240221"/>
  </w:docVars>
  <w:rsids>
    <w:rsidRoot w:val="00FE7FED"/>
    <w:rsid w:val="00001BC7"/>
    <w:rsid w:val="000066ED"/>
    <w:rsid w:val="000068B4"/>
    <w:rsid w:val="000079A5"/>
    <w:rsid w:val="00014C12"/>
    <w:rsid w:val="00016168"/>
    <w:rsid w:val="00025818"/>
    <w:rsid w:val="0002592C"/>
    <w:rsid w:val="0002598B"/>
    <w:rsid w:val="00033F48"/>
    <w:rsid w:val="000373AB"/>
    <w:rsid w:val="000421B5"/>
    <w:rsid w:val="00042488"/>
    <w:rsid w:val="0004347B"/>
    <w:rsid w:val="00047478"/>
    <w:rsid w:val="000504E3"/>
    <w:rsid w:val="00063FE4"/>
    <w:rsid w:val="0006406A"/>
    <w:rsid w:val="000642D0"/>
    <w:rsid w:val="00072E61"/>
    <w:rsid w:val="000744DD"/>
    <w:rsid w:val="00075170"/>
    <w:rsid w:val="000758A1"/>
    <w:rsid w:val="000768B7"/>
    <w:rsid w:val="0008161A"/>
    <w:rsid w:val="0008224E"/>
    <w:rsid w:val="000847C4"/>
    <w:rsid w:val="00096BAD"/>
    <w:rsid w:val="000A4172"/>
    <w:rsid w:val="000A41FC"/>
    <w:rsid w:val="000A4298"/>
    <w:rsid w:val="000A454E"/>
    <w:rsid w:val="000B2C1B"/>
    <w:rsid w:val="000B7C50"/>
    <w:rsid w:val="000C0B38"/>
    <w:rsid w:val="000C387D"/>
    <w:rsid w:val="000C449F"/>
    <w:rsid w:val="000C4F0E"/>
    <w:rsid w:val="000D043A"/>
    <w:rsid w:val="000D1771"/>
    <w:rsid w:val="000D391D"/>
    <w:rsid w:val="000D5A8B"/>
    <w:rsid w:val="000D6822"/>
    <w:rsid w:val="000E08FA"/>
    <w:rsid w:val="000E15A7"/>
    <w:rsid w:val="000E50E2"/>
    <w:rsid w:val="000E7CB2"/>
    <w:rsid w:val="000F0AA0"/>
    <w:rsid w:val="000F26D8"/>
    <w:rsid w:val="000F4AF6"/>
    <w:rsid w:val="001030E9"/>
    <w:rsid w:val="00104199"/>
    <w:rsid w:val="001065F5"/>
    <w:rsid w:val="001066B5"/>
    <w:rsid w:val="0010750E"/>
    <w:rsid w:val="00114B61"/>
    <w:rsid w:val="0011705A"/>
    <w:rsid w:val="00117E87"/>
    <w:rsid w:val="001238EF"/>
    <w:rsid w:val="00123A96"/>
    <w:rsid w:val="00124229"/>
    <w:rsid w:val="001254D0"/>
    <w:rsid w:val="00126A52"/>
    <w:rsid w:val="001309E5"/>
    <w:rsid w:val="00130A11"/>
    <w:rsid w:val="0013354A"/>
    <w:rsid w:val="00136075"/>
    <w:rsid w:val="00140C92"/>
    <w:rsid w:val="00141111"/>
    <w:rsid w:val="00141C39"/>
    <w:rsid w:val="00142A94"/>
    <w:rsid w:val="00143368"/>
    <w:rsid w:val="0014583F"/>
    <w:rsid w:val="00145DAF"/>
    <w:rsid w:val="001475E9"/>
    <w:rsid w:val="00150298"/>
    <w:rsid w:val="001519B1"/>
    <w:rsid w:val="00152432"/>
    <w:rsid w:val="00153975"/>
    <w:rsid w:val="00153E27"/>
    <w:rsid w:val="0015449C"/>
    <w:rsid w:val="00154745"/>
    <w:rsid w:val="00154E88"/>
    <w:rsid w:val="00154ED4"/>
    <w:rsid w:val="00155F1D"/>
    <w:rsid w:val="00156590"/>
    <w:rsid w:val="00160FDD"/>
    <w:rsid w:val="00162F28"/>
    <w:rsid w:val="0016376B"/>
    <w:rsid w:val="0016398E"/>
    <w:rsid w:val="00171733"/>
    <w:rsid w:val="001721CC"/>
    <w:rsid w:val="00180D6D"/>
    <w:rsid w:val="001840A1"/>
    <w:rsid w:val="001913B0"/>
    <w:rsid w:val="00191CEA"/>
    <w:rsid w:val="00197613"/>
    <w:rsid w:val="001A1FA1"/>
    <w:rsid w:val="001A5381"/>
    <w:rsid w:val="001A6744"/>
    <w:rsid w:val="001A7B61"/>
    <w:rsid w:val="001B081E"/>
    <w:rsid w:val="001C0071"/>
    <w:rsid w:val="001C0950"/>
    <w:rsid w:val="001C3C75"/>
    <w:rsid w:val="001C6408"/>
    <w:rsid w:val="001C7C6B"/>
    <w:rsid w:val="001D08D6"/>
    <w:rsid w:val="001D6BB7"/>
    <w:rsid w:val="001E0062"/>
    <w:rsid w:val="001F78E3"/>
    <w:rsid w:val="00202665"/>
    <w:rsid w:val="00203CF1"/>
    <w:rsid w:val="002102D8"/>
    <w:rsid w:val="00210337"/>
    <w:rsid w:val="00215208"/>
    <w:rsid w:val="002174F2"/>
    <w:rsid w:val="00220F9F"/>
    <w:rsid w:val="00226BC5"/>
    <w:rsid w:val="0022745F"/>
    <w:rsid w:val="00227D76"/>
    <w:rsid w:val="00230E4C"/>
    <w:rsid w:val="00232FDF"/>
    <w:rsid w:val="002339C3"/>
    <w:rsid w:val="00233DC7"/>
    <w:rsid w:val="0023679A"/>
    <w:rsid w:val="00240C3D"/>
    <w:rsid w:val="00244629"/>
    <w:rsid w:val="002464E8"/>
    <w:rsid w:val="00247779"/>
    <w:rsid w:val="00251C02"/>
    <w:rsid w:val="00251D78"/>
    <w:rsid w:val="002537B3"/>
    <w:rsid w:val="00253A7F"/>
    <w:rsid w:val="00255D10"/>
    <w:rsid w:val="00260F3C"/>
    <w:rsid w:val="002614D0"/>
    <w:rsid w:val="002619F9"/>
    <w:rsid w:val="00262DE1"/>
    <w:rsid w:val="00270578"/>
    <w:rsid w:val="00281B09"/>
    <w:rsid w:val="00285BEE"/>
    <w:rsid w:val="00287FAC"/>
    <w:rsid w:val="00290DAB"/>
    <w:rsid w:val="00293F82"/>
    <w:rsid w:val="0029533F"/>
    <w:rsid w:val="002A2EE8"/>
    <w:rsid w:val="002A5779"/>
    <w:rsid w:val="002A5E80"/>
    <w:rsid w:val="002B1522"/>
    <w:rsid w:val="002B30AF"/>
    <w:rsid w:val="002B4662"/>
    <w:rsid w:val="002C0286"/>
    <w:rsid w:val="002C10B5"/>
    <w:rsid w:val="002C1A4F"/>
    <w:rsid w:val="002C5B13"/>
    <w:rsid w:val="002D2CC4"/>
    <w:rsid w:val="002D3A91"/>
    <w:rsid w:val="002D6964"/>
    <w:rsid w:val="002E15CA"/>
    <w:rsid w:val="002E2315"/>
    <w:rsid w:val="002E3165"/>
    <w:rsid w:val="002E53A7"/>
    <w:rsid w:val="002F1C71"/>
    <w:rsid w:val="002F1EE7"/>
    <w:rsid w:val="002F4C83"/>
    <w:rsid w:val="00303696"/>
    <w:rsid w:val="00311576"/>
    <w:rsid w:val="003119D5"/>
    <w:rsid w:val="00311E05"/>
    <w:rsid w:val="00316FD9"/>
    <w:rsid w:val="003213CE"/>
    <w:rsid w:val="003253A9"/>
    <w:rsid w:val="0033033C"/>
    <w:rsid w:val="00331F2E"/>
    <w:rsid w:val="003327E2"/>
    <w:rsid w:val="0033344A"/>
    <w:rsid w:val="00333E44"/>
    <w:rsid w:val="003429AC"/>
    <w:rsid w:val="00342B4F"/>
    <w:rsid w:val="003444B9"/>
    <w:rsid w:val="00345DA0"/>
    <w:rsid w:val="00350A45"/>
    <w:rsid w:val="003525DD"/>
    <w:rsid w:val="00352F0E"/>
    <w:rsid w:val="00354C7E"/>
    <w:rsid w:val="00356ADE"/>
    <w:rsid w:val="00361593"/>
    <w:rsid w:val="00361846"/>
    <w:rsid w:val="003657C0"/>
    <w:rsid w:val="00365DE4"/>
    <w:rsid w:val="00374796"/>
    <w:rsid w:val="003803FC"/>
    <w:rsid w:val="00380DD8"/>
    <w:rsid w:val="00383FF9"/>
    <w:rsid w:val="00385766"/>
    <w:rsid w:val="00386A30"/>
    <w:rsid w:val="003904C2"/>
    <w:rsid w:val="00395A2F"/>
    <w:rsid w:val="0039723A"/>
    <w:rsid w:val="003975E5"/>
    <w:rsid w:val="003A0056"/>
    <w:rsid w:val="003A5115"/>
    <w:rsid w:val="003B549F"/>
    <w:rsid w:val="003B57CD"/>
    <w:rsid w:val="003B5A1D"/>
    <w:rsid w:val="003B7CFF"/>
    <w:rsid w:val="003C1B52"/>
    <w:rsid w:val="003C33CB"/>
    <w:rsid w:val="003C4CAE"/>
    <w:rsid w:val="003D371C"/>
    <w:rsid w:val="003D73DF"/>
    <w:rsid w:val="003E167C"/>
    <w:rsid w:val="003E4FA2"/>
    <w:rsid w:val="003E5CF0"/>
    <w:rsid w:val="003F018F"/>
    <w:rsid w:val="003F0EC5"/>
    <w:rsid w:val="003F1E03"/>
    <w:rsid w:val="004019E8"/>
    <w:rsid w:val="00403029"/>
    <w:rsid w:val="00404769"/>
    <w:rsid w:val="00404CFA"/>
    <w:rsid w:val="00405044"/>
    <w:rsid w:val="00411FBF"/>
    <w:rsid w:val="00412F99"/>
    <w:rsid w:val="00412FDD"/>
    <w:rsid w:val="00415B42"/>
    <w:rsid w:val="004163A8"/>
    <w:rsid w:val="00421245"/>
    <w:rsid w:val="0042648E"/>
    <w:rsid w:val="00427029"/>
    <w:rsid w:val="00427E22"/>
    <w:rsid w:val="00431B0E"/>
    <w:rsid w:val="00432F41"/>
    <w:rsid w:val="0043372F"/>
    <w:rsid w:val="0043517C"/>
    <w:rsid w:val="00441403"/>
    <w:rsid w:val="004425F3"/>
    <w:rsid w:val="004442AF"/>
    <w:rsid w:val="00444B3C"/>
    <w:rsid w:val="0045254B"/>
    <w:rsid w:val="00452C9A"/>
    <w:rsid w:val="00455F8A"/>
    <w:rsid w:val="00460097"/>
    <w:rsid w:val="00461F43"/>
    <w:rsid w:val="00462A07"/>
    <w:rsid w:val="00463137"/>
    <w:rsid w:val="00464680"/>
    <w:rsid w:val="00466E33"/>
    <w:rsid w:val="0047014B"/>
    <w:rsid w:val="004711D5"/>
    <w:rsid w:val="00472FD8"/>
    <w:rsid w:val="00473EEE"/>
    <w:rsid w:val="00477A35"/>
    <w:rsid w:val="00477CD9"/>
    <w:rsid w:val="00481E97"/>
    <w:rsid w:val="004822DC"/>
    <w:rsid w:val="004853C6"/>
    <w:rsid w:val="004868D0"/>
    <w:rsid w:val="004871A7"/>
    <w:rsid w:val="004901D3"/>
    <w:rsid w:val="004936D2"/>
    <w:rsid w:val="00497ECB"/>
    <w:rsid w:val="004A4894"/>
    <w:rsid w:val="004A7134"/>
    <w:rsid w:val="004B03D1"/>
    <w:rsid w:val="004B2FFA"/>
    <w:rsid w:val="004C15AA"/>
    <w:rsid w:val="004C5916"/>
    <w:rsid w:val="004C60B0"/>
    <w:rsid w:val="004C635B"/>
    <w:rsid w:val="004C79F1"/>
    <w:rsid w:val="004C7E12"/>
    <w:rsid w:val="004D084C"/>
    <w:rsid w:val="004D4226"/>
    <w:rsid w:val="004E047A"/>
    <w:rsid w:val="004E1BAA"/>
    <w:rsid w:val="004E2937"/>
    <w:rsid w:val="004E572C"/>
    <w:rsid w:val="004E7796"/>
    <w:rsid w:val="004F15B9"/>
    <w:rsid w:val="00501867"/>
    <w:rsid w:val="005032B5"/>
    <w:rsid w:val="0050376F"/>
    <w:rsid w:val="00503AAA"/>
    <w:rsid w:val="00507BC8"/>
    <w:rsid w:val="00520EC8"/>
    <w:rsid w:val="00523CF7"/>
    <w:rsid w:val="0052515F"/>
    <w:rsid w:val="005261A7"/>
    <w:rsid w:val="00530551"/>
    <w:rsid w:val="00531AAF"/>
    <w:rsid w:val="00532147"/>
    <w:rsid w:val="005330E9"/>
    <w:rsid w:val="005347DC"/>
    <w:rsid w:val="00535135"/>
    <w:rsid w:val="00536042"/>
    <w:rsid w:val="005423FA"/>
    <w:rsid w:val="00542EE6"/>
    <w:rsid w:val="005432C7"/>
    <w:rsid w:val="005450B1"/>
    <w:rsid w:val="0055071E"/>
    <w:rsid w:val="00551113"/>
    <w:rsid w:val="00551319"/>
    <w:rsid w:val="0056023D"/>
    <w:rsid w:val="00561BB5"/>
    <w:rsid w:val="00561C47"/>
    <w:rsid w:val="00561ED7"/>
    <w:rsid w:val="00564B4F"/>
    <w:rsid w:val="00565BEF"/>
    <w:rsid w:val="00566B29"/>
    <w:rsid w:val="00566E44"/>
    <w:rsid w:val="00570ADD"/>
    <w:rsid w:val="00570C41"/>
    <w:rsid w:val="00571DF5"/>
    <w:rsid w:val="00574D2C"/>
    <w:rsid w:val="00576696"/>
    <w:rsid w:val="00582116"/>
    <w:rsid w:val="00596FA4"/>
    <w:rsid w:val="005A206D"/>
    <w:rsid w:val="005A31F7"/>
    <w:rsid w:val="005A5967"/>
    <w:rsid w:val="005B1EB6"/>
    <w:rsid w:val="005B4B70"/>
    <w:rsid w:val="005B5F79"/>
    <w:rsid w:val="005C1F32"/>
    <w:rsid w:val="005C23A8"/>
    <w:rsid w:val="005C2C67"/>
    <w:rsid w:val="005C58BF"/>
    <w:rsid w:val="005C5BEE"/>
    <w:rsid w:val="005D090B"/>
    <w:rsid w:val="005D2EB4"/>
    <w:rsid w:val="005D4C37"/>
    <w:rsid w:val="005D67F4"/>
    <w:rsid w:val="005E141A"/>
    <w:rsid w:val="00602DFC"/>
    <w:rsid w:val="006033A9"/>
    <w:rsid w:val="00604C25"/>
    <w:rsid w:val="0060533B"/>
    <w:rsid w:val="0060742C"/>
    <w:rsid w:val="00612113"/>
    <w:rsid w:val="006158F4"/>
    <w:rsid w:val="006162FE"/>
    <w:rsid w:val="006174F4"/>
    <w:rsid w:val="00620589"/>
    <w:rsid w:val="00626B53"/>
    <w:rsid w:val="00626E74"/>
    <w:rsid w:val="006307D8"/>
    <w:rsid w:val="00632C82"/>
    <w:rsid w:val="00633C43"/>
    <w:rsid w:val="00637401"/>
    <w:rsid w:val="00637578"/>
    <w:rsid w:val="00637A53"/>
    <w:rsid w:val="00642ABC"/>
    <w:rsid w:val="006443C4"/>
    <w:rsid w:val="0064496B"/>
    <w:rsid w:val="00645810"/>
    <w:rsid w:val="00653EFF"/>
    <w:rsid w:val="006563C0"/>
    <w:rsid w:val="00670C78"/>
    <w:rsid w:val="00672EFA"/>
    <w:rsid w:val="00674252"/>
    <w:rsid w:val="00674AAE"/>
    <w:rsid w:val="00676C8D"/>
    <w:rsid w:val="0067704C"/>
    <w:rsid w:val="00677FED"/>
    <w:rsid w:val="00682595"/>
    <w:rsid w:val="0068377C"/>
    <w:rsid w:val="00684931"/>
    <w:rsid w:val="00686892"/>
    <w:rsid w:val="0069142A"/>
    <w:rsid w:val="006914F4"/>
    <w:rsid w:val="00691552"/>
    <w:rsid w:val="0069173A"/>
    <w:rsid w:val="0069225A"/>
    <w:rsid w:val="00692762"/>
    <w:rsid w:val="00694295"/>
    <w:rsid w:val="0069517A"/>
    <w:rsid w:val="006960A4"/>
    <w:rsid w:val="006A2582"/>
    <w:rsid w:val="006A3625"/>
    <w:rsid w:val="006A44B8"/>
    <w:rsid w:val="006A6123"/>
    <w:rsid w:val="006A74A3"/>
    <w:rsid w:val="006B0215"/>
    <w:rsid w:val="006B62A8"/>
    <w:rsid w:val="006B7EB5"/>
    <w:rsid w:val="006C06F3"/>
    <w:rsid w:val="006C4B71"/>
    <w:rsid w:val="006E0011"/>
    <w:rsid w:val="006E28FD"/>
    <w:rsid w:val="006E39FA"/>
    <w:rsid w:val="006E5C4A"/>
    <w:rsid w:val="006E64E5"/>
    <w:rsid w:val="006E6B2D"/>
    <w:rsid w:val="006E78FA"/>
    <w:rsid w:val="006E7992"/>
    <w:rsid w:val="006E7F11"/>
    <w:rsid w:val="006F0053"/>
    <w:rsid w:val="006F089E"/>
    <w:rsid w:val="006F0FDC"/>
    <w:rsid w:val="006F68C4"/>
    <w:rsid w:val="006F7400"/>
    <w:rsid w:val="00700210"/>
    <w:rsid w:val="00706DDD"/>
    <w:rsid w:val="00706E59"/>
    <w:rsid w:val="0071264F"/>
    <w:rsid w:val="007147E3"/>
    <w:rsid w:val="00720C74"/>
    <w:rsid w:val="00722EF3"/>
    <w:rsid w:val="00724289"/>
    <w:rsid w:val="00726798"/>
    <w:rsid w:val="00726A58"/>
    <w:rsid w:val="00727E53"/>
    <w:rsid w:val="00734A8B"/>
    <w:rsid w:val="00734D8A"/>
    <w:rsid w:val="00735833"/>
    <w:rsid w:val="00736120"/>
    <w:rsid w:val="00737F09"/>
    <w:rsid w:val="007406AE"/>
    <w:rsid w:val="00743ADA"/>
    <w:rsid w:val="00743E70"/>
    <w:rsid w:val="00745A56"/>
    <w:rsid w:val="007464B1"/>
    <w:rsid w:val="00750F39"/>
    <w:rsid w:val="00752C41"/>
    <w:rsid w:val="00755584"/>
    <w:rsid w:val="0075651E"/>
    <w:rsid w:val="007605D9"/>
    <w:rsid w:val="00761345"/>
    <w:rsid w:val="00764A2C"/>
    <w:rsid w:val="00770A0E"/>
    <w:rsid w:val="00770C5B"/>
    <w:rsid w:val="00773331"/>
    <w:rsid w:val="00774B57"/>
    <w:rsid w:val="007809A1"/>
    <w:rsid w:val="00780FEA"/>
    <w:rsid w:val="007836A8"/>
    <w:rsid w:val="00787878"/>
    <w:rsid w:val="00792105"/>
    <w:rsid w:val="007932EF"/>
    <w:rsid w:val="007951B8"/>
    <w:rsid w:val="007A16D3"/>
    <w:rsid w:val="007A4891"/>
    <w:rsid w:val="007B1166"/>
    <w:rsid w:val="007B118F"/>
    <w:rsid w:val="007B5227"/>
    <w:rsid w:val="007C059D"/>
    <w:rsid w:val="007C17A2"/>
    <w:rsid w:val="007C470E"/>
    <w:rsid w:val="007C493D"/>
    <w:rsid w:val="007D150D"/>
    <w:rsid w:val="007D3B08"/>
    <w:rsid w:val="007D4717"/>
    <w:rsid w:val="007D6756"/>
    <w:rsid w:val="007E05B0"/>
    <w:rsid w:val="007E601F"/>
    <w:rsid w:val="007E6EFD"/>
    <w:rsid w:val="007E71CE"/>
    <w:rsid w:val="007E7C74"/>
    <w:rsid w:val="007F104A"/>
    <w:rsid w:val="007F46F0"/>
    <w:rsid w:val="007F4E83"/>
    <w:rsid w:val="007F4F35"/>
    <w:rsid w:val="00801E87"/>
    <w:rsid w:val="00802964"/>
    <w:rsid w:val="00804319"/>
    <w:rsid w:val="00805CF7"/>
    <w:rsid w:val="00805ED6"/>
    <w:rsid w:val="00806337"/>
    <w:rsid w:val="00807467"/>
    <w:rsid w:val="008101A8"/>
    <w:rsid w:val="0081488B"/>
    <w:rsid w:val="00816042"/>
    <w:rsid w:val="00816AFC"/>
    <w:rsid w:val="00817CF7"/>
    <w:rsid w:val="008231E0"/>
    <w:rsid w:val="00827C4D"/>
    <w:rsid w:val="00827C93"/>
    <w:rsid w:val="0083038A"/>
    <w:rsid w:val="0083128A"/>
    <w:rsid w:val="0083272F"/>
    <w:rsid w:val="00835D9A"/>
    <w:rsid w:val="0083730D"/>
    <w:rsid w:val="00840128"/>
    <w:rsid w:val="008413EA"/>
    <w:rsid w:val="00841AE1"/>
    <w:rsid w:val="00847508"/>
    <w:rsid w:val="008525C0"/>
    <w:rsid w:val="008553FF"/>
    <w:rsid w:val="00865668"/>
    <w:rsid w:val="00865D84"/>
    <w:rsid w:val="008664F6"/>
    <w:rsid w:val="0087059E"/>
    <w:rsid w:val="00874D22"/>
    <w:rsid w:val="00877882"/>
    <w:rsid w:val="00880425"/>
    <w:rsid w:val="00881518"/>
    <w:rsid w:val="0088282D"/>
    <w:rsid w:val="00883037"/>
    <w:rsid w:val="008836F9"/>
    <w:rsid w:val="00886942"/>
    <w:rsid w:val="00887571"/>
    <w:rsid w:val="00890216"/>
    <w:rsid w:val="00890246"/>
    <w:rsid w:val="00891706"/>
    <w:rsid w:val="00893DA7"/>
    <w:rsid w:val="008A2914"/>
    <w:rsid w:val="008B0DB8"/>
    <w:rsid w:val="008B192D"/>
    <w:rsid w:val="008B6C23"/>
    <w:rsid w:val="008C0AC8"/>
    <w:rsid w:val="008C258F"/>
    <w:rsid w:val="008C29E2"/>
    <w:rsid w:val="008C2B35"/>
    <w:rsid w:val="008C386A"/>
    <w:rsid w:val="008C4818"/>
    <w:rsid w:val="008C486C"/>
    <w:rsid w:val="008C4B71"/>
    <w:rsid w:val="008C5385"/>
    <w:rsid w:val="008C6C71"/>
    <w:rsid w:val="008C7227"/>
    <w:rsid w:val="008D2B36"/>
    <w:rsid w:val="008D2E1C"/>
    <w:rsid w:val="008D68E8"/>
    <w:rsid w:val="008E0C3A"/>
    <w:rsid w:val="008E17A3"/>
    <w:rsid w:val="008E1A3A"/>
    <w:rsid w:val="008E4D8E"/>
    <w:rsid w:val="008E4DD2"/>
    <w:rsid w:val="008E5C8A"/>
    <w:rsid w:val="008E6BEE"/>
    <w:rsid w:val="008F0117"/>
    <w:rsid w:val="008F0F5E"/>
    <w:rsid w:val="008F5762"/>
    <w:rsid w:val="00900DD3"/>
    <w:rsid w:val="009013F8"/>
    <w:rsid w:val="00911C72"/>
    <w:rsid w:val="00912850"/>
    <w:rsid w:val="00914C54"/>
    <w:rsid w:val="0091508E"/>
    <w:rsid w:val="00915816"/>
    <w:rsid w:val="00917E85"/>
    <w:rsid w:val="009203A5"/>
    <w:rsid w:val="00925CEE"/>
    <w:rsid w:val="00930421"/>
    <w:rsid w:val="00930648"/>
    <w:rsid w:val="00933431"/>
    <w:rsid w:val="00936D2B"/>
    <w:rsid w:val="0094211A"/>
    <w:rsid w:val="00944EE3"/>
    <w:rsid w:val="0094607C"/>
    <w:rsid w:val="00947057"/>
    <w:rsid w:val="00951211"/>
    <w:rsid w:val="00952943"/>
    <w:rsid w:val="009537E1"/>
    <w:rsid w:val="00953813"/>
    <w:rsid w:val="00954A2A"/>
    <w:rsid w:val="00957327"/>
    <w:rsid w:val="00957789"/>
    <w:rsid w:val="00960C4B"/>
    <w:rsid w:val="009638BD"/>
    <w:rsid w:val="0096627D"/>
    <w:rsid w:val="009664CD"/>
    <w:rsid w:val="009713B0"/>
    <w:rsid w:val="00971653"/>
    <w:rsid w:val="009724F4"/>
    <w:rsid w:val="00973EBC"/>
    <w:rsid w:val="00976DB6"/>
    <w:rsid w:val="00980990"/>
    <w:rsid w:val="0098199B"/>
    <w:rsid w:val="009850E8"/>
    <w:rsid w:val="00986335"/>
    <w:rsid w:val="00986892"/>
    <w:rsid w:val="009927FD"/>
    <w:rsid w:val="00994CA3"/>
    <w:rsid w:val="00996030"/>
    <w:rsid w:val="0099612E"/>
    <w:rsid w:val="0099719C"/>
    <w:rsid w:val="009A2B3E"/>
    <w:rsid w:val="009B28D4"/>
    <w:rsid w:val="009C1173"/>
    <w:rsid w:val="009C6440"/>
    <w:rsid w:val="009C69FE"/>
    <w:rsid w:val="009D1DF0"/>
    <w:rsid w:val="009D60FA"/>
    <w:rsid w:val="009D7A56"/>
    <w:rsid w:val="009E1471"/>
    <w:rsid w:val="009E14C2"/>
    <w:rsid w:val="009E1AC1"/>
    <w:rsid w:val="009E4560"/>
    <w:rsid w:val="009F1CCA"/>
    <w:rsid w:val="009F2458"/>
    <w:rsid w:val="009F531D"/>
    <w:rsid w:val="009F5DB9"/>
    <w:rsid w:val="009F7E43"/>
    <w:rsid w:val="00A008CD"/>
    <w:rsid w:val="00A02384"/>
    <w:rsid w:val="00A0408F"/>
    <w:rsid w:val="00A05D20"/>
    <w:rsid w:val="00A06E20"/>
    <w:rsid w:val="00A10562"/>
    <w:rsid w:val="00A11DC5"/>
    <w:rsid w:val="00A121B1"/>
    <w:rsid w:val="00A125DA"/>
    <w:rsid w:val="00A1626C"/>
    <w:rsid w:val="00A17923"/>
    <w:rsid w:val="00A20E96"/>
    <w:rsid w:val="00A24555"/>
    <w:rsid w:val="00A31053"/>
    <w:rsid w:val="00A369EE"/>
    <w:rsid w:val="00A409A9"/>
    <w:rsid w:val="00A43A59"/>
    <w:rsid w:val="00A514E3"/>
    <w:rsid w:val="00A51981"/>
    <w:rsid w:val="00A54C7E"/>
    <w:rsid w:val="00A55753"/>
    <w:rsid w:val="00A607D3"/>
    <w:rsid w:val="00A61EB7"/>
    <w:rsid w:val="00A62121"/>
    <w:rsid w:val="00A6338B"/>
    <w:rsid w:val="00A71A56"/>
    <w:rsid w:val="00A72B2F"/>
    <w:rsid w:val="00A744A9"/>
    <w:rsid w:val="00A75188"/>
    <w:rsid w:val="00A80233"/>
    <w:rsid w:val="00A813B3"/>
    <w:rsid w:val="00A8350B"/>
    <w:rsid w:val="00A8635C"/>
    <w:rsid w:val="00AA2317"/>
    <w:rsid w:val="00AA3CA4"/>
    <w:rsid w:val="00AA7D65"/>
    <w:rsid w:val="00AB14B1"/>
    <w:rsid w:val="00AB1C6F"/>
    <w:rsid w:val="00AB297D"/>
    <w:rsid w:val="00AB3556"/>
    <w:rsid w:val="00AB3B3D"/>
    <w:rsid w:val="00AB50BC"/>
    <w:rsid w:val="00AB6762"/>
    <w:rsid w:val="00AC0006"/>
    <w:rsid w:val="00AC13E5"/>
    <w:rsid w:val="00AC36A5"/>
    <w:rsid w:val="00AC67B2"/>
    <w:rsid w:val="00AD6EF4"/>
    <w:rsid w:val="00AD7B15"/>
    <w:rsid w:val="00AD7CC1"/>
    <w:rsid w:val="00AE31D5"/>
    <w:rsid w:val="00AE6AB7"/>
    <w:rsid w:val="00AE7D22"/>
    <w:rsid w:val="00AF278E"/>
    <w:rsid w:val="00AF71F5"/>
    <w:rsid w:val="00B053FF"/>
    <w:rsid w:val="00B10032"/>
    <w:rsid w:val="00B12237"/>
    <w:rsid w:val="00B14FD7"/>
    <w:rsid w:val="00B15792"/>
    <w:rsid w:val="00B17DF1"/>
    <w:rsid w:val="00B200E2"/>
    <w:rsid w:val="00B22153"/>
    <w:rsid w:val="00B25070"/>
    <w:rsid w:val="00B27A92"/>
    <w:rsid w:val="00B309B4"/>
    <w:rsid w:val="00B42926"/>
    <w:rsid w:val="00B432CA"/>
    <w:rsid w:val="00B4331F"/>
    <w:rsid w:val="00B434C1"/>
    <w:rsid w:val="00B52D63"/>
    <w:rsid w:val="00B53B73"/>
    <w:rsid w:val="00B552A9"/>
    <w:rsid w:val="00B62E49"/>
    <w:rsid w:val="00B65EDF"/>
    <w:rsid w:val="00B674DA"/>
    <w:rsid w:val="00B71A89"/>
    <w:rsid w:val="00B750C9"/>
    <w:rsid w:val="00B75148"/>
    <w:rsid w:val="00B756F7"/>
    <w:rsid w:val="00B75BFE"/>
    <w:rsid w:val="00B76C25"/>
    <w:rsid w:val="00B817BF"/>
    <w:rsid w:val="00B86274"/>
    <w:rsid w:val="00B875E1"/>
    <w:rsid w:val="00B9119D"/>
    <w:rsid w:val="00B9253B"/>
    <w:rsid w:val="00B93228"/>
    <w:rsid w:val="00B941FE"/>
    <w:rsid w:val="00B9538B"/>
    <w:rsid w:val="00B95AE2"/>
    <w:rsid w:val="00BA2F7E"/>
    <w:rsid w:val="00BA4508"/>
    <w:rsid w:val="00BA5155"/>
    <w:rsid w:val="00BA541B"/>
    <w:rsid w:val="00BA5DC4"/>
    <w:rsid w:val="00BA7EBC"/>
    <w:rsid w:val="00BB2FF0"/>
    <w:rsid w:val="00BB69ED"/>
    <w:rsid w:val="00BB732E"/>
    <w:rsid w:val="00BB76D6"/>
    <w:rsid w:val="00BB7776"/>
    <w:rsid w:val="00BC3B91"/>
    <w:rsid w:val="00BC5FF4"/>
    <w:rsid w:val="00BC6865"/>
    <w:rsid w:val="00BD13AE"/>
    <w:rsid w:val="00BD1FB6"/>
    <w:rsid w:val="00BD3934"/>
    <w:rsid w:val="00BD5B82"/>
    <w:rsid w:val="00BD7AB4"/>
    <w:rsid w:val="00BE02EC"/>
    <w:rsid w:val="00BE19A1"/>
    <w:rsid w:val="00BE442F"/>
    <w:rsid w:val="00BF1DAA"/>
    <w:rsid w:val="00BF2FE5"/>
    <w:rsid w:val="00BF3180"/>
    <w:rsid w:val="00BF6D71"/>
    <w:rsid w:val="00BF7F77"/>
    <w:rsid w:val="00C00730"/>
    <w:rsid w:val="00C01E11"/>
    <w:rsid w:val="00C12301"/>
    <w:rsid w:val="00C216EA"/>
    <w:rsid w:val="00C263CE"/>
    <w:rsid w:val="00C272D0"/>
    <w:rsid w:val="00C27DF8"/>
    <w:rsid w:val="00C3410B"/>
    <w:rsid w:val="00C411B0"/>
    <w:rsid w:val="00C43AAE"/>
    <w:rsid w:val="00C44190"/>
    <w:rsid w:val="00C442F9"/>
    <w:rsid w:val="00C50BFD"/>
    <w:rsid w:val="00C60F19"/>
    <w:rsid w:val="00C64FFA"/>
    <w:rsid w:val="00C67CD8"/>
    <w:rsid w:val="00C70712"/>
    <w:rsid w:val="00C70E12"/>
    <w:rsid w:val="00C714E1"/>
    <w:rsid w:val="00C716B4"/>
    <w:rsid w:val="00C71B6C"/>
    <w:rsid w:val="00C7687B"/>
    <w:rsid w:val="00C85915"/>
    <w:rsid w:val="00C90983"/>
    <w:rsid w:val="00C91E13"/>
    <w:rsid w:val="00C9233E"/>
    <w:rsid w:val="00C9347C"/>
    <w:rsid w:val="00C93B85"/>
    <w:rsid w:val="00CA0E7E"/>
    <w:rsid w:val="00CA37F7"/>
    <w:rsid w:val="00CA4EC5"/>
    <w:rsid w:val="00CA5FB6"/>
    <w:rsid w:val="00CA7160"/>
    <w:rsid w:val="00CB0889"/>
    <w:rsid w:val="00CB64E4"/>
    <w:rsid w:val="00CC16BC"/>
    <w:rsid w:val="00CC3F90"/>
    <w:rsid w:val="00CC4458"/>
    <w:rsid w:val="00CC499B"/>
    <w:rsid w:val="00CC62BC"/>
    <w:rsid w:val="00CD063F"/>
    <w:rsid w:val="00CD4C73"/>
    <w:rsid w:val="00CE1C7A"/>
    <w:rsid w:val="00CE36B8"/>
    <w:rsid w:val="00CE6123"/>
    <w:rsid w:val="00CF5750"/>
    <w:rsid w:val="00CF5C60"/>
    <w:rsid w:val="00CF6A8C"/>
    <w:rsid w:val="00CF7490"/>
    <w:rsid w:val="00CF787A"/>
    <w:rsid w:val="00D029AA"/>
    <w:rsid w:val="00D05942"/>
    <w:rsid w:val="00D106E8"/>
    <w:rsid w:val="00D12544"/>
    <w:rsid w:val="00D13C79"/>
    <w:rsid w:val="00D14832"/>
    <w:rsid w:val="00D15205"/>
    <w:rsid w:val="00D170AB"/>
    <w:rsid w:val="00D20381"/>
    <w:rsid w:val="00D21FD8"/>
    <w:rsid w:val="00D234CB"/>
    <w:rsid w:val="00D2656D"/>
    <w:rsid w:val="00D324E1"/>
    <w:rsid w:val="00D352B4"/>
    <w:rsid w:val="00D353BF"/>
    <w:rsid w:val="00D40EFF"/>
    <w:rsid w:val="00D4512D"/>
    <w:rsid w:val="00D5242D"/>
    <w:rsid w:val="00D54A61"/>
    <w:rsid w:val="00D5503F"/>
    <w:rsid w:val="00D621FB"/>
    <w:rsid w:val="00D62456"/>
    <w:rsid w:val="00D62E5E"/>
    <w:rsid w:val="00D665C4"/>
    <w:rsid w:val="00D674F4"/>
    <w:rsid w:val="00D6777E"/>
    <w:rsid w:val="00D70B60"/>
    <w:rsid w:val="00D7463F"/>
    <w:rsid w:val="00D76A56"/>
    <w:rsid w:val="00D825B6"/>
    <w:rsid w:val="00D82CC1"/>
    <w:rsid w:val="00D87245"/>
    <w:rsid w:val="00D87300"/>
    <w:rsid w:val="00D90E08"/>
    <w:rsid w:val="00D95323"/>
    <w:rsid w:val="00DB0501"/>
    <w:rsid w:val="00DB250A"/>
    <w:rsid w:val="00DB3C35"/>
    <w:rsid w:val="00DB3D14"/>
    <w:rsid w:val="00DB6B05"/>
    <w:rsid w:val="00DC04AA"/>
    <w:rsid w:val="00DC32EC"/>
    <w:rsid w:val="00DC551D"/>
    <w:rsid w:val="00DC60AA"/>
    <w:rsid w:val="00DD50D0"/>
    <w:rsid w:val="00DD57BC"/>
    <w:rsid w:val="00DD659D"/>
    <w:rsid w:val="00DE0B07"/>
    <w:rsid w:val="00DE2ADF"/>
    <w:rsid w:val="00DF1A15"/>
    <w:rsid w:val="00DF1CB4"/>
    <w:rsid w:val="00DF324D"/>
    <w:rsid w:val="00DF792D"/>
    <w:rsid w:val="00DF7D1B"/>
    <w:rsid w:val="00E00723"/>
    <w:rsid w:val="00E0498A"/>
    <w:rsid w:val="00E04C8B"/>
    <w:rsid w:val="00E0505F"/>
    <w:rsid w:val="00E06ADC"/>
    <w:rsid w:val="00E104B1"/>
    <w:rsid w:val="00E1502C"/>
    <w:rsid w:val="00E21874"/>
    <w:rsid w:val="00E258F8"/>
    <w:rsid w:val="00E30766"/>
    <w:rsid w:val="00E3171F"/>
    <w:rsid w:val="00E31C61"/>
    <w:rsid w:val="00E31F15"/>
    <w:rsid w:val="00E327E6"/>
    <w:rsid w:val="00E34F0D"/>
    <w:rsid w:val="00E35CB0"/>
    <w:rsid w:val="00E3769D"/>
    <w:rsid w:val="00E420D2"/>
    <w:rsid w:val="00E4311E"/>
    <w:rsid w:val="00E448AB"/>
    <w:rsid w:val="00E54884"/>
    <w:rsid w:val="00E57015"/>
    <w:rsid w:val="00E60348"/>
    <w:rsid w:val="00E6043D"/>
    <w:rsid w:val="00E60C11"/>
    <w:rsid w:val="00E61C60"/>
    <w:rsid w:val="00E731A1"/>
    <w:rsid w:val="00E73351"/>
    <w:rsid w:val="00E74596"/>
    <w:rsid w:val="00E80981"/>
    <w:rsid w:val="00E81E68"/>
    <w:rsid w:val="00E84AAA"/>
    <w:rsid w:val="00E922D8"/>
    <w:rsid w:val="00E9561F"/>
    <w:rsid w:val="00E95689"/>
    <w:rsid w:val="00EA277C"/>
    <w:rsid w:val="00EA38FC"/>
    <w:rsid w:val="00EA3971"/>
    <w:rsid w:val="00EA3C60"/>
    <w:rsid w:val="00EA3D90"/>
    <w:rsid w:val="00EA5973"/>
    <w:rsid w:val="00EA64C3"/>
    <w:rsid w:val="00EA6BB2"/>
    <w:rsid w:val="00EB039C"/>
    <w:rsid w:val="00EB2C34"/>
    <w:rsid w:val="00EB4BCD"/>
    <w:rsid w:val="00EB72E1"/>
    <w:rsid w:val="00EC6C39"/>
    <w:rsid w:val="00EC78BD"/>
    <w:rsid w:val="00EC7DBC"/>
    <w:rsid w:val="00ED0099"/>
    <w:rsid w:val="00ED02D5"/>
    <w:rsid w:val="00ED297C"/>
    <w:rsid w:val="00EE1C59"/>
    <w:rsid w:val="00EE3BEE"/>
    <w:rsid w:val="00EE613B"/>
    <w:rsid w:val="00EE7555"/>
    <w:rsid w:val="00EF35ED"/>
    <w:rsid w:val="00F02E3E"/>
    <w:rsid w:val="00F04DAB"/>
    <w:rsid w:val="00F0743A"/>
    <w:rsid w:val="00F105CA"/>
    <w:rsid w:val="00F133B9"/>
    <w:rsid w:val="00F13429"/>
    <w:rsid w:val="00F16F48"/>
    <w:rsid w:val="00F17A3B"/>
    <w:rsid w:val="00F229A7"/>
    <w:rsid w:val="00F308C1"/>
    <w:rsid w:val="00F308DA"/>
    <w:rsid w:val="00F35509"/>
    <w:rsid w:val="00F36671"/>
    <w:rsid w:val="00F40A90"/>
    <w:rsid w:val="00F41E71"/>
    <w:rsid w:val="00F424E2"/>
    <w:rsid w:val="00F46ECF"/>
    <w:rsid w:val="00F53272"/>
    <w:rsid w:val="00F558D2"/>
    <w:rsid w:val="00F6156F"/>
    <w:rsid w:val="00F66B95"/>
    <w:rsid w:val="00F672C7"/>
    <w:rsid w:val="00F67493"/>
    <w:rsid w:val="00F6791B"/>
    <w:rsid w:val="00F75BAC"/>
    <w:rsid w:val="00F824D3"/>
    <w:rsid w:val="00F84BE4"/>
    <w:rsid w:val="00F8766D"/>
    <w:rsid w:val="00F91E2B"/>
    <w:rsid w:val="00F92092"/>
    <w:rsid w:val="00F951F3"/>
    <w:rsid w:val="00F95871"/>
    <w:rsid w:val="00FA00A7"/>
    <w:rsid w:val="00FA7030"/>
    <w:rsid w:val="00FA7B48"/>
    <w:rsid w:val="00FB0717"/>
    <w:rsid w:val="00FB4D9B"/>
    <w:rsid w:val="00FB7673"/>
    <w:rsid w:val="00FB7914"/>
    <w:rsid w:val="00FC0031"/>
    <w:rsid w:val="00FC0B30"/>
    <w:rsid w:val="00FC38F8"/>
    <w:rsid w:val="00FD15D6"/>
    <w:rsid w:val="00FD1FD5"/>
    <w:rsid w:val="00FD3AB2"/>
    <w:rsid w:val="00FD71F7"/>
    <w:rsid w:val="00FE392C"/>
    <w:rsid w:val="00FE7FED"/>
    <w:rsid w:val="00FF1134"/>
    <w:rsid w:val="00FF15A2"/>
    <w:rsid w:val="00FF2659"/>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2"/>
    </o:shapelayout>
  </w:shapeDefaults>
  <w:decimalSymbol w:val=","/>
  <w:listSeparator w:val=";"/>
  <w15:docId w15:val="{8D37355B-58DB-4A35-B16E-3173BFAAA7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before="120" w:after="120" w:line="240" w:lineRule="auto"/>
      <w:jc w:val="both"/>
    </w:pPr>
    <w:rPr>
      <w:rFonts w:ascii="Times New Roman" w:hAnsi="Times New Roman" w:cs="Times New Roman"/>
      <w:sz w:val="24"/>
      <w:lang w:val="nl-NL"/>
    </w:rPr>
  </w:style>
  <w:style w:type="paragraph" w:styleId="Heading1">
    <w:name w:val="heading 1"/>
    <w:basedOn w:val="Normal"/>
    <w:next w:val="Text1"/>
    <w:link w:val="Heading1Char"/>
    <w:uiPriority w:val="9"/>
    <w:qFormat/>
    <w:pPr>
      <w:keepNext/>
      <w:numPr>
        <w:numId w:val="30"/>
      </w:numPr>
      <w:spacing w:before="360"/>
      <w:outlineLvl w:val="0"/>
    </w:pPr>
    <w:rPr>
      <w:rFonts w:eastAsiaTheme="majorEastAsia"/>
      <w:b/>
      <w:bCs/>
      <w:smallCaps/>
      <w:szCs w:val="28"/>
    </w:rPr>
  </w:style>
  <w:style w:type="paragraph" w:styleId="Heading2">
    <w:name w:val="heading 2"/>
    <w:basedOn w:val="Normal"/>
    <w:next w:val="Text1"/>
    <w:link w:val="Heading2Char"/>
    <w:uiPriority w:val="9"/>
    <w:semiHidden/>
    <w:unhideWhenUsed/>
    <w:qFormat/>
    <w:pPr>
      <w:keepNext/>
      <w:numPr>
        <w:ilvl w:val="1"/>
        <w:numId w:val="30"/>
      </w:numPr>
      <w:outlineLvl w:val="1"/>
    </w:pPr>
    <w:rPr>
      <w:rFonts w:eastAsiaTheme="majorEastAsia"/>
      <w:b/>
      <w:bCs/>
      <w:szCs w:val="26"/>
    </w:rPr>
  </w:style>
  <w:style w:type="paragraph" w:styleId="Heading3">
    <w:name w:val="heading 3"/>
    <w:basedOn w:val="Normal"/>
    <w:next w:val="Text1"/>
    <w:link w:val="Heading3Char"/>
    <w:uiPriority w:val="9"/>
    <w:semiHidden/>
    <w:unhideWhenUsed/>
    <w:qFormat/>
    <w:pPr>
      <w:keepNext/>
      <w:numPr>
        <w:ilvl w:val="2"/>
        <w:numId w:val="30"/>
      </w:numPr>
      <w:outlineLvl w:val="2"/>
    </w:pPr>
    <w:rPr>
      <w:rFonts w:eastAsiaTheme="majorEastAsia"/>
      <w:bCs/>
      <w:i/>
    </w:rPr>
  </w:style>
  <w:style w:type="paragraph" w:styleId="Heading4">
    <w:name w:val="heading 4"/>
    <w:basedOn w:val="Normal"/>
    <w:next w:val="Text1"/>
    <w:link w:val="Heading4Char"/>
    <w:uiPriority w:val="9"/>
    <w:semiHidden/>
    <w:unhideWhenUsed/>
    <w:qFormat/>
    <w:pPr>
      <w:keepNext/>
      <w:numPr>
        <w:ilvl w:val="3"/>
        <w:numId w:val="30"/>
      </w:numPr>
      <w:outlineLvl w:val="3"/>
    </w:pPr>
    <w:rPr>
      <w:rFonts w:eastAsiaTheme="majorEastAsia"/>
      <w:bCs/>
      <w:iCs/>
    </w:rPr>
  </w:style>
  <w:style w:type="paragraph" w:styleId="Heading5">
    <w:name w:val="heading 5"/>
    <w:basedOn w:val="Normal"/>
    <w:next w:val="Text2"/>
    <w:link w:val="Heading5Char"/>
    <w:uiPriority w:val="9"/>
    <w:semiHidden/>
    <w:unhideWhenUsed/>
    <w:qFormat/>
    <w:pPr>
      <w:keepNext/>
      <w:numPr>
        <w:ilvl w:val="4"/>
        <w:numId w:val="30"/>
      </w:numPr>
      <w:outlineLvl w:val="4"/>
    </w:pPr>
    <w:rPr>
      <w:rFonts w:eastAsiaTheme="majorEastAsia"/>
    </w:rPr>
  </w:style>
  <w:style w:type="paragraph" w:styleId="Heading6">
    <w:name w:val="heading 6"/>
    <w:basedOn w:val="Normal"/>
    <w:next w:val="Text2"/>
    <w:link w:val="Heading6Char"/>
    <w:uiPriority w:val="9"/>
    <w:semiHidden/>
    <w:unhideWhenUsed/>
    <w:qFormat/>
    <w:pPr>
      <w:keepNext/>
      <w:numPr>
        <w:ilvl w:val="5"/>
        <w:numId w:val="30"/>
      </w:numPr>
      <w:outlineLvl w:val="5"/>
    </w:pPr>
    <w:rPr>
      <w:rFonts w:eastAsiaTheme="majorEastAsia"/>
      <w:iCs/>
    </w:rPr>
  </w:style>
  <w:style w:type="paragraph" w:styleId="Heading7">
    <w:name w:val="heading 7"/>
    <w:basedOn w:val="Normal"/>
    <w:next w:val="Text2"/>
    <w:link w:val="Heading7Char"/>
    <w:uiPriority w:val="9"/>
    <w:semiHidden/>
    <w:unhideWhenUsed/>
    <w:qFormat/>
    <w:pPr>
      <w:keepNext/>
      <w:numPr>
        <w:ilvl w:val="6"/>
        <w:numId w:val="30"/>
      </w:numPr>
      <w:outlineLvl w:val="6"/>
    </w:pPr>
    <w:rPr>
      <w:rFonts w:eastAsiaTheme="majorEastAsia"/>
      <w:iCs/>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Bullet">
    <w:name w:val="List Bullet"/>
    <w:basedOn w:val="Normal"/>
    <w:rsid w:val="00FE7FED"/>
    <w:pPr>
      <w:numPr>
        <w:numId w:val="1"/>
      </w:numPr>
    </w:pPr>
    <w:rPr>
      <w:rFonts w:eastAsia="Times New Roman"/>
      <w:lang w:eastAsia="en-GB"/>
    </w:rPr>
  </w:style>
  <w:style w:type="character" w:styleId="Hyperlink">
    <w:name w:val="Hyperlink"/>
    <w:basedOn w:val="DefaultParagraphFont"/>
    <w:rsid w:val="009713B0"/>
    <w:rPr>
      <w:color w:val="2F5773"/>
      <w:u w:val="single"/>
    </w:rPr>
  </w:style>
  <w:style w:type="paragraph" w:styleId="ListBullet2">
    <w:name w:val="List Bullet 2"/>
    <w:basedOn w:val="Normal"/>
    <w:uiPriority w:val="99"/>
    <w:semiHidden/>
    <w:unhideWhenUsed/>
    <w:rsid w:val="009713B0"/>
    <w:pPr>
      <w:numPr>
        <w:numId w:val="4"/>
      </w:numPr>
      <w:contextualSpacing/>
    </w:pPr>
  </w:style>
  <w:style w:type="paragraph" w:styleId="ListNumber2">
    <w:name w:val="List Number 2"/>
    <w:basedOn w:val="Normal"/>
    <w:uiPriority w:val="99"/>
    <w:semiHidden/>
    <w:unhideWhenUsed/>
    <w:rsid w:val="009713B0"/>
    <w:pPr>
      <w:numPr>
        <w:numId w:val="5"/>
      </w:numPr>
      <w:contextualSpacing/>
    </w:pPr>
  </w:style>
  <w:style w:type="paragraph" w:styleId="ListBullet3">
    <w:name w:val="List Bullet 3"/>
    <w:basedOn w:val="Normal"/>
    <w:uiPriority w:val="99"/>
    <w:semiHidden/>
    <w:unhideWhenUsed/>
    <w:rsid w:val="001840A1"/>
    <w:pPr>
      <w:numPr>
        <w:numId w:val="6"/>
      </w:numPr>
      <w:contextualSpacing/>
    </w:pPr>
  </w:style>
  <w:style w:type="paragraph" w:styleId="ListBullet4">
    <w:name w:val="List Bullet 4"/>
    <w:basedOn w:val="Normal"/>
    <w:uiPriority w:val="99"/>
    <w:semiHidden/>
    <w:unhideWhenUsed/>
    <w:rsid w:val="001840A1"/>
    <w:pPr>
      <w:numPr>
        <w:numId w:val="7"/>
      </w:numPr>
      <w:contextualSpacing/>
    </w:pPr>
  </w:style>
  <w:style w:type="character" w:styleId="CommentReference">
    <w:name w:val="annotation reference"/>
    <w:basedOn w:val="DefaultParagraphFont"/>
    <w:uiPriority w:val="99"/>
    <w:semiHidden/>
    <w:unhideWhenUsed/>
    <w:rsid w:val="00F6156F"/>
    <w:rPr>
      <w:sz w:val="16"/>
      <w:szCs w:val="16"/>
    </w:rPr>
  </w:style>
  <w:style w:type="paragraph" w:styleId="CommentText">
    <w:name w:val="annotation text"/>
    <w:basedOn w:val="Normal"/>
    <w:link w:val="CommentTextChar"/>
    <w:uiPriority w:val="99"/>
    <w:unhideWhenUsed/>
    <w:rsid w:val="00F6156F"/>
    <w:rPr>
      <w:sz w:val="20"/>
      <w:szCs w:val="20"/>
    </w:rPr>
  </w:style>
  <w:style w:type="character" w:customStyle="1" w:styleId="CommentTextChar">
    <w:name w:val="Comment Text Char"/>
    <w:basedOn w:val="DefaultParagraphFont"/>
    <w:link w:val="CommentText"/>
    <w:uiPriority w:val="99"/>
    <w:rsid w:val="00F6156F"/>
    <w:rPr>
      <w:rFonts w:ascii="Times New Roman" w:hAnsi="Times New Roman" w:cs="Times New Roman"/>
      <w:sz w:val="20"/>
      <w:szCs w:val="20"/>
      <w:lang w:val="nl-NL"/>
    </w:rPr>
  </w:style>
  <w:style w:type="paragraph" w:styleId="CommentSubject">
    <w:name w:val="annotation subject"/>
    <w:basedOn w:val="CommentText"/>
    <w:next w:val="CommentText"/>
    <w:link w:val="CommentSubjectChar"/>
    <w:uiPriority w:val="99"/>
    <w:semiHidden/>
    <w:unhideWhenUsed/>
    <w:rsid w:val="00F6156F"/>
    <w:rPr>
      <w:b/>
      <w:bCs/>
    </w:rPr>
  </w:style>
  <w:style w:type="character" w:customStyle="1" w:styleId="CommentSubjectChar">
    <w:name w:val="Comment Subject Char"/>
    <w:basedOn w:val="CommentTextChar"/>
    <w:link w:val="CommentSubject"/>
    <w:uiPriority w:val="99"/>
    <w:semiHidden/>
    <w:rsid w:val="00F6156F"/>
    <w:rPr>
      <w:rFonts w:ascii="Times New Roman" w:hAnsi="Times New Roman" w:cs="Times New Roman"/>
      <w:b/>
      <w:bCs/>
      <w:sz w:val="20"/>
      <w:szCs w:val="20"/>
      <w:lang w:val="nl-NL"/>
    </w:rPr>
  </w:style>
  <w:style w:type="character" w:customStyle="1" w:styleId="UnresolvedMention">
    <w:name w:val="Unresolved Mention"/>
    <w:basedOn w:val="DefaultParagraphFont"/>
    <w:uiPriority w:val="99"/>
    <w:semiHidden/>
    <w:unhideWhenUsed/>
    <w:rsid w:val="00F6156F"/>
    <w:rPr>
      <w:color w:val="605E5C"/>
      <w:shd w:val="clear" w:color="auto" w:fill="E1DFDD"/>
    </w:rPr>
  </w:style>
  <w:style w:type="paragraph" w:styleId="Revision">
    <w:name w:val="Revision"/>
    <w:hidden/>
    <w:uiPriority w:val="99"/>
    <w:semiHidden/>
    <w:rsid w:val="00F6156F"/>
    <w:pPr>
      <w:spacing w:after="0" w:line="240" w:lineRule="auto"/>
    </w:pPr>
    <w:rPr>
      <w:rFonts w:ascii="Times New Roman" w:hAnsi="Times New Roman" w:cs="Times New Roman"/>
      <w:sz w:val="24"/>
    </w:rPr>
  </w:style>
  <w:style w:type="character" w:customStyle="1" w:styleId="HeaderChar">
    <w:name w:val="Header Char"/>
    <w:basedOn w:val="DefaultParagraphFont"/>
    <w:link w:val="Header"/>
    <w:uiPriority w:val="99"/>
    <w:rsid w:val="00D95323"/>
    <w:rPr>
      <w:rFonts w:ascii="Times New Roman" w:hAnsi="Times New Roman" w:cs="Times New Roman"/>
      <w:sz w:val="24"/>
      <w:lang w:val="nl-NL"/>
    </w:rPr>
  </w:style>
  <w:style w:type="character" w:customStyle="1" w:styleId="FooterChar">
    <w:name w:val="Footer Char"/>
    <w:basedOn w:val="DefaultParagraphFont"/>
    <w:link w:val="Footer"/>
    <w:uiPriority w:val="99"/>
    <w:rsid w:val="00D95323"/>
    <w:rPr>
      <w:rFonts w:ascii="Times New Roman" w:hAnsi="Times New Roman" w:cs="Times New Roman"/>
      <w:sz w:val="24"/>
      <w:lang w:val="nl-NL"/>
    </w:rPr>
  </w:style>
  <w:style w:type="paragraph" w:styleId="FootnoteText">
    <w:name w:val="footnote text"/>
    <w:basedOn w:val="Normal"/>
    <w:link w:val="FootnoteTextChar"/>
    <w:uiPriority w:val="99"/>
    <w:semiHidden/>
    <w:unhideWhenUsed/>
    <w:pPr>
      <w:spacing w:before="0" w:after="0"/>
      <w:ind w:left="720" w:hanging="720"/>
    </w:pPr>
    <w:rPr>
      <w:sz w:val="20"/>
      <w:szCs w:val="20"/>
    </w:rPr>
  </w:style>
  <w:style w:type="character" w:customStyle="1" w:styleId="FootnoteTextChar">
    <w:name w:val="Footnote Text Char"/>
    <w:basedOn w:val="DefaultParagraphFont"/>
    <w:link w:val="FootnoteText"/>
    <w:uiPriority w:val="99"/>
    <w:semiHidden/>
    <w:rPr>
      <w:rFonts w:ascii="Times New Roman" w:hAnsi="Times New Roman" w:cs="Times New Roman"/>
      <w:sz w:val="20"/>
      <w:szCs w:val="20"/>
      <w:shd w:val="clear" w:color="auto" w:fill="auto"/>
      <w:lang w:val="en-GB"/>
    </w:rPr>
  </w:style>
  <w:style w:type="character" w:customStyle="1" w:styleId="Heading1Char">
    <w:name w:val="Heading 1 Char"/>
    <w:basedOn w:val="DefaultParagraphFont"/>
    <w:link w:val="Heading1"/>
    <w:uiPriority w:val="9"/>
    <w:rPr>
      <w:rFonts w:ascii="Times New Roman" w:eastAsiaTheme="majorEastAsia" w:hAnsi="Times New Roman" w:cs="Times New Roman"/>
      <w:b/>
      <w:bCs/>
      <w:smallCaps/>
      <w:sz w:val="24"/>
      <w:szCs w:val="28"/>
      <w:shd w:val="clear" w:color="auto" w:fill="auto"/>
      <w:lang w:val="en-GB"/>
    </w:rPr>
  </w:style>
  <w:style w:type="character" w:customStyle="1" w:styleId="Heading2Char">
    <w:name w:val="Heading 2 Char"/>
    <w:basedOn w:val="DefaultParagraphFont"/>
    <w:link w:val="Heading2"/>
    <w:uiPriority w:val="9"/>
    <w:semiHidden/>
    <w:rPr>
      <w:rFonts w:ascii="Times New Roman" w:eastAsiaTheme="majorEastAsia" w:hAnsi="Times New Roman" w:cs="Times New Roman"/>
      <w:b/>
      <w:bCs/>
      <w:sz w:val="24"/>
      <w:szCs w:val="26"/>
      <w:shd w:val="clear" w:color="auto" w:fill="auto"/>
      <w:lang w:val="en-GB"/>
    </w:rPr>
  </w:style>
  <w:style w:type="character" w:customStyle="1" w:styleId="Heading3Char">
    <w:name w:val="Heading 3 Char"/>
    <w:basedOn w:val="DefaultParagraphFont"/>
    <w:link w:val="Heading3"/>
    <w:uiPriority w:val="9"/>
    <w:semiHidden/>
    <w:rPr>
      <w:rFonts w:ascii="Times New Roman" w:eastAsiaTheme="majorEastAsia" w:hAnsi="Times New Roman" w:cs="Times New Roman"/>
      <w:bCs/>
      <w:i/>
      <w:sz w:val="24"/>
      <w:shd w:val="clear" w:color="auto" w:fill="auto"/>
      <w:lang w:val="en-GB"/>
    </w:rPr>
  </w:style>
  <w:style w:type="character" w:customStyle="1" w:styleId="Heading4Char">
    <w:name w:val="Heading 4 Char"/>
    <w:basedOn w:val="DefaultParagraphFont"/>
    <w:link w:val="Heading4"/>
    <w:uiPriority w:val="9"/>
    <w:semiHidden/>
    <w:rPr>
      <w:rFonts w:ascii="Times New Roman" w:eastAsiaTheme="majorEastAsia" w:hAnsi="Times New Roman" w:cs="Times New Roman"/>
      <w:bCs/>
      <w:iCs/>
      <w:sz w:val="24"/>
      <w:shd w:val="clear" w:color="auto" w:fill="auto"/>
      <w:lang w:val="en-GB"/>
    </w:rPr>
  </w:style>
  <w:style w:type="character" w:customStyle="1" w:styleId="Heading5Char">
    <w:name w:val="Heading 5 Char"/>
    <w:basedOn w:val="DefaultParagraphFont"/>
    <w:link w:val="Heading5"/>
    <w:uiPriority w:val="9"/>
    <w:semiHidden/>
    <w:rPr>
      <w:rFonts w:ascii="Times New Roman" w:eastAsiaTheme="majorEastAsia" w:hAnsi="Times New Roman" w:cs="Times New Roman"/>
      <w:sz w:val="24"/>
      <w:shd w:val="clear" w:color="auto" w:fill="auto"/>
      <w:lang w:val="en-GB"/>
    </w:rPr>
  </w:style>
  <w:style w:type="character" w:customStyle="1" w:styleId="Heading6Char">
    <w:name w:val="Heading 6 Char"/>
    <w:basedOn w:val="DefaultParagraphFont"/>
    <w:link w:val="Heading6"/>
    <w:uiPriority w:val="9"/>
    <w:semiHidden/>
    <w:rPr>
      <w:rFonts w:ascii="Times New Roman" w:eastAsiaTheme="majorEastAsia" w:hAnsi="Times New Roman" w:cs="Times New Roman"/>
      <w:iCs/>
      <w:sz w:val="24"/>
      <w:shd w:val="clear" w:color="auto" w:fill="auto"/>
      <w:lang w:val="en-GB"/>
    </w:rPr>
  </w:style>
  <w:style w:type="character" w:customStyle="1" w:styleId="Heading7Char">
    <w:name w:val="Heading 7 Char"/>
    <w:basedOn w:val="DefaultParagraphFont"/>
    <w:link w:val="Heading7"/>
    <w:uiPriority w:val="9"/>
    <w:semiHidden/>
    <w:rPr>
      <w:rFonts w:ascii="Times New Roman" w:eastAsiaTheme="majorEastAsia" w:hAnsi="Times New Roman" w:cs="Times New Roman"/>
      <w:iCs/>
      <w:sz w:val="24"/>
      <w:shd w:val="clear" w:color="auto" w:fill="auto"/>
      <w:lang w:val="en-GB"/>
    </w:rPr>
  </w:style>
  <w:style w:type="paragraph" w:styleId="TOCHeading">
    <w:name w:val="TOC Heading"/>
    <w:basedOn w:val="Normal"/>
    <w:next w:val="Normal"/>
    <w:uiPriority w:val="39"/>
    <w:semiHidden/>
    <w:unhideWhenUsed/>
    <w:qFormat/>
    <w:pPr>
      <w:spacing w:after="240"/>
      <w:jc w:val="center"/>
    </w:pPr>
    <w:rPr>
      <w:b/>
      <w:sz w:val="28"/>
    </w:rPr>
  </w:style>
  <w:style w:type="paragraph" w:styleId="TOC1">
    <w:name w:val="toc 1"/>
    <w:basedOn w:val="Normal"/>
    <w:next w:val="Normal"/>
    <w:uiPriority w:val="39"/>
    <w:semiHidden/>
    <w:unhideWhenUsed/>
    <w:pPr>
      <w:tabs>
        <w:tab w:val="right" w:leader="dot" w:pos="9071"/>
      </w:tabs>
      <w:spacing w:before="60"/>
      <w:ind w:left="850" w:hanging="850"/>
      <w:jc w:val="left"/>
    </w:pPr>
  </w:style>
  <w:style w:type="paragraph" w:styleId="TOC2">
    <w:name w:val="toc 2"/>
    <w:basedOn w:val="Normal"/>
    <w:next w:val="Normal"/>
    <w:uiPriority w:val="39"/>
    <w:semiHidden/>
    <w:unhideWhenUsed/>
    <w:pPr>
      <w:tabs>
        <w:tab w:val="right" w:leader="dot" w:pos="9071"/>
      </w:tabs>
      <w:spacing w:before="60"/>
      <w:ind w:left="850" w:hanging="850"/>
      <w:jc w:val="left"/>
    </w:pPr>
  </w:style>
  <w:style w:type="paragraph" w:styleId="TOC3">
    <w:name w:val="toc 3"/>
    <w:basedOn w:val="Normal"/>
    <w:next w:val="Normal"/>
    <w:uiPriority w:val="39"/>
    <w:semiHidden/>
    <w:unhideWhenUsed/>
    <w:pPr>
      <w:tabs>
        <w:tab w:val="right" w:leader="dot" w:pos="9071"/>
      </w:tabs>
      <w:spacing w:before="60"/>
      <w:ind w:left="850" w:hanging="850"/>
      <w:jc w:val="left"/>
    </w:pPr>
  </w:style>
  <w:style w:type="paragraph" w:styleId="TOC4">
    <w:name w:val="toc 4"/>
    <w:basedOn w:val="Normal"/>
    <w:next w:val="Normal"/>
    <w:uiPriority w:val="39"/>
    <w:semiHidden/>
    <w:unhideWhenUsed/>
    <w:pPr>
      <w:tabs>
        <w:tab w:val="right" w:leader="dot" w:pos="9071"/>
      </w:tabs>
      <w:spacing w:before="60"/>
      <w:ind w:left="850" w:hanging="850"/>
      <w:jc w:val="left"/>
    </w:pPr>
  </w:style>
  <w:style w:type="paragraph" w:styleId="TOC5">
    <w:name w:val="toc 5"/>
    <w:basedOn w:val="Normal"/>
    <w:next w:val="Normal"/>
    <w:uiPriority w:val="39"/>
    <w:semiHidden/>
    <w:unhideWhenUsed/>
    <w:pPr>
      <w:tabs>
        <w:tab w:val="right" w:leader="dot" w:pos="9071"/>
      </w:tabs>
      <w:spacing w:before="300"/>
      <w:jc w:val="left"/>
    </w:pPr>
  </w:style>
  <w:style w:type="paragraph" w:styleId="TOC6">
    <w:name w:val="toc 6"/>
    <w:basedOn w:val="Normal"/>
    <w:next w:val="Normal"/>
    <w:uiPriority w:val="39"/>
    <w:semiHidden/>
    <w:unhideWhenUsed/>
    <w:pPr>
      <w:tabs>
        <w:tab w:val="right" w:leader="dot" w:pos="9071"/>
      </w:tabs>
      <w:spacing w:before="240"/>
      <w:jc w:val="left"/>
    </w:pPr>
  </w:style>
  <w:style w:type="paragraph" w:styleId="TOC7">
    <w:name w:val="toc 7"/>
    <w:basedOn w:val="Normal"/>
    <w:next w:val="Normal"/>
    <w:uiPriority w:val="39"/>
    <w:semiHidden/>
    <w:unhideWhenUsed/>
    <w:pPr>
      <w:tabs>
        <w:tab w:val="right" w:leader="dot" w:pos="9071"/>
      </w:tabs>
      <w:spacing w:before="180"/>
      <w:jc w:val="left"/>
    </w:pPr>
  </w:style>
  <w:style w:type="paragraph" w:styleId="TOC8">
    <w:name w:val="toc 8"/>
    <w:basedOn w:val="Normal"/>
    <w:next w:val="Normal"/>
    <w:uiPriority w:val="39"/>
    <w:semiHidden/>
    <w:unhideWhenUsed/>
    <w:pPr>
      <w:tabs>
        <w:tab w:val="right" w:leader="dot" w:pos="9071"/>
      </w:tabs>
      <w:jc w:val="left"/>
    </w:pPr>
  </w:style>
  <w:style w:type="paragraph" w:styleId="TOC9">
    <w:name w:val="toc 9"/>
    <w:basedOn w:val="Normal"/>
    <w:next w:val="Normal"/>
    <w:uiPriority w:val="39"/>
    <w:semiHidden/>
    <w:unhideWhenUsed/>
    <w:pPr>
      <w:tabs>
        <w:tab w:val="right" w:leader="dot" w:pos="9071"/>
      </w:tabs>
      <w:ind w:left="1417" w:hanging="1417"/>
      <w:jc w:val="left"/>
    </w:pPr>
  </w:style>
  <w:style w:type="character" w:styleId="FootnoteReference">
    <w:name w:val="footnote reference"/>
    <w:basedOn w:val="DefaultParagraphFont"/>
    <w:uiPriority w:val="99"/>
    <w:semiHidden/>
    <w:unhideWhenUsed/>
    <w:rPr>
      <w:shd w:val="clear" w:color="auto" w:fill="auto"/>
      <w:vertAlign w:val="superscript"/>
    </w:rPr>
  </w:style>
  <w:style w:type="paragraph" w:customStyle="1" w:styleId="HeaderSensitivity">
    <w:name w:val="Header Sensitivity"/>
    <w:basedOn w:val="Normal"/>
    <w:rsid w:val="00D95323"/>
    <w:pPr>
      <w:pBdr>
        <w:top w:val="single" w:sz="4" w:space="1" w:color="auto"/>
        <w:left w:val="single" w:sz="4" w:space="4" w:color="auto"/>
        <w:bottom w:val="single" w:sz="4" w:space="1" w:color="auto"/>
        <w:right w:val="single" w:sz="4" w:space="4" w:color="auto"/>
      </w:pBdr>
      <w:spacing w:before="0"/>
      <w:ind w:left="113" w:right="113"/>
      <w:jc w:val="center"/>
    </w:pPr>
    <w:rPr>
      <w:b/>
      <w:sz w:val="32"/>
    </w:rPr>
  </w:style>
  <w:style w:type="paragraph" w:customStyle="1" w:styleId="HeaderSensitivityRight">
    <w:name w:val="Header Sensitivity Right"/>
    <w:basedOn w:val="Normal"/>
    <w:rsid w:val="00D95323"/>
    <w:pPr>
      <w:spacing w:before="0"/>
      <w:jc w:val="right"/>
    </w:pPr>
    <w:rPr>
      <w:sz w:val="28"/>
    </w:rPr>
  </w:style>
  <w:style w:type="paragraph" w:customStyle="1" w:styleId="FooterSensitivity">
    <w:name w:val="Footer Sensitivity"/>
    <w:basedOn w:val="Normal"/>
    <w:rsid w:val="00D95323"/>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Text1">
    <w:name w:val="Text 1"/>
    <w:basedOn w:val="Normal"/>
    <w:pPr>
      <w:ind w:left="850"/>
    </w:pPr>
  </w:style>
  <w:style w:type="paragraph" w:customStyle="1" w:styleId="Text2">
    <w:name w:val="Text 2"/>
    <w:basedOn w:val="Normal"/>
    <w:pPr>
      <w:ind w:left="1417"/>
    </w:pPr>
  </w:style>
  <w:style w:type="paragraph" w:customStyle="1" w:styleId="Text3">
    <w:name w:val="Text 3"/>
    <w:basedOn w:val="Normal"/>
    <w:pPr>
      <w:ind w:left="1984"/>
    </w:pPr>
  </w:style>
  <w:style w:type="paragraph" w:customStyle="1" w:styleId="Text4">
    <w:name w:val="Text 4"/>
    <w:basedOn w:val="Normal"/>
    <w:pPr>
      <w:ind w:left="2551"/>
    </w:pPr>
  </w:style>
  <w:style w:type="paragraph" w:customStyle="1" w:styleId="Text5">
    <w:name w:val="Text 5"/>
    <w:basedOn w:val="Normal"/>
    <w:pPr>
      <w:ind w:left="3118"/>
    </w:pPr>
  </w:style>
  <w:style w:type="paragraph" w:customStyle="1" w:styleId="Text6">
    <w:name w:val="Text 6"/>
    <w:basedOn w:val="Normal"/>
    <w:pPr>
      <w:ind w:left="3685"/>
    </w:pPr>
  </w:style>
  <w:style w:type="paragraph" w:customStyle="1" w:styleId="NormalCentered">
    <w:name w:val="Normal Centered"/>
    <w:basedOn w:val="Normal"/>
    <w:pPr>
      <w:jc w:val="center"/>
    </w:pPr>
  </w:style>
  <w:style w:type="paragraph" w:customStyle="1" w:styleId="NormalLeft">
    <w:name w:val="Normal Left"/>
    <w:basedOn w:val="Normal"/>
    <w:pPr>
      <w:jc w:val="left"/>
    </w:pPr>
  </w:style>
  <w:style w:type="paragraph" w:customStyle="1" w:styleId="NormalRight">
    <w:name w:val="Normal Right"/>
    <w:basedOn w:val="Normal"/>
    <w:pPr>
      <w:jc w:val="right"/>
    </w:pPr>
  </w:style>
  <w:style w:type="paragraph" w:customStyle="1" w:styleId="QuotedText">
    <w:name w:val="Quoted Text"/>
    <w:basedOn w:val="Normal"/>
    <w:pPr>
      <w:ind w:left="1417"/>
    </w:pPr>
  </w:style>
  <w:style w:type="paragraph" w:customStyle="1" w:styleId="Point0">
    <w:name w:val="Point 0"/>
    <w:basedOn w:val="Normal"/>
    <w:pPr>
      <w:ind w:left="850" w:hanging="850"/>
    </w:pPr>
  </w:style>
  <w:style w:type="paragraph" w:customStyle="1" w:styleId="Point1">
    <w:name w:val="Point 1"/>
    <w:basedOn w:val="Normal"/>
    <w:pPr>
      <w:ind w:left="1417" w:hanging="567"/>
    </w:pPr>
  </w:style>
  <w:style w:type="paragraph" w:customStyle="1" w:styleId="Point2">
    <w:name w:val="Point 2"/>
    <w:basedOn w:val="Normal"/>
    <w:pPr>
      <w:ind w:left="1984" w:hanging="567"/>
    </w:pPr>
  </w:style>
  <w:style w:type="paragraph" w:customStyle="1" w:styleId="Point3">
    <w:name w:val="Point 3"/>
    <w:basedOn w:val="Normal"/>
    <w:pPr>
      <w:ind w:left="2551" w:hanging="567"/>
    </w:pPr>
  </w:style>
  <w:style w:type="paragraph" w:customStyle="1" w:styleId="Point4">
    <w:name w:val="Point 4"/>
    <w:basedOn w:val="Normal"/>
    <w:pPr>
      <w:ind w:left="3118" w:hanging="567"/>
    </w:pPr>
  </w:style>
  <w:style w:type="paragraph" w:customStyle="1" w:styleId="Point5">
    <w:name w:val="Point 5"/>
    <w:basedOn w:val="Normal"/>
    <w:pPr>
      <w:ind w:left="3685" w:hanging="567"/>
    </w:pPr>
  </w:style>
  <w:style w:type="paragraph" w:customStyle="1" w:styleId="Tiret0">
    <w:name w:val="Tiret 0"/>
    <w:basedOn w:val="Point0"/>
    <w:pPr>
      <w:numPr>
        <w:numId w:val="23"/>
      </w:numPr>
    </w:pPr>
  </w:style>
  <w:style w:type="paragraph" w:customStyle="1" w:styleId="Tiret1">
    <w:name w:val="Tiret 1"/>
    <w:basedOn w:val="Point1"/>
    <w:pPr>
      <w:numPr>
        <w:numId w:val="24"/>
      </w:numPr>
    </w:pPr>
  </w:style>
  <w:style w:type="paragraph" w:customStyle="1" w:styleId="Tiret2">
    <w:name w:val="Tiret 2"/>
    <w:basedOn w:val="Point2"/>
    <w:pPr>
      <w:numPr>
        <w:numId w:val="25"/>
      </w:numPr>
    </w:pPr>
  </w:style>
  <w:style w:type="paragraph" w:customStyle="1" w:styleId="Tiret3">
    <w:name w:val="Tiret 3"/>
    <w:basedOn w:val="Point3"/>
    <w:pPr>
      <w:numPr>
        <w:numId w:val="26"/>
      </w:numPr>
    </w:pPr>
  </w:style>
  <w:style w:type="paragraph" w:customStyle="1" w:styleId="Tiret4">
    <w:name w:val="Tiret 4"/>
    <w:basedOn w:val="Point4"/>
    <w:pPr>
      <w:numPr>
        <w:numId w:val="27"/>
      </w:numPr>
    </w:pPr>
  </w:style>
  <w:style w:type="paragraph" w:customStyle="1" w:styleId="Tiret5">
    <w:name w:val="Tiret 5"/>
    <w:basedOn w:val="Point5"/>
    <w:pPr>
      <w:numPr>
        <w:numId w:val="28"/>
      </w:numPr>
    </w:pPr>
  </w:style>
  <w:style w:type="paragraph" w:customStyle="1" w:styleId="PointDouble0">
    <w:name w:val="PointDouble 0"/>
    <w:basedOn w:val="Normal"/>
    <w:pPr>
      <w:tabs>
        <w:tab w:val="left" w:pos="850"/>
      </w:tabs>
      <w:ind w:left="1417" w:hanging="1417"/>
    </w:pPr>
  </w:style>
  <w:style w:type="paragraph" w:customStyle="1" w:styleId="PointDouble1">
    <w:name w:val="PointDouble 1"/>
    <w:basedOn w:val="Normal"/>
    <w:pPr>
      <w:tabs>
        <w:tab w:val="left" w:pos="1417"/>
      </w:tabs>
      <w:ind w:left="1984" w:hanging="1134"/>
    </w:pPr>
  </w:style>
  <w:style w:type="paragraph" w:customStyle="1" w:styleId="PointDouble2">
    <w:name w:val="PointDouble 2"/>
    <w:basedOn w:val="Normal"/>
    <w:pPr>
      <w:tabs>
        <w:tab w:val="left" w:pos="1984"/>
      </w:tabs>
      <w:ind w:left="2551" w:hanging="1134"/>
    </w:pPr>
  </w:style>
  <w:style w:type="paragraph" w:customStyle="1" w:styleId="PointDouble3">
    <w:name w:val="PointDouble 3"/>
    <w:basedOn w:val="Normal"/>
    <w:pPr>
      <w:tabs>
        <w:tab w:val="left" w:pos="2551"/>
      </w:tabs>
      <w:ind w:left="3118" w:hanging="1134"/>
    </w:pPr>
  </w:style>
  <w:style w:type="paragraph" w:customStyle="1" w:styleId="PointDouble4">
    <w:name w:val="PointDouble 4"/>
    <w:basedOn w:val="Normal"/>
    <w:pPr>
      <w:tabs>
        <w:tab w:val="left" w:pos="3118"/>
      </w:tabs>
      <w:ind w:left="3685" w:hanging="1134"/>
    </w:pPr>
  </w:style>
  <w:style w:type="paragraph" w:customStyle="1" w:styleId="PointTriple0">
    <w:name w:val="PointTriple 0"/>
    <w:basedOn w:val="Normal"/>
    <w:pPr>
      <w:tabs>
        <w:tab w:val="left" w:pos="850"/>
        <w:tab w:val="left" w:pos="1417"/>
      </w:tabs>
      <w:ind w:left="1984" w:hanging="1984"/>
    </w:pPr>
  </w:style>
  <w:style w:type="paragraph" w:customStyle="1" w:styleId="PointTriple1">
    <w:name w:val="PointTriple 1"/>
    <w:basedOn w:val="Normal"/>
    <w:pPr>
      <w:tabs>
        <w:tab w:val="left" w:pos="1417"/>
        <w:tab w:val="left" w:pos="1984"/>
      </w:tabs>
      <w:ind w:left="2551" w:hanging="1701"/>
    </w:pPr>
  </w:style>
  <w:style w:type="paragraph" w:customStyle="1" w:styleId="PointTriple2">
    <w:name w:val="PointTriple 2"/>
    <w:basedOn w:val="Normal"/>
    <w:pPr>
      <w:tabs>
        <w:tab w:val="left" w:pos="1984"/>
        <w:tab w:val="left" w:pos="2551"/>
      </w:tabs>
      <w:ind w:left="3118" w:hanging="1701"/>
    </w:pPr>
  </w:style>
  <w:style w:type="paragraph" w:customStyle="1" w:styleId="PointTriple3">
    <w:name w:val="PointTriple 3"/>
    <w:basedOn w:val="Normal"/>
    <w:pPr>
      <w:tabs>
        <w:tab w:val="left" w:pos="2551"/>
        <w:tab w:val="left" w:pos="3118"/>
      </w:tabs>
      <w:ind w:left="3685" w:hanging="1701"/>
    </w:pPr>
  </w:style>
  <w:style w:type="paragraph" w:customStyle="1" w:styleId="PointTriple4">
    <w:name w:val="PointTriple 4"/>
    <w:basedOn w:val="Normal"/>
    <w:pPr>
      <w:tabs>
        <w:tab w:val="left" w:pos="3118"/>
        <w:tab w:val="left" w:pos="3685"/>
      </w:tabs>
      <w:ind w:left="4252" w:hanging="1701"/>
    </w:pPr>
  </w:style>
  <w:style w:type="paragraph" w:customStyle="1" w:styleId="NumPar1">
    <w:name w:val="NumPar 1"/>
    <w:basedOn w:val="Normal"/>
    <w:next w:val="Text1"/>
    <w:pPr>
      <w:numPr>
        <w:numId w:val="29"/>
      </w:numPr>
    </w:pPr>
  </w:style>
  <w:style w:type="paragraph" w:customStyle="1" w:styleId="NumPar2">
    <w:name w:val="NumPar 2"/>
    <w:basedOn w:val="Normal"/>
    <w:next w:val="Text1"/>
    <w:pPr>
      <w:numPr>
        <w:ilvl w:val="1"/>
        <w:numId w:val="29"/>
      </w:numPr>
    </w:pPr>
  </w:style>
  <w:style w:type="paragraph" w:customStyle="1" w:styleId="NumPar3">
    <w:name w:val="NumPar 3"/>
    <w:basedOn w:val="Normal"/>
    <w:next w:val="Text1"/>
    <w:pPr>
      <w:numPr>
        <w:ilvl w:val="2"/>
        <w:numId w:val="29"/>
      </w:numPr>
    </w:pPr>
  </w:style>
  <w:style w:type="paragraph" w:customStyle="1" w:styleId="NumPar4">
    <w:name w:val="NumPar 4"/>
    <w:basedOn w:val="Normal"/>
    <w:next w:val="Text1"/>
    <w:pPr>
      <w:numPr>
        <w:ilvl w:val="3"/>
        <w:numId w:val="29"/>
      </w:numPr>
    </w:pPr>
  </w:style>
  <w:style w:type="paragraph" w:customStyle="1" w:styleId="NumPar5">
    <w:name w:val="NumPar 5"/>
    <w:basedOn w:val="Normal"/>
    <w:next w:val="Text2"/>
    <w:pPr>
      <w:numPr>
        <w:ilvl w:val="4"/>
        <w:numId w:val="29"/>
      </w:numPr>
    </w:pPr>
  </w:style>
  <w:style w:type="paragraph" w:customStyle="1" w:styleId="NumPar6">
    <w:name w:val="NumPar 6"/>
    <w:basedOn w:val="Normal"/>
    <w:next w:val="Text2"/>
    <w:pPr>
      <w:numPr>
        <w:ilvl w:val="5"/>
        <w:numId w:val="29"/>
      </w:numPr>
    </w:pPr>
  </w:style>
  <w:style w:type="paragraph" w:customStyle="1" w:styleId="NumPar7">
    <w:name w:val="NumPar 7"/>
    <w:basedOn w:val="Normal"/>
    <w:next w:val="Text2"/>
    <w:pPr>
      <w:numPr>
        <w:ilvl w:val="6"/>
        <w:numId w:val="29"/>
      </w:numPr>
    </w:pPr>
  </w:style>
  <w:style w:type="paragraph" w:customStyle="1" w:styleId="ManualNumPar1">
    <w:name w:val="Manual NumPar 1"/>
    <w:basedOn w:val="Normal"/>
    <w:next w:val="Text1"/>
    <w:pPr>
      <w:ind w:left="850" w:hanging="850"/>
    </w:pPr>
  </w:style>
  <w:style w:type="paragraph" w:customStyle="1" w:styleId="ManualNumPar2">
    <w:name w:val="Manual NumPar 2"/>
    <w:basedOn w:val="Normal"/>
    <w:next w:val="Text1"/>
    <w:pPr>
      <w:ind w:left="850" w:hanging="850"/>
    </w:pPr>
  </w:style>
  <w:style w:type="paragraph" w:customStyle="1" w:styleId="ManualNumPar3">
    <w:name w:val="Manual NumPar 3"/>
    <w:basedOn w:val="Normal"/>
    <w:next w:val="Text1"/>
    <w:pPr>
      <w:ind w:left="850" w:hanging="850"/>
    </w:pPr>
  </w:style>
  <w:style w:type="paragraph" w:customStyle="1" w:styleId="ManualNumPar4">
    <w:name w:val="Manual NumPar 4"/>
    <w:basedOn w:val="Normal"/>
    <w:next w:val="Text1"/>
    <w:pPr>
      <w:ind w:left="850" w:hanging="850"/>
    </w:pPr>
  </w:style>
  <w:style w:type="paragraph" w:customStyle="1" w:styleId="ManualNumPar5">
    <w:name w:val="Manual NumPar 5"/>
    <w:basedOn w:val="Normal"/>
    <w:next w:val="Text2"/>
    <w:pPr>
      <w:ind w:left="1417" w:hanging="1417"/>
    </w:pPr>
  </w:style>
  <w:style w:type="paragraph" w:customStyle="1" w:styleId="ManualNumPar6">
    <w:name w:val="Manual NumPar 6"/>
    <w:basedOn w:val="Normal"/>
    <w:next w:val="Text2"/>
    <w:pPr>
      <w:ind w:left="1417" w:hanging="1417"/>
    </w:pPr>
  </w:style>
  <w:style w:type="paragraph" w:customStyle="1" w:styleId="ManualNumPar7">
    <w:name w:val="Manual NumPar 7"/>
    <w:basedOn w:val="Normal"/>
    <w:next w:val="Text2"/>
    <w:pPr>
      <w:ind w:left="1417" w:hanging="1417"/>
    </w:pPr>
  </w:style>
  <w:style w:type="paragraph" w:customStyle="1" w:styleId="QuotedNumPar">
    <w:name w:val="Quoted NumPar"/>
    <w:basedOn w:val="Normal"/>
    <w:pPr>
      <w:ind w:left="1417" w:hanging="567"/>
    </w:pPr>
  </w:style>
  <w:style w:type="paragraph" w:customStyle="1" w:styleId="ManualHeading1">
    <w:name w:val="Manual Heading 1"/>
    <w:basedOn w:val="Normal"/>
    <w:next w:val="Text1"/>
    <w:pPr>
      <w:keepNext/>
      <w:tabs>
        <w:tab w:val="left" w:pos="850"/>
      </w:tabs>
      <w:spacing w:before="360"/>
      <w:ind w:left="850" w:hanging="850"/>
      <w:outlineLvl w:val="0"/>
    </w:pPr>
    <w:rPr>
      <w:b/>
      <w:smallCaps/>
    </w:rPr>
  </w:style>
  <w:style w:type="paragraph" w:customStyle="1" w:styleId="ManualHeading2">
    <w:name w:val="Manual Heading 2"/>
    <w:basedOn w:val="Normal"/>
    <w:next w:val="Text1"/>
    <w:pPr>
      <w:keepNext/>
      <w:tabs>
        <w:tab w:val="left" w:pos="850"/>
      </w:tabs>
      <w:ind w:left="850" w:hanging="850"/>
      <w:outlineLvl w:val="1"/>
    </w:pPr>
    <w:rPr>
      <w:b/>
    </w:rPr>
  </w:style>
  <w:style w:type="paragraph" w:customStyle="1" w:styleId="ManualHeading3">
    <w:name w:val="Manual Heading 3"/>
    <w:basedOn w:val="Normal"/>
    <w:next w:val="Text1"/>
    <w:pPr>
      <w:keepNext/>
      <w:tabs>
        <w:tab w:val="left" w:pos="850"/>
      </w:tabs>
      <w:ind w:left="850" w:hanging="850"/>
      <w:outlineLvl w:val="2"/>
    </w:pPr>
    <w:rPr>
      <w:i/>
    </w:rPr>
  </w:style>
  <w:style w:type="paragraph" w:customStyle="1" w:styleId="ManualHeading4">
    <w:name w:val="Manual Heading 4"/>
    <w:basedOn w:val="Normal"/>
    <w:next w:val="Text1"/>
    <w:pPr>
      <w:keepNext/>
      <w:tabs>
        <w:tab w:val="left" w:pos="850"/>
      </w:tabs>
      <w:ind w:left="850" w:hanging="850"/>
      <w:outlineLvl w:val="3"/>
    </w:pPr>
  </w:style>
  <w:style w:type="paragraph" w:customStyle="1" w:styleId="ManualHeading5">
    <w:name w:val="Manual Heading 5"/>
    <w:basedOn w:val="Normal"/>
    <w:next w:val="Text2"/>
    <w:pPr>
      <w:keepNext/>
      <w:tabs>
        <w:tab w:val="left" w:pos="1417"/>
      </w:tabs>
      <w:ind w:left="1417" w:hanging="1417"/>
      <w:outlineLvl w:val="4"/>
    </w:pPr>
  </w:style>
  <w:style w:type="paragraph" w:customStyle="1" w:styleId="ManualHeading6">
    <w:name w:val="Manual Heading 6"/>
    <w:basedOn w:val="Normal"/>
    <w:next w:val="Text2"/>
    <w:pPr>
      <w:keepNext/>
      <w:tabs>
        <w:tab w:val="left" w:pos="1417"/>
      </w:tabs>
      <w:ind w:left="1417" w:hanging="1417"/>
      <w:outlineLvl w:val="5"/>
    </w:pPr>
  </w:style>
  <w:style w:type="paragraph" w:customStyle="1" w:styleId="ManualHeading7">
    <w:name w:val="Manual Heading 7"/>
    <w:basedOn w:val="Normal"/>
    <w:next w:val="Text2"/>
    <w:pPr>
      <w:keepNext/>
      <w:tabs>
        <w:tab w:val="left" w:pos="1417"/>
      </w:tabs>
      <w:ind w:left="1417" w:hanging="1417"/>
      <w:outlineLvl w:val="6"/>
    </w:pPr>
  </w:style>
  <w:style w:type="paragraph" w:customStyle="1" w:styleId="ChapterTitle">
    <w:name w:val="ChapterTitle"/>
    <w:basedOn w:val="Normal"/>
    <w:next w:val="Normal"/>
    <w:pPr>
      <w:keepNext/>
      <w:spacing w:after="360"/>
      <w:jc w:val="center"/>
    </w:pPr>
    <w:rPr>
      <w:b/>
      <w:sz w:val="32"/>
    </w:rPr>
  </w:style>
  <w:style w:type="paragraph" w:customStyle="1" w:styleId="PartTitle">
    <w:name w:val="PartTitle"/>
    <w:basedOn w:val="Normal"/>
    <w:next w:val="ChapterTitle"/>
    <w:pPr>
      <w:keepNext/>
      <w:pageBreakBefore/>
      <w:spacing w:after="360"/>
      <w:jc w:val="center"/>
    </w:pPr>
    <w:rPr>
      <w:b/>
      <w:sz w:val="36"/>
    </w:rPr>
  </w:style>
  <w:style w:type="paragraph" w:customStyle="1" w:styleId="SectionTitle">
    <w:name w:val="SectionTitle"/>
    <w:basedOn w:val="Normal"/>
    <w:next w:val="Heading1"/>
    <w:pPr>
      <w:keepNext/>
      <w:spacing w:after="360"/>
      <w:jc w:val="center"/>
    </w:pPr>
    <w:rPr>
      <w:b/>
      <w:smallCaps/>
      <w:sz w:val="28"/>
    </w:rPr>
  </w:style>
  <w:style w:type="paragraph" w:customStyle="1" w:styleId="TableTitle">
    <w:name w:val="Table Title"/>
    <w:basedOn w:val="Normal"/>
    <w:next w:val="Normal"/>
    <w:pPr>
      <w:jc w:val="center"/>
    </w:pPr>
    <w:rPr>
      <w:b/>
    </w:rPr>
  </w:style>
  <w:style w:type="character" w:customStyle="1" w:styleId="Marker">
    <w:name w:val="Marker"/>
    <w:basedOn w:val="DefaultParagraphFont"/>
    <w:rPr>
      <w:color w:val="0000FF"/>
      <w:shd w:val="clear" w:color="auto" w:fill="auto"/>
    </w:rPr>
  </w:style>
  <w:style w:type="character" w:customStyle="1" w:styleId="Marker1">
    <w:name w:val="Marker1"/>
    <w:basedOn w:val="DefaultParagraphFont"/>
    <w:rPr>
      <w:color w:val="008000"/>
      <w:shd w:val="clear" w:color="auto" w:fill="auto"/>
    </w:rPr>
  </w:style>
  <w:style w:type="character" w:customStyle="1" w:styleId="Marker2">
    <w:name w:val="Marker2"/>
    <w:basedOn w:val="DefaultParagraphFont"/>
    <w:rPr>
      <w:color w:val="FF0000"/>
      <w:shd w:val="clear" w:color="auto" w:fill="auto"/>
    </w:rPr>
  </w:style>
  <w:style w:type="paragraph" w:customStyle="1" w:styleId="Point0number">
    <w:name w:val="Point 0 (number)"/>
    <w:basedOn w:val="Normal"/>
    <w:pPr>
      <w:numPr>
        <w:numId w:val="31"/>
      </w:numPr>
    </w:pPr>
  </w:style>
  <w:style w:type="paragraph" w:customStyle="1" w:styleId="Point1number">
    <w:name w:val="Point 1 (number)"/>
    <w:basedOn w:val="Normal"/>
    <w:pPr>
      <w:numPr>
        <w:ilvl w:val="2"/>
        <w:numId w:val="31"/>
      </w:numPr>
    </w:pPr>
  </w:style>
  <w:style w:type="paragraph" w:customStyle="1" w:styleId="Point2number">
    <w:name w:val="Point 2 (number)"/>
    <w:basedOn w:val="Normal"/>
    <w:pPr>
      <w:numPr>
        <w:ilvl w:val="4"/>
        <w:numId w:val="31"/>
      </w:numPr>
    </w:pPr>
  </w:style>
  <w:style w:type="paragraph" w:customStyle="1" w:styleId="Point3number">
    <w:name w:val="Point 3 (number)"/>
    <w:basedOn w:val="Normal"/>
    <w:pPr>
      <w:numPr>
        <w:ilvl w:val="6"/>
        <w:numId w:val="31"/>
      </w:numPr>
    </w:pPr>
  </w:style>
  <w:style w:type="paragraph" w:customStyle="1" w:styleId="Point0letter">
    <w:name w:val="Point 0 (letter)"/>
    <w:basedOn w:val="Normal"/>
    <w:pPr>
      <w:numPr>
        <w:ilvl w:val="1"/>
        <w:numId w:val="31"/>
      </w:numPr>
    </w:pPr>
  </w:style>
  <w:style w:type="paragraph" w:customStyle="1" w:styleId="Point1letter">
    <w:name w:val="Point 1 (letter)"/>
    <w:basedOn w:val="Normal"/>
    <w:pPr>
      <w:numPr>
        <w:ilvl w:val="3"/>
        <w:numId w:val="31"/>
      </w:numPr>
    </w:pPr>
  </w:style>
  <w:style w:type="paragraph" w:customStyle="1" w:styleId="Point2letter">
    <w:name w:val="Point 2 (letter)"/>
    <w:basedOn w:val="Normal"/>
    <w:pPr>
      <w:numPr>
        <w:ilvl w:val="5"/>
        <w:numId w:val="31"/>
      </w:numPr>
    </w:pPr>
  </w:style>
  <w:style w:type="paragraph" w:customStyle="1" w:styleId="Point3letter">
    <w:name w:val="Point 3 (letter)"/>
    <w:basedOn w:val="Normal"/>
    <w:pPr>
      <w:numPr>
        <w:ilvl w:val="7"/>
        <w:numId w:val="31"/>
      </w:numPr>
    </w:pPr>
  </w:style>
  <w:style w:type="paragraph" w:customStyle="1" w:styleId="Point4letter">
    <w:name w:val="Point 4 (letter)"/>
    <w:basedOn w:val="Normal"/>
    <w:pPr>
      <w:numPr>
        <w:ilvl w:val="8"/>
        <w:numId w:val="31"/>
      </w:numPr>
    </w:pPr>
  </w:style>
  <w:style w:type="paragraph" w:customStyle="1" w:styleId="Bullet0">
    <w:name w:val="Bullet 0"/>
    <w:basedOn w:val="Normal"/>
    <w:pPr>
      <w:numPr>
        <w:numId w:val="32"/>
      </w:numPr>
    </w:pPr>
  </w:style>
  <w:style w:type="paragraph" w:customStyle="1" w:styleId="Bullet1">
    <w:name w:val="Bullet 1"/>
    <w:basedOn w:val="Normal"/>
    <w:pPr>
      <w:numPr>
        <w:numId w:val="33"/>
      </w:numPr>
    </w:pPr>
  </w:style>
  <w:style w:type="paragraph" w:customStyle="1" w:styleId="Bullet2">
    <w:name w:val="Bullet 2"/>
    <w:basedOn w:val="Normal"/>
    <w:pPr>
      <w:numPr>
        <w:numId w:val="34"/>
      </w:numPr>
    </w:pPr>
  </w:style>
  <w:style w:type="paragraph" w:customStyle="1" w:styleId="Bullet3">
    <w:name w:val="Bullet 3"/>
    <w:basedOn w:val="Normal"/>
    <w:pPr>
      <w:numPr>
        <w:numId w:val="35"/>
      </w:numPr>
    </w:pPr>
  </w:style>
  <w:style w:type="paragraph" w:customStyle="1" w:styleId="Bullet4">
    <w:name w:val="Bullet 4"/>
    <w:basedOn w:val="Normal"/>
    <w:pPr>
      <w:numPr>
        <w:numId w:val="36"/>
      </w:numPr>
    </w:pPr>
  </w:style>
  <w:style w:type="paragraph" w:customStyle="1" w:styleId="Langue">
    <w:name w:val="Langue"/>
    <w:basedOn w:val="Normal"/>
    <w:next w:val="Rfrenceinterne"/>
    <w:pPr>
      <w:framePr w:wrap="around" w:vAnchor="page" w:hAnchor="text" w:xAlign="center" w:y="14741"/>
      <w:spacing w:before="0" w:after="600"/>
      <w:jc w:val="center"/>
    </w:pPr>
    <w:rPr>
      <w:b/>
      <w:caps/>
    </w:rPr>
  </w:style>
  <w:style w:type="paragraph" w:customStyle="1" w:styleId="Nomdelinstitution">
    <w:name w:val="Nom de l'institution"/>
    <w:basedOn w:val="Normal"/>
    <w:next w:val="Emission"/>
    <w:pPr>
      <w:spacing w:before="0" w:after="0"/>
      <w:jc w:val="left"/>
    </w:pPr>
    <w:rPr>
      <w:rFonts w:ascii="Arial" w:hAnsi="Arial" w:cs="Arial"/>
    </w:rPr>
  </w:style>
  <w:style w:type="paragraph" w:customStyle="1" w:styleId="Emission">
    <w:name w:val="Emission"/>
    <w:basedOn w:val="Normal"/>
    <w:next w:val="Rfrenceinstitutionnelle"/>
    <w:pPr>
      <w:spacing w:before="0" w:after="0"/>
      <w:ind w:left="5103"/>
      <w:jc w:val="left"/>
    </w:pPr>
  </w:style>
  <w:style w:type="paragraph" w:customStyle="1" w:styleId="Rfrenceinstitutionnelle">
    <w:name w:val="Référence institutionnelle"/>
    <w:basedOn w:val="Normal"/>
    <w:next w:val="Confidentialit"/>
    <w:pPr>
      <w:spacing w:before="0" w:after="240"/>
      <w:ind w:left="5103"/>
      <w:jc w:val="left"/>
    </w:pPr>
  </w:style>
  <w:style w:type="paragraph" w:customStyle="1" w:styleId="Pagedecouverture">
    <w:name w:val="Page de couverture"/>
    <w:basedOn w:val="Normal"/>
    <w:next w:val="Normal"/>
    <w:pPr>
      <w:spacing w:before="0" w:after="0"/>
    </w:pPr>
  </w:style>
  <w:style w:type="paragraph" w:customStyle="1" w:styleId="Declassification">
    <w:name w:val="Declassification"/>
    <w:basedOn w:val="Normal"/>
    <w:next w:val="Normal"/>
    <w:pPr>
      <w:spacing w:before="0" w:after="0"/>
    </w:pPr>
  </w:style>
  <w:style w:type="paragraph" w:customStyle="1" w:styleId="Disclaimer">
    <w:name w:val="Disclaimer"/>
    <w:basedOn w:val="Normal"/>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SecurityMarking">
    <w:name w:val="SecurityMarking"/>
    <w:basedOn w:val="Normal"/>
    <w:pPr>
      <w:spacing w:before="0" w:after="0" w:line="276" w:lineRule="auto"/>
      <w:ind w:left="5103"/>
      <w:jc w:val="left"/>
    </w:pPr>
    <w:rPr>
      <w:sz w:val="28"/>
    </w:rPr>
  </w:style>
  <w:style w:type="paragraph" w:customStyle="1" w:styleId="DateMarking">
    <w:name w:val="DateMarking"/>
    <w:basedOn w:val="Normal"/>
    <w:pPr>
      <w:spacing w:before="0" w:after="0" w:line="276" w:lineRule="auto"/>
      <w:ind w:left="5103"/>
      <w:jc w:val="left"/>
    </w:pPr>
    <w:rPr>
      <w:i/>
      <w:sz w:val="28"/>
    </w:rPr>
  </w:style>
  <w:style w:type="paragraph" w:customStyle="1" w:styleId="ReleasableTo">
    <w:name w:val="ReleasableTo"/>
    <w:basedOn w:val="Normal"/>
    <w:pPr>
      <w:spacing w:before="0" w:after="0" w:line="276" w:lineRule="auto"/>
      <w:ind w:left="5103"/>
      <w:jc w:val="left"/>
    </w:pPr>
    <w:rPr>
      <w:i/>
      <w:sz w:val="28"/>
    </w:rPr>
  </w:style>
  <w:style w:type="paragraph" w:customStyle="1" w:styleId="Annexetitreexpos">
    <w:name w:val="Annexe titre (exposé)"/>
    <w:basedOn w:val="Normal"/>
    <w:next w:val="Normal"/>
    <w:pPr>
      <w:jc w:val="center"/>
    </w:pPr>
    <w:rPr>
      <w:b/>
      <w:u w:val="single"/>
    </w:rPr>
  </w:style>
  <w:style w:type="paragraph" w:customStyle="1" w:styleId="Annexetitre">
    <w:name w:val="Annexe titre"/>
    <w:basedOn w:val="Normal"/>
    <w:next w:val="Normal"/>
    <w:pPr>
      <w:jc w:val="center"/>
    </w:pPr>
    <w:rPr>
      <w:b/>
      <w:u w:val="single"/>
    </w:rPr>
  </w:style>
  <w:style w:type="paragraph" w:customStyle="1" w:styleId="Annexetitrefichefinancire">
    <w:name w:val="Annexe titre (fiche financière)"/>
    <w:basedOn w:val="Normal"/>
    <w:next w:val="Normal"/>
    <w:pPr>
      <w:jc w:val="center"/>
    </w:pPr>
    <w:rPr>
      <w:b/>
      <w:u w:val="single"/>
    </w:rPr>
  </w:style>
  <w:style w:type="paragraph" w:customStyle="1" w:styleId="Applicationdirecte">
    <w:name w:val="Application directe"/>
    <w:basedOn w:val="Normal"/>
    <w:next w:val="Fait"/>
    <w:pPr>
      <w:spacing w:before="480"/>
    </w:pPr>
  </w:style>
  <w:style w:type="paragraph" w:customStyle="1" w:styleId="Avertissementtitre">
    <w:name w:val="Avertissement titre"/>
    <w:basedOn w:val="Normal"/>
    <w:next w:val="Normal"/>
    <w:pPr>
      <w:keepNext/>
      <w:spacing w:before="480"/>
    </w:pPr>
    <w:rPr>
      <w:u w:val="single"/>
    </w:rPr>
  </w:style>
  <w:style w:type="paragraph" w:customStyle="1" w:styleId="Confidence">
    <w:name w:val="Confidence"/>
    <w:basedOn w:val="Normal"/>
    <w:next w:val="Normal"/>
    <w:pPr>
      <w:spacing w:before="360"/>
      <w:jc w:val="center"/>
    </w:pPr>
  </w:style>
  <w:style w:type="paragraph" w:customStyle="1" w:styleId="Confidentialit">
    <w:name w:val="Confidentialité"/>
    <w:basedOn w:val="Normal"/>
    <w:next w:val="TypedudocumentPagedecouverture"/>
    <w:pPr>
      <w:spacing w:before="240" w:after="240"/>
      <w:ind w:left="5103"/>
      <w:jc w:val="left"/>
    </w:pPr>
    <w:rPr>
      <w:i/>
      <w:sz w:val="32"/>
    </w:rPr>
  </w:style>
  <w:style w:type="paragraph" w:customStyle="1" w:styleId="Considrant">
    <w:name w:val="Considérant"/>
    <w:basedOn w:val="Normal"/>
    <w:pPr>
      <w:numPr>
        <w:numId w:val="37"/>
      </w:numPr>
    </w:pPr>
  </w:style>
  <w:style w:type="paragraph" w:customStyle="1" w:styleId="Corrigendum">
    <w:name w:val="Corrigendum"/>
    <w:basedOn w:val="Normal"/>
    <w:next w:val="Normal"/>
    <w:pPr>
      <w:spacing w:before="0" w:after="240"/>
      <w:jc w:val="left"/>
    </w:pPr>
  </w:style>
  <w:style w:type="paragraph" w:customStyle="1" w:styleId="Datedadoption">
    <w:name w:val="Date d'adoption"/>
    <w:basedOn w:val="Normal"/>
    <w:next w:val="Titreobjet"/>
    <w:pPr>
      <w:spacing w:before="360" w:after="0"/>
      <w:jc w:val="center"/>
    </w:pPr>
    <w:rPr>
      <w:b/>
    </w:rPr>
  </w:style>
  <w:style w:type="paragraph" w:customStyle="1" w:styleId="Exposdesmotifstitre">
    <w:name w:val="Exposé des motifs titre"/>
    <w:basedOn w:val="Normal"/>
    <w:next w:val="Normal"/>
    <w:pPr>
      <w:jc w:val="center"/>
    </w:pPr>
    <w:rPr>
      <w:b/>
      <w:u w:val="single"/>
    </w:rPr>
  </w:style>
  <w:style w:type="paragraph" w:customStyle="1" w:styleId="Fait">
    <w:name w:val="Fait à"/>
    <w:basedOn w:val="Normal"/>
    <w:next w:val="Institutionquisigne"/>
    <w:pPr>
      <w:keepNext/>
      <w:spacing w:after="0"/>
    </w:pPr>
  </w:style>
  <w:style w:type="paragraph" w:customStyle="1" w:styleId="Formuledadoption">
    <w:name w:val="Formule d'adoption"/>
    <w:basedOn w:val="Normal"/>
    <w:next w:val="Titrearticle"/>
    <w:pPr>
      <w:keepNext/>
    </w:pPr>
  </w:style>
  <w:style w:type="paragraph" w:customStyle="1" w:styleId="Institutionquiagit">
    <w:name w:val="Institution qui agit"/>
    <w:basedOn w:val="Normal"/>
    <w:next w:val="Normal"/>
    <w:pPr>
      <w:keepNext/>
      <w:spacing w:before="600"/>
    </w:pPr>
  </w:style>
  <w:style w:type="paragraph" w:customStyle="1" w:styleId="Institutionquisigne">
    <w:name w:val="Institution qui signe"/>
    <w:basedOn w:val="Normal"/>
    <w:next w:val="Personnequisigne"/>
    <w:pPr>
      <w:keepNext/>
      <w:tabs>
        <w:tab w:val="left" w:pos="4252"/>
      </w:tabs>
      <w:spacing w:before="720" w:after="0"/>
    </w:pPr>
    <w:rPr>
      <w:i/>
    </w:rPr>
  </w:style>
  <w:style w:type="paragraph" w:customStyle="1" w:styleId="ManualConsidrant">
    <w:name w:val="Manual Considérant"/>
    <w:basedOn w:val="Normal"/>
    <w:pPr>
      <w:ind w:left="709" w:hanging="709"/>
    </w:pPr>
  </w:style>
  <w:style w:type="paragraph" w:customStyle="1" w:styleId="Personnequisigne">
    <w:name w:val="Personne qui signe"/>
    <w:basedOn w:val="Normal"/>
    <w:next w:val="Institutionquisigne"/>
    <w:pPr>
      <w:tabs>
        <w:tab w:val="left" w:pos="4252"/>
      </w:tabs>
      <w:spacing w:before="0" w:after="0"/>
      <w:jc w:val="left"/>
    </w:pPr>
    <w:rPr>
      <w:i/>
    </w:rPr>
  </w:style>
  <w:style w:type="paragraph" w:customStyle="1" w:styleId="Rfrenceinterinstitutionnelle">
    <w:name w:val="Référence interinstitutionnelle"/>
    <w:basedOn w:val="Normal"/>
    <w:next w:val="Statut"/>
    <w:pPr>
      <w:spacing w:before="0" w:after="0"/>
      <w:ind w:left="5103"/>
      <w:jc w:val="left"/>
    </w:pPr>
  </w:style>
  <w:style w:type="paragraph" w:customStyle="1" w:styleId="Rfrenceinterne">
    <w:name w:val="Référence interne"/>
    <w:basedOn w:val="Normal"/>
    <w:next w:val="Rfrenceinterinstitutionnelle"/>
    <w:pPr>
      <w:spacing w:before="0" w:after="0"/>
      <w:ind w:left="5103"/>
      <w:jc w:val="left"/>
    </w:pPr>
  </w:style>
  <w:style w:type="paragraph" w:customStyle="1" w:styleId="Statut">
    <w:name w:val="Statut"/>
    <w:basedOn w:val="Normal"/>
    <w:next w:val="Typedudocument"/>
    <w:pPr>
      <w:spacing w:before="360" w:after="0"/>
      <w:jc w:val="center"/>
    </w:pPr>
  </w:style>
  <w:style w:type="paragraph" w:customStyle="1" w:styleId="Titrearticle">
    <w:name w:val="Titre article"/>
    <w:basedOn w:val="Normal"/>
    <w:next w:val="Normal"/>
    <w:pPr>
      <w:keepNext/>
      <w:spacing w:before="360"/>
      <w:jc w:val="center"/>
    </w:pPr>
    <w:rPr>
      <w:i/>
    </w:rPr>
  </w:style>
  <w:style w:type="paragraph" w:customStyle="1" w:styleId="Titreobjet">
    <w:name w:val="Titre objet"/>
    <w:basedOn w:val="Normal"/>
    <w:next w:val="IntrtEEE"/>
    <w:pPr>
      <w:spacing w:before="360" w:after="360"/>
      <w:jc w:val="center"/>
    </w:pPr>
    <w:rPr>
      <w:b/>
    </w:rPr>
  </w:style>
  <w:style w:type="paragraph" w:customStyle="1" w:styleId="Typedudocument">
    <w:name w:val="Type du document"/>
    <w:basedOn w:val="Normal"/>
    <w:next w:val="Titreobjet"/>
    <w:pPr>
      <w:spacing w:before="360" w:after="0"/>
      <w:jc w:val="center"/>
    </w:pPr>
    <w:rPr>
      <w:b/>
    </w:rPr>
  </w:style>
  <w:style w:type="character" w:customStyle="1" w:styleId="Added">
    <w:name w:val="Added"/>
    <w:basedOn w:val="DefaultParagraphFont"/>
    <w:rPr>
      <w:b/>
      <w:u w:val="single"/>
      <w:shd w:val="clear" w:color="auto" w:fill="auto"/>
    </w:rPr>
  </w:style>
  <w:style w:type="character" w:customStyle="1" w:styleId="Deleted">
    <w:name w:val="Deleted"/>
    <w:basedOn w:val="DefaultParagraphFont"/>
    <w:rPr>
      <w:strike/>
      <w:dstrike w:val="0"/>
      <w:shd w:val="clear" w:color="auto" w:fill="auto"/>
    </w:rPr>
  </w:style>
  <w:style w:type="paragraph" w:customStyle="1" w:styleId="Address">
    <w:name w:val="Address"/>
    <w:basedOn w:val="Normal"/>
    <w:next w:val="Normal"/>
    <w:pPr>
      <w:keepLines/>
      <w:spacing w:line="360" w:lineRule="auto"/>
      <w:ind w:left="3402"/>
      <w:jc w:val="left"/>
    </w:pPr>
  </w:style>
  <w:style w:type="paragraph" w:customStyle="1" w:styleId="Objetexterne">
    <w:name w:val="Objet externe"/>
    <w:basedOn w:val="Normal"/>
    <w:next w:val="Normal"/>
    <w:rPr>
      <w:i/>
      <w:caps/>
    </w:rPr>
  </w:style>
  <w:style w:type="paragraph" w:customStyle="1" w:styleId="Supertitre">
    <w:name w:val="Supertitre"/>
    <w:basedOn w:val="Normal"/>
    <w:next w:val="Normal"/>
    <w:pPr>
      <w:spacing w:before="0" w:after="600"/>
      <w:jc w:val="center"/>
    </w:pPr>
    <w:rPr>
      <w:b/>
    </w:rPr>
  </w:style>
  <w:style w:type="paragraph" w:customStyle="1" w:styleId="Languesfaisantfoi">
    <w:name w:val="Langues faisant foi"/>
    <w:basedOn w:val="Normal"/>
    <w:next w:val="Normal"/>
    <w:pPr>
      <w:spacing w:before="360" w:after="0"/>
      <w:jc w:val="center"/>
    </w:pPr>
  </w:style>
  <w:style w:type="paragraph" w:customStyle="1" w:styleId="Rfrencecroise">
    <w:name w:val="Référence croisée"/>
    <w:basedOn w:val="Normal"/>
    <w:pPr>
      <w:spacing w:before="0" w:after="0"/>
      <w:jc w:val="center"/>
    </w:pPr>
  </w:style>
  <w:style w:type="paragraph" w:customStyle="1" w:styleId="Fichefinanciretitre">
    <w:name w:val="Fiche financière titre"/>
    <w:basedOn w:val="Normal"/>
    <w:next w:val="Normal"/>
    <w:pPr>
      <w:jc w:val="center"/>
    </w:pPr>
    <w:rPr>
      <w:b/>
      <w:u w:val="single"/>
    </w:rPr>
  </w:style>
  <w:style w:type="paragraph" w:customStyle="1" w:styleId="DatedadoptionPagedecouverture">
    <w:name w:val="Date d'adoption (Page de couverture)"/>
    <w:basedOn w:val="Datedadoption"/>
    <w:next w:val="TitreobjetPagedecouverture"/>
  </w:style>
  <w:style w:type="paragraph" w:customStyle="1" w:styleId="RfrenceinterinstitutionnellePagedecouverture">
    <w:name w:val="Référence interinstitutionnelle (Page de couverture)"/>
    <w:basedOn w:val="Rfrenceinterinstitutionnelle"/>
    <w:next w:val="Confidentialit"/>
  </w:style>
  <w:style w:type="paragraph" w:customStyle="1" w:styleId="StatutPagedecouverture">
    <w:name w:val="Statut (Page de couverture)"/>
    <w:basedOn w:val="Statut"/>
    <w:next w:val="TypedudocumentPagedecouverture"/>
  </w:style>
  <w:style w:type="paragraph" w:customStyle="1" w:styleId="TitreobjetPagedecouverture">
    <w:name w:val="Titre objet (Page de couverture)"/>
    <w:basedOn w:val="Titreobjet"/>
    <w:next w:val="IntrtEEEPagedecouverture"/>
  </w:style>
  <w:style w:type="paragraph" w:customStyle="1" w:styleId="TypedudocumentPagedecouverture">
    <w:name w:val="Type du document (Page de couverture)"/>
    <w:basedOn w:val="Typedudocument"/>
    <w:next w:val="TitreobjetPagedecouverture"/>
  </w:style>
  <w:style w:type="paragraph" w:customStyle="1" w:styleId="Volume">
    <w:name w:val="Volume"/>
    <w:basedOn w:val="Normal"/>
    <w:next w:val="Confidentialit"/>
    <w:pPr>
      <w:spacing w:before="0" w:after="240"/>
      <w:ind w:left="5103"/>
      <w:jc w:val="left"/>
    </w:pPr>
  </w:style>
  <w:style w:type="paragraph" w:customStyle="1" w:styleId="IntrtEEE">
    <w:name w:val="Intérêt EEE"/>
    <w:basedOn w:val="Languesfaisantfoi"/>
    <w:next w:val="Normal"/>
    <w:pPr>
      <w:spacing w:after="240"/>
    </w:pPr>
  </w:style>
  <w:style w:type="paragraph" w:customStyle="1" w:styleId="Accompagnant">
    <w:name w:val="Accompagnant"/>
    <w:basedOn w:val="Normal"/>
    <w:next w:val="Typeacteprincipal"/>
    <w:pPr>
      <w:spacing w:before="0" w:after="240"/>
      <w:jc w:val="center"/>
    </w:pPr>
    <w:rPr>
      <w:b/>
      <w:i/>
    </w:rPr>
  </w:style>
  <w:style w:type="paragraph" w:customStyle="1" w:styleId="Typeacteprincipal">
    <w:name w:val="Type acte principal"/>
    <w:basedOn w:val="Normal"/>
    <w:next w:val="Objetacteprincipal"/>
    <w:pPr>
      <w:spacing w:before="0" w:after="240"/>
      <w:jc w:val="center"/>
    </w:pPr>
    <w:rPr>
      <w:b/>
    </w:rPr>
  </w:style>
  <w:style w:type="paragraph" w:customStyle="1" w:styleId="Objetacteprincipal">
    <w:name w:val="Objet acte principal"/>
    <w:basedOn w:val="Normal"/>
    <w:next w:val="Titrearticle"/>
    <w:pPr>
      <w:spacing w:before="0" w:after="360"/>
      <w:jc w:val="center"/>
    </w:pPr>
    <w:rPr>
      <w:b/>
    </w:rPr>
  </w:style>
  <w:style w:type="paragraph" w:customStyle="1" w:styleId="IntrtEEEPagedecouverture">
    <w:name w:val="Intérêt EEE (Page de couverture)"/>
    <w:basedOn w:val="IntrtEEE"/>
    <w:next w:val="Rfrencecroise"/>
  </w:style>
  <w:style w:type="paragraph" w:customStyle="1" w:styleId="AccompagnantPagedecouverture">
    <w:name w:val="Accompagnant (Page de couverture)"/>
    <w:basedOn w:val="Accompagnant"/>
    <w:next w:val="TypeacteprincipalPagedecouverture"/>
  </w:style>
  <w:style w:type="paragraph" w:customStyle="1" w:styleId="TypeacteprincipalPagedecouverture">
    <w:name w:val="Type acte principal (Page de couverture)"/>
    <w:basedOn w:val="Typeacteprincipal"/>
    <w:next w:val="ObjetacteprincipalPagedecouverture"/>
  </w:style>
  <w:style w:type="paragraph" w:customStyle="1" w:styleId="ObjetacteprincipalPagedecouverture">
    <w:name w:val="Objet acte principal (Page de couverture)"/>
    <w:basedOn w:val="Objetacteprincipal"/>
    <w:next w:val="Rfrencecroise"/>
  </w:style>
  <w:style w:type="paragraph" w:customStyle="1" w:styleId="LanguesfaisantfoiPagedecouverture">
    <w:name w:val="Langues faisant foi (Page de couverture)"/>
    <w:basedOn w:val="Normal"/>
    <w:next w:val="Normal"/>
    <w:pPr>
      <w:spacing w:before="360" w:after="0"/>
      <w:jc w:val="center"/>
    </w:pPr>
  </w:style>
  <w:style w:type="paragraph" w:styleId="Header">
    <w:name w:val="header"/>
    <w:basedOn w:val="Normal"/>
    <w:link w:val="HeaderChar"/>
    <w:uiPriority w:val="99"/>
    <w:unhideWhenUsed/>
    <w:rsid w:val="00D95323"/>
    <w:pPr>
      <w:tabs>
        <w:tab w:val="center" w:pos="4535"/>
        <w:tab w:val="right" w:pos="9071"/>
      </w:tabs>
      <w:spacing w:before="0"/>
    </w:pPr>
  </w:style>
  <w:style w:type="paragraph" w:customStyle="1" w:styleId="HeaderLandscape">
    <w:name w:val="HeaderLandscape"/>
    <w:basedOn w:val="Normal"/>
    <w:rsid w:val="00D95323"/>
    <w:pPr>
      <w:tabs>
        <w:tab w:val="center" w:pos="7285"/>
        <w:tab w:val="right" w:pos="14003"/>
      </w:tabs>
      <w:spacing w:before="0"/>
    </w:pPr>
  </w:style>
  <w:style w:type="paragraph" w:styleId="Footer">
    <w:name w:val="footer"/>
    <w:basedOn w:val="Normal"/>
    <w:link w:val="FooterChar"/>
    <w:uiPriority w:val="99"/>
    <w:unhideWhenUsed/>
    <w:rsid w:val="00D95323"/>
    <w:pPr>
      <w:tabs>
        <w:tab w:val="center" w:pos="4535"/>
        <w:tab w:val="right" w:pos="9071"/>
        <w:tab w:val="right" w:pos="9921"/>
      </w:tabs>
      <w:spacing w:before="360" w:after="0"/>
      <w:ind w:left="-850" w:right="-850"/>
      <w:jc w:val="left"/>
    </w:pPr>
  </w:style>
  <w:style w:type="paragraph" w:customStyle="1" w:styleId="FooterLandscape">
    <w:name w:val="FooterLandscape"/>
    <w:basedOn w:val="Normal"/>
    <w:rsid w:val="00D95323"/>
    <w:pPr>
      <w:tabs>
        <w:tab w:val="center" w:pos="7285"/>
        <w:tab w:val="center" w:pos="10913"/>
        <w:tab w:val="right" w:pos="15137"/>
      </w:tabs>
      <w:spacing w:before="360" w:after="0"/>
      <w:ind w:left="-567" w:right="-567"/>
      <w:jc w:val="lef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7300798">
      <w:bodyDiv w:val="1"/>
      <w:marLeft w:val="0"/>
      <w:marRight w:val="0"/>
      <w:marTop w:val="0"/>
      <w:marBottom w:val="0"/>
      <w:divBdr>
        <w:top w:val="none" w:sz="0" w:space="0" w:color="auto"/>
        <w:left w:val="none" w:sz="0" w:space="0" w:color="auto"/>
        <w:bottom w:val="none" w:sz="0" w:space="0" w:color="auto"/>
        <w:right w:val="none" w:sz="0" w:space="0" w:color="auto"/>
      </w:divBdr>
    </w:div>
    <w:div w:id="550653829">
      <w:bodyDiv w:val="1"/>
      <w:marLeft w:val="0"/>
      <w:marRight w:val="0"/>
      <w:marTop w:val="0"/>
      <w:marBottom w:val="0"/>
      <w:divBdr>
        <w:top w:val="none" w:sz="0" w:space="0" w:color="auto"/>
        <w:left w:val="none" w:sz="0" w:space="0" w:color="auto"/>
        <w:bottom w:val="none" w:sz="0" w:space="0" w:color="auto"/>
        <w:right w:val="none" w:sz="0" w:space="0" w:color="auto"/>
      </w:divBdr>
    </w:div>
    <w:div w:id="784278377">
      <w:bodyDiv w:val="1"/>
      <w:marLeft w:val="0"/>
      <w:marRight w:val="0"/>
      <w:marTop w:val="0"/>
      <w:marBottom w:val="0"/>
      <w:divBdr>
        <w:top w:val="none" w:sz="0" w:space="0" w:color="auto"/>
        <w:left w:val="none" w:sz="0" w:space="0" w:color="auto"/>
        <w:bottom w:val="none" w:sz="0" w:space="0" w:color="auto"/>
        <w:right w:val="none" w:sz="0" w:space="0" w:color="auto"/>
      </w:divBdr>
    </w:div>
    <w:div w:id="869949458">
      <w:bodyDiv w:val="1"/>
      <w:marLeft w:val="0"/>
      <w:marRight w:val="0"/>
      <w:marTop w:val="0"/>
      <w:marBottom w:val="0"/>
      <w:divBdr>
        <w:top w:val="none" w:sz="0" w:space="0" w:color="auto"/>
        <w:left w:val="none" w:sz="0" w:space="0" w:color="auto"/>
        <w:bottom w:val="none" w:sz="0" w:space="0" w:color="auto"/>
        <w:right w:val="none" w:sz="0" w:space="0" w:color="auto"/>
      </w:divBdr>
    </w:div>
    <w:div w:id="881015070">
      <w:bodyDiv w:val="1"/>
      <w:marLeft w:val="0"/>
      <w:marRight w:val="0"/>
      <w:marTop w:val="0"/>
      <w:marBottom w:val="0"/>
      <w:divBdr>
        <w:top w:val="none" w:sz="0" w:space="0" w:color="auto"/>
        <w:left w:val="none" w:sz="0" w:space="0" w:color="auto"/>
        <w:bottom w:val="none" w:sz="0" w:space="0" w:color="auto"/>
        <w:right w:val="none" w:sz="0" w:space="0" w:color="auto"/>
      </w:divBdr>
    </w:div>
    <w:div w:id="920212406">
      <w:bodyDiv w:val="1"/>
      <w:marLeft w:val="0"/>
      <w:marRight w:val="0"/>
      <w:marTop w:val="0"/>
      <w:marBottom w:val="0"/>
      <w:divBdr>
        <w:top w:val="none" w:sz="0" w:space="0" w:color="auto"/>
        <w:left w:val="none" w:sz="0" w:space="0" w:color="auto"/>
        <w:bottom w:val="none" w:sz="0" w:space="0" w:color="auto"/>
        <w:right w:val="none" w:sz="0" w:space="0" w:color="auto"/>
      </w:divBdr>
    </w:div>
    <w:div w:id="1095593330">
      <w:bodyDiv w:val="1"/>
      <w:marLeft w:val="0"/>
      <w:marRight w:val="0"/>
      <w:marTop w:val="0"/>
      <w:marBottom w:val="0"/>
      <w:divBdr>
        <w:top w:val="none" w:sz="0" w:space="0" w:color="auto"/>
        <w:left w:val="none" w:sz="0" w:space="0" w:color="auto"/>
        <w:bottom w:val="none" w:sz="0" w:space="0" w:color="auto"/>
        <w:right w:val="none" w:sz="0" w:space="0" w:color="auto"/>
      </w:divBdr>
    </w:div>
    <w:div w:id="1494568034">
      <w:bodyDiv w:val="1"/>
      <w:marLeft w:val="0"/>
      <w:marRight w:val="0"/>
      <w:marTop w:val="0"/>
      <w:marBottom w:val="0"/>
      <w:divBdr>
        <w:top w:val="none" w:sz="0" w:space="0" w:color="auto"/>
        <w:left w:val="none" w:sz="0" w:space="0" w:color="auto"/>
        <w:bottom w:val="none" w:sz="0" w:space="0" w:color="auto"/>
        <w:right w:val="none" w:sz="0" w:space="0" w:color="auto"/>
      </w:divBdr>
    </w:div>
    <w:div w:id="1989820838">
      <w:bodyDiv w:val="1"/>
      <w:marLeft w:val="0"/>
      <w:marRight w:val="0"/>
      <w:marTop w:val="0"/>
      <w:marBottom w:val="0"/>
      <w:divBdr>
        <w:top w:val="none" w:sz="0" w:space="0" w:color="auto"/>
        <w:left w:val="none" w:sz="0" w:space="0" w:color="auto"/>
        <w:bottom w:val="none" w:sz="0" w:space="0" w:color="auto"/>
        <w:right w:val="none" w:sz="0" w:space="0" w:color="auto"/>
      </w:divBdr>
    </w:div>
    <w:div w:id="21305152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eader" Target="header4.xml"/><Relationship Id="rId3" Type="http://schemas.openxmlformats.org/officeDocument/2006/relationships/customXml" Target="../customXml/item3.xml"/><Relationship Id="rId21" Type="http://schemas.openxmlformats.org/officeDocument/2006/relationships/header" Target="header5.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footer" Target="footer6.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COM.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EC_Collab_Reference xmlns="144c03d0-0f03-451f-9d46-5279004462a4" xsi:nil="true"/>
    <EC_Collab_Status xmlns="144c03d0-0f03-451f-9d46-5279004462a4">Not Started</EC_Collab_Status>
    <_Status xmlns="http://schemas.microsoft.com/sharepoint/v3/fields">Not Started</_Status>
    <EC_Collab_DocumentLanguage xmlns="144c03d0-0f03-451f-9d46-5279004462a4">EN</EC_Collab_DocumentLanguage>
    <lcf76f155ced4ddcb4097134ff3c332f xmlns="f7bb8512-91eb-4bfd-be42-d6f021407e9a">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lcf76f155ced4ddcb4097134ff3c332f>
    <TaxCatchAll xmlns="144c03d0-0f03-451f-9d46-5279004462a4"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EC Document" ma:contentTypeID="0x010100BAD999D84E12C74482EA5120F5227F6F00217DECAAC21D6B43958DFE68658C192E" ma:contentTypeVersion="27" ma:contentTypeDescription="Create a new document in this library." ma:contentTypeScope="" ma:versionID="e7e27166b6ddd379314dbc4ffb647a9d">
  <xsd:schema xmlns:xsd="http://www.w3.org/2001/XMLSchema" xmlns:xs="http://www.w3.org/2001/XMLSchema" xmlns:p="http://schemas.microsoft.com/office/2006/metadata/properties" xmlns:ns2="http://schemas.microsoft.com/sharepoint/v3/fields" xmlns:ns3="144c03d0-0f03-451f-9d46-5279004462a4" xmlns:ns4="f7bb8512-91eb-4bfd-be42-d6f021407e9a" targetNamespace="http://schemas.microsoft.com/office/2006/metadata/properties" ma:root="true" ma:fieldsID="6ba0d890b3d934a84d947fa41105d8de" ns2:_="" ns3:_="" ns4:_="">
    <xsd:import namespace="http://schemas.microsoft.com/sharepoint/v3/fields"/>
    <xsd:import namespace="144c03d0-0f03-451f-9d46-5279004462a4"/>
    <xsd:import namespace="f7bb8512-91eb-4bfd-be42-d6f021407e9a"/>
    <xsd:element name="properties">
      <xsd:complexType>
        <xsd:sequence>
          <xsd:element name="documentManagement">
            <xsd:complexType>
              <xsd:all>
                <xsd:element ref="ns3:EC_Collab_Reference" minOccurs="0"/>
                <xsd:element ref="ns2:_Status" minOccurs="0"/>
                <xsd:element ref="ns3:EC_Collab_DocumentLanguage"/>
                <xsd:element ref="ns3:SharedWithUsers" minOccurs="0"/>
                <xsd:element ref="ns3:SharedWithDetails" minOccurs="0"/>
                <xsd:element ref="ns3:EC_Collab_Status" minOccurs="0"/>
                <xsd:element ref="ns4:MediaServiceSearchProperties" minOccurs="0"/>
                <xsd:element ref="ns4:lcf76f155ced4ddcb4097134ff3c332f" minOccurs="0"/>
                <xsd:element ref="ns3:TaxCatchAll" minOccurs="0"/>
                <xsd:element ref="ns4:MediaServiceDateTaken" minOccurs="0"/>
                <xsd:element ref="ns4:MediaServiceOCR" minOccurs="0"/>
                <xsd:element ref="ns4:MediaServiceGenerationTime" minOccurs="0"/>
                <xsd:element ref="ns4: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Status" ma:index="13" nillable="true" ma:displayName="Status" ma:default="Not Started" ma:hidden="true" ma:internalName="_Status" ma:readOnly="false">
      <xsd:simpleType>
        <xsd:union memberTypes="dms:Text">
          <xsd:simpleType>
            <xsd:restriction base="dms:Choice">
              <xsd:enumeration value="Not Started"/>
              <xsd:enumeration value="Draft"/>
              <xsd:enumeration value="Reviewed"/>
              <xsd:enumeration value="Scheduled"/>
              <xsd:enumeration value="Published"/>
              <xsd:enumeration value="Final"/>
              <xsd:enumeration value="Expired"/>
            </xsd:restriction>
          </xsd:simpleType>
        </xsd:union>
      </xsd:simpleType>
    </xsd:element>
  </xsd:schema>
  <xsd:schema xmlns:xsd="http://www.w3.org/2001/XMLSchema" xmlns:xs="http://www.w3.org/2001/XMLSchema" xmlns:dms="http://schemas.microsoft.com/office/2006/documentManagement/types" xmlns:pc="http://schemas.microsoft.com/office/infopath/2007/PartnerControls" targetNamespace="144c03d0-0f03-451f-9d46-5279004462a4" elementFormDefault="qualified">
    <xsd:import namespace="http://schemas.microsoft.com/office/2006/documentManagement/types"/>
    <xsd:import namespace="http://schemas.microsoft.com/office/infopath/2007/PartnerControls"/>
    <xsd:element name="EC_Collab_Reference" ma:index="12" nillable="true" ma:displayName="Reference" ma:internalName="EC_Collab_Reference" ma:readOnly="false">
      <xsd:simpleType>
        <xsd:restriction base="dms:Text"/>
      </xsd:simpleType>
    </xsd:element>
    <xsd:element name="EC_Collab_DocumentLanguage" ma:index="14" ma:displayName="Language" ma:default="EN" ma:format="Dropdown" ma:internalName="EC_Collab_DocumentLanguage" ma:readOnly="false">
      <xsd:simpleType>
        <xsd:restriction base="dms:Choice">
          <xsd:enumeration value="BG"/>
          <xsd:enumeration value="ES"/>
          <xsd:enumeration value="CS"/>
          <xsd:enumeration value="DA"/>
          <xsd:enumeration value="DE"/>
          <xsd:enumeration value="ET"/>
          <xsd:enumeration value="EL"/>
          <xsd:enumeration value="EN"/>
          <xsd:enumeration value="FR"/>
          <xsd:enumeration value="GA"/>
          <xsd:enumeration value="IT"/>
          <xsd:enumeration value="LT"/>
          <xsd:enumeration value="LV"/>
          <xsd:enumeration value="HU"/>
          <xsd:enumeration value="MT"/>
          <xsd:enumeration value="NL"/>
          <xsd:enumeration value="PL"/>
          <xsd:enumeration value="PT"/>
          <xsd:enumeration value="RO"/>
          <xsd:enumeration value="SK"/>
          <xsd:enumeration value="SL"/>
          <xsd:enumeration value="FI"/>
          <xsd:enumeration value="SV"/>
          <xsd:enumeration value="HR"/>
          <xsd:enumeration value="MK"/>
          <xsd:enumeration value="TR"/>
          <xsd:enumeration value="EU"/>
          <xsd:enumeration value="CA"/>
          <xsd:enumeration value="GL"/>
          <xsd:enumeration value="AB"/>
          <xsd:enumeration value="AA"/>
          <xsd:enumeration value="AF"/>
          <xsd:enumeration value="AK"/>
          <xsd:enumeration value="SQ"/>
          <xsd:enumeration value="AM"/>
          <xsd:enumeration value="AR"/>
          <xsd:enumeration value="AN"/>
          <xsd:enumeration value="HY"/>
          <xsd:enumeration value="AS"/>
          <xsd:enumeration value="AV"/>
          <xsd:enumeration value="AE"/>
          <xsd:enumeration value="AY"/>
          <xsd:enumeration value="AZ"/>
          <xsd:enumeration value="BM"/>
          <xsd:enumeration value="BA"/>
          <xsd:enumeration value="BE"/>
          <xsd:enumeration value="BN"/>
          <xsd:enumeration value="BH"/>
          <xsd:enumeration value="BI"/>
          <xsd:enumeration value="NB"/>
          <xsd:enumeration value="BS"/>
          <xsd:enumeration value="BR"/>
          <xsd:enumeration value="MY"/>
          <xsd:enumeration value="KM"/>
          <xsd:enumeration value="CH"/>
          <xsd:enumeration value="CE"/>
          <xsd:enumeration value="NY"/>
          <xsd:enumeration value="ZH"/>
          <xsd:enumeration value="CU"/>
          <xsd:enumeration value="CV"/>
          <xsd:enumeration value="KW"/>
          <xsd:enumeration value="CO"/>
          <xsd:enumeration value="CR"/>
          <xsd:enumeration value="DV"/>
          <xsd:enumeration value="DZ"/>
          <xsd:enumeration value="EO"/>
          <xsd:enumeration value="EE"/>
          <xsd:enumeration value="FO"/>
          <xsd:enumeration value="FJ"/>
          <xsd:enumeration value="FF"/>
          <xsd:enumeration value="GD"/>
          <xsd:enumeration value="LG"/>
          <xsd:enumeration value="KA"/>
          <xsd:enumeration value="GN"/>
          <xsd:enumeration value="GU"/>
          <xsd:enumeration value="HT"/>
          <xsd:enumeration value="HA"/>
          <xsd:enumeration value="HE"/>
          <xsd:enumeration value="HZ"/>
          <xsd:enumeration value="HI"/>
          <xsd:enumeration value="HO"/>
          <xsd:enumeration value="IS"/>
          <xsd:enumeration value="IO"/>
          <xsd:enumeration value="IG"/>
          <xsd:enumeration value="ID"/>
          <xsd:enumeration value="IA"/>
          <xsd:enumeration value="IE"/>
          <xsd:enumeration value="IU"/>
          <xsd:enumeration value="IK"/>
          <xsd:enumeration value="JA"/>
          <xsd:enumeration value="JV"/>
          <xsd:enumeration value="KL"/>
          <xsd:enumeration value="KN"/>
          <xsd:enumeration value="KR"/>
          <xsd:enumeration value="KS"/>
          <xsd:enumeration value="KK"/>
          <xsd:enumeration value="KI"/>
          <xsd:enumeration value="RW"/>
          <xsd:enumeration value="KY"/>
          <xsd:enumeration value="KV"/>
          <xsd:enumeration value="KG"/>
          <xsd:enumeration value="KO"/>
          <xsd:enumeration value="KJ"/>
          <xsd:enumeration value="KU"/>
          <xsd:enumeration value="LO"/>
          <xsd:enumeration value="LA"/>
          <xsd:enumeration value="LI"/>
          <xsd:enumeration value="LN"/>
          <xsd:enumeration value="LU"/>
          <xsd:enumeration value="LB"/>
          <xsd:enumeration value="MG"/>
          <xsd:enumeration value="MS"/>
          <xsd:enumeration value="ML"/>
          <xsd:enumeration value="GV"/>
          <xsd:enumeration value="MI"/>
          <xsd:enumeration value="MR"/>
          <xsd:enumeration value="MH"/>
          <xsd:enumeration value="MN"/>
          <xsd:enumeration value="NA"/>
          <xsd:enumeration value="NV"/>
          <xsd:enumeration value="ND"/>
          <xsd:enumeration value="NR"/>
          <xsd:enumeration value="NG"/>
          <xsd:enumeration value="NE"/>
          <xsd:enumeration value="SE"/>
          <xsd:enumeration value="NO"/>
          <xsd:enumeration value="NN"/>
          <xsd:enumeration value="OC"/>
          <xsd:enumeration value="OJ"/>
          <xsd:enumeration value="OR"/>
          <xsd:enumeration value="OM"/>
          <xsd:enumeration value="OS"/>
          <xsd:enumeration value="PI"/>
          <xsd:enumeration value="PA"/>
          <xsd:enumeration value="FA"/>
          <xsd:enumeration value="PS"/>
          <xsd:enumeration value="QU"/>
          <xsd:enumeration value="RM"/>
          <xsd:enumeration value="RN"/>
          <xsd:enumeration value="RU"/>
          <xsd:enumeration value="SM"/>
          <xsd:enumeration value="SG"/>
          <xsd:enumeration value="SA"/>
          <xsd:enumeration value="SC"/>
          <xsd:enumeration value="SR"/>
          <xsd:enumeration value="SN"/>
          <xsd:enumeration value="II"/>
          <xsd:enumeration value="SD"/>
          <xsd:enumeration value="SI"/>
          <xsd:enumeration value="SO"/>
          <xsd:enumeration value="ST"/>
          <xsd:enumeration value="SU"/>
          <xsd:enumeration value="SW"/>
          <xsd:enumeration value="SS"/>
          <xsd:enumeration value="TL"/>
          <xsd:enumeration value="TY"/>
          <xsd:enumeration value="TG"/>
          <xsd:enumeration value="TA"/>
          <xsd:enumeration value="TT"/>
          <xsd:enumeration value="TE"/>
          <xsd:enumeration value="TH"/>
          <xsd:enumeration value="BO"/>
          <xsd:enumeration value="TI"/>
          <xsd:enumeration value="TO"/>
          <xsd:enumeration value="TS"/>
          <xsd:enumeration value="TN"/>
          <xsd:enumeration value="TK"/>
          <xsd:enumeration value="TW"/>
          <xsd:enumeration value="UG"/>
          <xsd:enumeration value="UK"/>
          <xsd:enumeration value="UR"/>
          <xsd:enumeration value="UZ"/>
          <xsd:enumeration value="VE"/>
          <xsd:enumeration value="VI"/>
          <xsd:enumeration value="VO"/>
          <xsd:enumeration value="WA"/>
          <xsd:enumeration value="CY"/>
          <xsd:enumeration value="FY"/>
          <xsd:enumeration value="WO"/>
          <xsd:enumeration value="XH"/>
          <xsd:enumeration value="YI"/>
          <xsd:enumeration value="YO"/>
          <xsd:enumeration value="ZA"/>
          <xsd:enumeration value="ZU"/>
        </xsd:restriction>
      </xsd:simpleType>
    </xsd:element>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element name="EC_Collab_Status" ma:index="17" nillable="true" ma:displayName="EC Status" ma:default="Not Started" ma:format="Dropdown" ma:internalName="EC_Collab_Status" ma:readOnly="false">
      <xsd:simpleType>
        <xsd:restriction base="dms:Choice">
          <xsd:enumeration value="Not Started"/>
          <xsd:enumeration value="Draft"/>
          <xsd:enumeration value="Reviewed"/>
          <xsd:enumeration value="Scheduled"/>
          <xsd:enumeration value="Published"/>
          <xsd:enumeration value="Final"/>
          <xsd:enumeration value="Expired"/>
        </xsd:restriction>
      </xsd:simpleType>
    </xsd:element>
    <xsd:element name="TaxCatchAll" ma:index="21" nillable="true" ma:displayName="Taxonomy Catch All Column" ma:hidden="true" ma:list="{51513471-611d-4aba-ae12-e8d0e877eea6}" ma:internalName="TaxCatchAll" ma:showField="CatchAllData" ma:web="144c03d0-0f03-451f-9d46-5279004462a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f7bb8512-91eb-4bfd-be42-d6f021407e9a" elementFormDefault="qualified">
    <xsd:import namespace="http://schemas.microsoft.com/office/2006/documentManagement/types"/>
    <xsd:import namespace="http://schemas.microsoft.com/office/infopath/2007/PartnerControls"/>
    <xsd:element name="MediaServiceSearchProperties" ma:index="18" nillable="true" ma:displayName="MediaServiceSearchProperties" ma:hidden="true" ma:internalName="MediaServiceSearchProperties" ma:readOnly="true">
      <xsd:simpleType>
        <xsd:restriction base="dms:Note"/>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22" nillable="true" ma:displayName="MediaServiceDateTaken" ma:hidden="true" ma:indexed="true" ma:internalName="MediaServiceDateTaken" ma:readOnly="true">
      <xsd:simpleType>
        <xsd:restriction base="dms:Text"/>
      </xsd:simpleType>
    </xsd:element>
    <xsd:element name="MediaServiceOCR" ma:index="23" nillable="true" ma:displayName="Extracted Text" ma:internalName="MediaServiceOCR" ma:readOnly="true">
      <xsd:simpleType>
        <xsd:restriction base="dms:Note">
          <xsd:maxLength value="255"/>
        </xsd:restriction>
      </xsd:simpleType>
    </xsd:element>
    <xsd:element name="MediaServiceGenerationTime" ma:index="24" nillable="true" ma:displayName="MediaServiceGenerationTime" ma:hidden="true" ma:internalName="MediaServiceGenerationTime" ma:readOnly="true">
      <xsd:simpleType>
        <xsd:restriction base="dms:Text"/>
      </xsd:simpleType>
    </xsd:element>
    <xsd:element name="MediaServiceEventHashCode" ma:index="25"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ma:index="9" ma:displayName="Author"/>
        <xsd:element ref="dcterms:created" minOccurs="0" maxOccurs="1"/>
        <xsd:element ref="dc:identifier" minOccurs="0" maxOccurs="1"/>
        <xsd:element name="contentType" minOccurs="0" maxOccurs="1" type="xsd:string" ma:index="0" ma:displayName="Content Type"/>
        <xsd:element ref="dc:title" minOccurs="0" maxOccurs="1" ma:index="7" ma:displayName="Title"/>
        <xsd:element ref="dc:subject" minOccurs="0" maxOccurs="1" ma:index="8" ma:displayName="Subject"/>
        <xsd:element ref="dc:description" minOccurs="0" maxOccurs="1" ma:index="11" ma:displayName="Comments"/>
        <xsd:element name="keywords" minOccurs="0" maxOccurs="1" type="xsd:string" ma:index="10"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ma:displayName="Status"/>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7EAE6E2-368D-42B0-9134-B6800FDB77A6}">
  <ds:schemaRefs>
    <ds:schemaRef ds:uri="http://schemas.microsoft.com/office/2006/metadata/properties"/>
    <ds:schemaRef ds:uri="http://schemas.microsoft.com/office/infopath/2007/PartnerControls"/>
    <ds:schemaRef ds:uri="144c03d0-0f03-451f-9d46-5279004462a4"/>
    <ds:schemaRef ds:uri="http://schemas.microsoft.com/sharepoint/v3/fields"/>
    <ds:schemaRef ds:uri="f7bb8512-91eb-4bfd-be42-d6f021407e9a"/>
  </ds:schemaRefs>
</ds:datastoreItem>
</file>

<file path=customXml/itemProps2.xml><?xml version="1.0" encoding="utf-8"?>
<ds:datastoreItem xmlns:ds="http://schemas.openxmlformats.org/officeDocument/2006/customXml" ds:itemID="{B89D5FD2-A6F3-4EB5-A6CF-7867F88AEFD4}">
  <ds:schemaRefs>
    <ds:schemaRef ds:uri="http://schemas.microsoft.com/sharepoint/v3/contenttype/forms"/>
  </ds:schemaRefs>
</ds:datastoreItem>
</file>

<file path=customXml/itemProps3.xml><?xml version="1.0" encoding="utf-8"?>
<ds:datastoreItem xmlns:ds="http://schemas.openxmlformats.org/officeDocument/2006/customXml" ds:itemID="{766AA042-8990-48CF-9F49-CCC060D398A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fields"/>
    <ds:schemaRef ds:uri="144c03d0-0f03-451f-9d46-5279004462a4"/>
    <ds:schemaRef ds:uri="f7bb8512-91eb-4bfd-be42-d6f021407e9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272CFC5-EA80-419F-8946-87ED70058876}">
  <ds:schemaRefs>
    <ds:schemaRef ds:uri="http://schemas.openxmlformats.org/officeDocument/2006/bibliography"/>
  </ds:schemaRefs>
</ds:datastoreItem>
</file>

<file path=docMetadata/LabelInfo.xml><?xml version="1.0" encoding="utf-8"?>
<clbl:labelList xmlns:clbl="http://schemas.microsoft.com/office/2020/mipLabelMetadata">
  <clbl:label id="{5c7eb9de-735b-4a68-8fe4-c9c62709b012}" enabled="1" method="Standard" siteId="{3bacb4ff-f1a2-4c92-b96c-e99fec826b68}" contentBits="1" removed="0"/>
</clbl:labelList>
</file>

<file path=docProps/app.xml><?xml version="1.0" encoding="utf-8"?>
<Properties xmlns="http://schemas.openxmlformats.org/officeDocument/2006/extended-properties" xmlns:vt="http://schemas.openxmlformats.org/officeDocument/2006/docPropsVTypes">
  <Template>COM.dotm</Template>
  <TotalTime>10</TotalTime>
  <Pages>5</Pages>
  <Words>1644</Words>
  <Characters>9373</Characters>
  <Application>Microsoft Office Word</Application>
  <DocSecurity>0</DocSecurity>
  <Lines>78</Lines>
  <Paragraphs>21</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10996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EC CoDe</cp:lastModifiedBy>
  <cp:revision>32</cp:revision>
  <cp:lastPrinted>2025-05-08T07:59:00Z</cp:lastPrinted>
  <dcterms:created xsi:type="dcterms:W3CDTF">2025-09-16T13:52:00Z</dcterms:created>
  <dcterms:modified xsi:type="dcterms:W3CDTF">2025-09-30T15:22:00Z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ategory">
    <vt:lpwstr>COM/AA</vt:lpwstr>
  </property>
  <property fmtid="{D5CDD505-2E9C-101B-9397-08002B2CF9AE}" pid="3" name="Version">
    <vt:lpwstr>8.0.25.0</vt:lpwstr>
  </property>
  <property fmtid="{D5CDD505-2E9C-101B-9397-08002B2CF9AE}" pid="4" name="Last edited using">
    <vt:lpwstr>LW 9.1, Build 20240808</vt:lpwstr>
  </property>
  <property fmtid="{D5CDD505-2E9C-101B-9397-08002B2CF9AE}" pid="5" name="Created using">
    <vt:lpwstr>LW 9.1, Build 20240808</vt:lpwstr>
  </property>
  <property fmtid="{D5CDD505-2E9C-101B-9397-08002B2CF9AE}" pid="6" name="Part">
    <vt:lpwstr>1</vt:lpwstr>
  </property>
  <property fmtid="{D5CDD505-2E9C-101B-9397-08002B2CF9AE}" pid="7" name="Total parts">
    <vt:lpwstr>1</vt:lpwstr>
  </property>
  <property fmtid="{D5CDD505-2E9C-101B-9397-08002B2CF9AE}" pid="8" name="Level of sensitivity">
    <vt:lpwstr>Standard treatment</vt:lpwstr>
  </property>
  <property fmtid="{D5CDD505-2E9C-101B-9397-08002B2CF9AE}" pid="9" name="LWTemplateID">
    <vt:lpwstr>SJ-004</vt:lpwstr>
  </property>
  <property fmtid="{D5CDD505-2E9C-101B-9397-08002B2CF9AE}" pid="10" name="MSIP_Label_6bd9ddd1-4d20-43f6-abfa-fc3c07406f94_Enabled">
    <vt:lpwstr>true</vt:lpwstr>
  </property>
  <property fmtid="{D5CDD505-2E9C-101B-9397-08002B2CF9AE}" pid="11" name="MSIP_Label_6bd9ddd1-4d20-43f6-abfa-fc3c07406f94_SetDate">
    <vt:lpwstr>2025-02-25T08:26:14Z</vt:lpwstr>
  </property>
  <property fmtid="{D5CDD505-2E9C-101B-9397-08002B2CF9AE}" pid="12" name="MSIP_Label_6bd9ddd1-4d20-43f6-abfa-fc3c07406f94_Method">
    <vt:lpwstr>Standard</vt:lpwstr>
  </property>
  <property fmtid="{D5CDD505-2E9C-101B-9397-08002B2CF9AE}" pid="13" name="MSIP_Label_6bd9ddd1-4d20-43f6-abfa-fc3c07406f94_Name">
    <vt:lpwstr>Commission Use</vt:lpwstr>
  </property>
  <property fmtid="{D5CDD505-2E9C-101B-9397-08002B2CF9AE}" pid="14" name="MSIP_Label_6bd9ddd1-4d20-43f6-abfa-fc3c07406f94_SiteId">
    <vt:lpwstr>b24c8b06-522c-46fe-9080-70926f8dddb1</vt:lpwstr>
  </property>
  <property fmtid="{D5CDD505-2E9C-101B-9397-08002B2CF9AE}" pid="15" name="MSIP_Label_6bd9ddd1-4d20-43f6-abfa-fc3c07406f94_ActionId">
    <vt:lpwstr>be3cf09d-66c6-4ba0-8026-31162a6dd493</vt:lpwstr>
  </property>
  <property fmtid="{D5CDD505-2E9C-101B-9397-08002B2CF9AE}" pid="16" name="MSIP_Label_6bd9ddd1-4d20-43f6-abfa-fc3c07406f94_ContentBits">
    <vt:lpwstr>0</vt:lpwstr>
  </property>
  <property fmtid="{D5CDD505-2E9C-101B-9397-08002B2CF9AE}" pid="17" name="ContentTypeId">
    <vt:lpwstr>0x010100BAD999D84E12C74482EA5120F5227F6F00217DECAAC21D6B43958DFE68658C192E</vt:lpwstr>
  </property>
  <property fmtid="{D5CDD505-2E9C-101B-9397-08002B2CF9AE}" pid="18" name="MediaServiceImageTags">
    <vt:lpwstr/>
  </property>
  <property fmtid="{D5CDD505-2E9C-101B-9397-08002B2CF9AE}" pid="19" name="ClassificationContentMarkingHeaderShapeIds">
    <vt:lpwstr>20238a3b,33d08159,24cbf427,4ef86fca,5453675e,568b7bab</vt:lpwstr>
  </property>
  <property fmtid="{D5CDD505-2E9C-101B-9397-08002B2CF9AE}" pid="20" name="ClassificationContentMarkingHeaderFontProps">
    <vt:lpwstr>#000000,12,Aptos</vt:lpwstr>
  </property>
  <property fmtid="{D5CDD505-2E9C-101B-9397-08002B2CF9AE}" pid="21" name="ClassificationContentMarkingHeaderText">
    <vt:lpwstr>EBA Regular Use</vt:lpwstr>
  </property>
  <property fmtid="{D5CDD505-2E9C-101B-9397-08002B2CF9AE}" pid="22" name="DQCStatus">
    <vt:lpwstr>Green (DQC version 03)</vt:lpwstr>
  </property>
</Properties>
</file>