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33F" w:rsidRPr="00F90BBB" w:rsidRDefault="00297F29" w:rsidP="00297F29">
      <w:pPr>
        <w:pStyle w:val="Pagedecouverture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A3D47AEA-0E93-4500-A5B2-6083F170E7A6" style="width:455.25pt;height:383.25pt">
            <v:imagedata r:id="rId11" o:title=""/>
          </v:shape>
        </w:pict>
      </w:r>
    </w:p>
    <w:p w:rsidR="00FE7FED" w:rsidRPr="00F90BBB" w:rsidRDefault="00FE7FED">
      <w:pPr>
        <w:rPr>
          <w:noProof/>
        </w:rPr>
        <w:sectPr w:rsidR="00FE7FED" w:rsidRPr="00F90BBB" w:rsidSect="00297F29">
          <w:footerReference w:type="even" r:id="rId12"/>
          <w:footerReference w:type="default" r:id="rId13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9713B0" w:rsidRPr="00F90BBB" w:rsidRDefault="00F90BBB" w:rsidP="00F90BBB">
      <w:pPr>
        <w:pStyle w:val="Typedudocument"/>
        <w:rPr>
          <w:noProof/>
        </w:rPr>
      </w:pPr>
      <w:bookmarkStart w:id="0" w:name="_GoBack"/>
      <w:bookmarkEnd w:id="0"/>
      <w:r w:rsidRPr="00F90BBB">
        <w:rPr>
          <w:noProof/>
        </w:rPr>
        <w:lastRenderedPageBreak/>
        <w:t>REGOLAMENT TA’ IMPLIMENTAZZJONI TAL-KUMMISSJONI (UE) .../...</w:t>
      </w:r>
    </w:p>
    <w:p w:rsidR="009713B0" w:rsidRPr="00F90BBB" w:rsidRDefault="00A04506" w:rsidP="00F90BBB">
      <w:pPr>
        <w:pStyle w:val="Datedadoption"/>
        <w:rPr>
          <w:noProof/>
        </w:rPr>
      </w:pPr>
      <w:r>
        <w:rPr>
          <w:noProof/>
        </w:rPr>
        <w:t>ta'1.10.2025</w:t>
      </w:r>
    </w:p>
    <w:p w:rsidR="009713B0" w:rsidRPr="00F90BBB" w:rsidRDefault="00F90BBB" w:rsidP="00F90BBB">
      <w:pPr>
        <w:pStyle w:val="Titreobjet"/>
        <w:rPr>
          <w:noProof/>
        </w:rPr>
      </w:pPr>
      <w:r w:rsidRPr="00F90BBB">
        <w:rPr>
          <w:noProof/>
        </w:rPr>
        <w:t>li jistabbilixxi standards tekniċi ta’ implimentazzjoni għall-applikazzjoni tar-Regolament (UE) Nru 260/2012 tal-Parlament Ewropew u tal-Kunsill fir-rigward ta’ mudelli uniformi ta’ rapportar, struzzjonijiet u metodoloġija għar-rapportar tal-livell ta’ imposti għat-trasferimenti ta’ kreditu, trasferimenti ta’ kreditu istantanji u kontijiet ta’ pagament, u s-sehem ta’ tranżazzjonijiet rifjutati</w:t>
      </w:r>
    </w:p>
    <w:p w:rsidR="009713B0" w:rsidRPr="00F90BBB" w:rsidRDefault="009713B0" w:rsidP="009713B0">
      <w:pPr>
        <w:pStyle w:val="Institutionquiagit"/>
        <w:rPr>
          <w:noProof/>
        </w:rPr>
      </w:pPr>
      <w:r w:rsidRPr="00F90BBB">
        <w:rPr>
          <w:noProof/>
        </w:rPr>
        <w:t>IL-KUMMISSJONI EWROPEA,</w:t>
      </w:r>
    </w:p>
    <w:p w:rsidR="009713B0" w:rsidRPr="00F90BBB" w:rsidRDefault="009713B0" w:rsidP="009713B0">
      <w:pPr>
        <w:rPr>
          <w:noProof/>
          <w:color w:val="000000"/>
        </w:rPr>
      </w:pPr>
      <w:r w:rsidRPr="00F90BBB">
        <w:rPr>
          <w:noProof/>
          <w:color w:val="000000"/>
        </w:rPr>
        <w:t>Wara li kkunsidrat it-Trattat dwar il-Funzjonament tal-Unjoni Ewropea,</w:t>
      </w:r>
    </w:p>
    <w:p w:rsidR="009713B0" w:rsidRPr="00F90BBB" w:rsidRDefault="009713B0" w:rsidP="009713B0">
      <w:pPr>
        <w:rPr>
          <w:noProof/>
          <w:color w:val="000000"/>
        </w:rPr>
      </w:pPr>
      <w:r w:rsidRPr="00F90BBB">
        <w:rPr>
          <w:noProof/>
          <w:color w:val="000000"/>
        </w:rPr>
        <w:t>Wara li kkunsidrat ir-Regolament (UE) Nru 260/2012 tal-Parlament Ewropew u tal-Kunsill tal-14 ta’ Marzu 2012 li jistabbilixxi rekwiżiti tekniċi u tan-negozju għat-trasferimenti ta’ kreditu u debiti diretti bl-euro u li jemenda r-Regolament (KE) Nru 924/2009</w:t>
      </w:r>
      <w:r w:rsidRPr="00F90BBB">
        <w:rPr>
          <w:rStyle w:val="FootnoteReference"/>
          <w:noProof/>
          <w:color w:val="000000"/>
        </w:rPr>
        <w:footnoteReference w:id="2"/>
      </w:r>
      <w:r w:rsidRPr="00F90BBB">
        <w:rPr>
          <w:noProof/>
          <w:color w:val="000000"/>
        </w:rPr>
        <w:t xml:space="preserve">, u b’mod partikolari l-Artikolu 15(5), it-tielet subparagrafu tiegħu, </w:t>
      </w:r>
    </w:p>
    <w:p w:rsidR="009713B0" w:rsidRPr="00F90BBB" w:rsidRDefault="009713B0" w:rsidP="009713B0">
      <w:pPr>
        <w:rPr>
          <w:noProof/>
        </w:rPr>
      </w:pPr>
      <w:r w:rsidRPr="00F90BBB">
        <w:rPr>
          <w:noProof/>
        </w:rPr>
        <w:t>Billi:</w:t>
      </w:r>
    </w:p>
    <w:p w:rsidR="00AC0006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(1)</w:t>
      </w:r>
      <w:r w:rsidRPr="005355F9">
        <w:rPr>
          <w:noProof/>
        </w:rPr>
        <w:tab/>
      </w:r>
      <w:r w:rsidR="00925CEE" w:rsidRPr="00F90BBB">
        <w:rPr>
          <w:noProof/>
        </w:rPr>
        <w:t xml:space="preserve">Ir-rapportar dwar il-livell ta’ imposti skont l-Artikolu 15(3) tar-Regolament (UE) Nru 260/2012 jenħtieġ li jippermetti lill-Kummissjoni tivvaluta l-impatt tar-regola dwar l-imposti għal trasferimenti ta’ kreditu istantanji, kif stabbilit fl-Artikolu 5b(1) ta’ dak ir-Regolament, fuq l-imposti għall-kontijiet ta’ pagament, kemm għat-trasferimenti ta’ kreditu nazzjonali kif ukoll dawk transfruntiera, u għat-trasferimenti ta’ kreditu istantanji f’euro u fil-munita nazzjonali tal-Istati Membri li l-munita tagħhom mhijiex l-euro. L-imposti mitlubin mill-fornituri ta’ servizzi ta’ pagament (PSPs, payment service providers) għal trasferimenti ta’ kreditu, inklużi trasferimenti ta’ kreditu istantanji, tipikament ivarjaw skont il-karatteristiċi tat-trasferiment ta’ kreditu kkonċernat. Tali karatteristiċi jistgħu jkunu jekk l-utent ta’ servizzi ta’ pagament (PSU, payment service user) huwiex il-pagatur jew il-benefiċjarju, konsumatur jew le, jew it-tip ta’ mezz ta’ bidu ta’ pagament. Għalhekk, ir-rapportar dwar it-trasferimenti ta’ kreditu mibgħuta jenħtieġ li jinkludi diżaggregazzjoni skont it-trasferimenti domestiċi u transfruntiera, it-tip ta’ PSU u l-mezz ta’ bidu ta’ pagament. </w:t>
      </w:r>
    </w:p>
    <w:p w:rsidR="00F133B9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(2)</w:t>
      </w:r>
      <w:r w:rsidRPr="005355F9">
        <w:rPr>
          <w:noProof/>
        </w:rPr>
        <w:tab/>
      </w:r>
      <w:r w:rsidR="00914C54" w:rsidRPr="00F90BBB">
        <w:rPr>
          <w:noProof/>
        </w:rPr>
        <w:t>Il-PSPs jistgħu jagħżlu li jistabbilixxu imposti fuq bażi ta’ kull tranżazzjoni, jew f’termini nominali, jew bħala perċentwal tal-valur tat-tranżazzjoni. Il-PSPs jistgħu jagħżlu wkoll strutturi alternattivi ta’ imposti, inkluż l-ipprezzar f’saffi bbażat fuq meded differenti tal-valur tat-tranżazzjoni jew approċċi li għandhom ċertu għadd ta’ tranżazzjonijiet fix-xahar mingħajr ħlas li lil hinn minnhom tiġi applikata imposta għal kull tranżazzjoni. Mhuwiex mixtieq li tali eteroġeneità tal-prattiki kummerċjali tirriżulta fiċ-ċirkomvenzjoni tal-għan tar-regola dwar l-imposti għal trasferimenti ta’ kreditu istantanji stabbilita fl-Artikolu 5b(1) tar-Regolament (UE) Nru 260/2012. Il-metodoloġija għar-rapportar tal-informazzjoni dwar il-livell ta’ imposti għal trasferimenti ta’ kreditu regolari u istantanji jenħtieġ li tippermetti lill-Kummissjoni tevalwa l-informazzjoni pprovduta mill-PSPs b’mod uniformi u komparabbli fil-livell ta’ PSP maż-żmien u fost PSPs differenti f’mument partikolari, minkejja l-metodi differenti ta’ imposti użati mill-PSPs. Għalhekk, jenħtieġ li r-rapportar ikun fih l-informazzjoni dwar l-imposti totali, il-volum u l-valur aggregati tat-trasferimenti ta’ kreditu, inklużi t-trasferimenti ta’ kreditu istantanji, fil-munita nazzjonali. Ir-rapportar dwar it-trasferimenti ta’ kreditu, kemm dawk mibgħuta kif ukoll dawk riċevuti, jenħtieġ li jinkludi wkoll diżaggregazzjoni skont it-trasferimenti ta’ kreditu bla ħlas u dawk bi ħlas.</w:t>
      </w:r>
    </w:p>
    <w:p w:rsidR="009713B0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(3)</w:t>
      </w:r>
      <w:r w:rsidRPr="005355F9">
        <w:rPr>
          <w:noProof/>
        </w:rPr>
        <w:tab/>
      </w:r>
      <w:r w:rsidR="004425F3" w:rsidRPr="00F90BBB">
        <w:rPr>
          <w:noProof/>
        </w:rPr>
        <w:t>Jenħtieġ li l-PSPs jirrispettaw l-obbligu ta’ rapportar tagħhom kif stabbilit fl-Artikolu 15(3) tar-Regolament (UE) Nru 260/2012 fil-livell tal-entità. Sabiex jallinjaw ruħhom mal-approċċ tar-rapportar tal-istatistika dwar il-pagamenti lill-BĊE, il-fergħat tal-PSPs li jinsabu fi Stati Membri għajr l-Istati Membri tal-entitajiet prinċipali tagħhom jenħtieġ li jissottomettu d-data tagħhom lill-awtorità kompetenti tal-Istat Membru ospitanti, u l-entitajiet prinċipali jenħtieġ li jirrapportaw għalihom infushom lill-awtorità kompetenti tal-Istat Membru domiċiljari tagħhom.</w:t>
      </w:r>
    </w:p>
    <w:p w:rsidR="009713B0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(4)</w:t>
      </w:r>
      <w:r w:rsidRPr="005355F9">
        <w:rPr>
          <w:noProof/>
        </w:rPr>
        <w:tab/>
      </w:r>
      <w:r w:rsidR="000D1771" w:rsidRPr="00F90BBB">
        <w:rPr>
          <w:noProof/>
        </w:rPr>
        <w:t>Il-PSPs li jinsabu fi Stati Membri li l-munita tagħhom mhijiex l-euro u li joffru lill-PSUs tagħhom is-servizz ta’ pagament li jirċievu u jibagħtu trasferimenti ta’ kreditu regolari f’euro għandhom l-obbligu li joffru lill-PSUs tagħhom is-servizz ta’ pagament li jirċievu trasferimenti ta’ kreditu istantanji f’euro sad-9 ta’ Jannar 2027 u s-servizz ta’ pagament li jibagħtu trasferimenti ta’ kreditu istantanji f’euro sad-9 ta’ Lulju 2027, kif stabbilit fl-Artikolu 5a(8) tar-Regolament (UE) Nru 260/2012. Jenħtieġ li dawk il-PSPs jikkonformaw ukoll mal-obbligi rigward l-imposti fuq il-pagaturi u l-benefiċjarji biex jibagħtu u jirċievu trasferimenti ta’ kreditu istantanji f’euro sad-9 ta’ Jannar 2027, f’konformità mal-Artikolu 5b(3), it-tieni subparagrafu, ta’ dak ir-Regolament. Sabiex il-Kummissjoni tkun tista’ tevalwa l-impatt tar-Regolament (UE) Nru 260/2012 fuq il-livell ta’ imposti għat-trasferimenti ta’ kreditu, inklużi trasferimenti ta’ kreditu istantanji, denominati fil-munita nazzjonali tal-Istati Membri li l-munita tagħhom mhijiex l-euro, skont l-Artikolu 15(2), il-punt (a), ta’ dak ir-Regolament, huwa xieraq li l-PSPs li jinsabu f’dawk l-Istati Membri u li joffru lill-PSUs tagħhom is-servizz ta’ pagament li jirċievu u jibagħtu trasferimenti ta’ kreditu regolari bl-euro, jenħtieġ li jirrapportaw dwar in-numri u l-valuri ta’ trasferimenti ta’ kreditu, u l-imposti mitlubin għalihom, inklużi trasferimenti ta’ kreditu istantanji, denominati fil-munita nazzjonali tagħhom u fl-euro.</w:t>
      </w:r>
    </w:p>
    <w:p w:rsidR="009713B0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(5)</w:t>
      </w:r>
      <w:r w:rsidRPr="005355F9">
        <w:rPr>
          <w:noProof/>
        </w:rPr>
        <w:tab/>
      </w:r>
      <w:r w:rsidR="009713B0" w:rsidRPr="00F90BBB">
        <w:rPr>
          <w:noProof/>
        </w:rPr>
        <w:t>Għall-finijiet tar-rapportar f’konformità mal-Artikolu 15(3) tar-Regolament (UE) Nru 260/2012, il-PSPs jenħtieġ li jipprovdu lill-awtoritajiet kompetenti tagħhom data dwar l-għadd totali ta’ kontijiet ta’ pagament u l-livell aggregat tal-imposti totali għall-kontijiet ta’ pagament. Sabiex il-Kummissjoni tkun tista’ tivvaluta jekk hemmx rabta bejn il-bidliet potenzjali fl-imposti għall-kontijiet ta’ pagament u l-bidliet fl-imposti għat-trasferimenti ta’ kreditu u t-trasferimenti ta’ kreditu istantanji, jenħtieġ li r-rapportar ikun jinkludi diżaggregazzjoni tat-tariffi ta’ manutenzjoni.</w:t>
      </w:r>
    </w:p>
    <w:p w:rsidR="009713B0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(6)</w:t>
      </w:r>
      <w:r w:rsidRPr="005355F9">
        <w:rPr>
          <w:noProof/>
        </w:rPr>
        <w:tab/>
      </w:r>
      <w:r w:rsidR="00136075" w:rsidRPr="00F90BBB">
        <w:rPr>
          <w:noProof/>
        </w:rPr>
        <w:t>Sabiex il-Kummissjoni tkun tista’ tivvaluta s-sehem ta’ trasferimenti ta’ kreditu istantanji rrifjutati minħabba l-applikazzjoni ta’ miżuri restrittivi finanzjarji mmirati adottati f’konformità mal-Artikolu 215 tat-Trattat dwar il-Funzjonament tal-Unjoni Ewropea, u biex tivvaluta jekk dak is-sehem inbidilx wara li l-emendi għar-Regolament (UE) Nru 260/2012 introdotti bir-Regolament (UE) 2024/886 tal-Parlament Ewropew u tal-Kunsill</w:t>
      </w:r>
      <w:r w:rsidR="00136075" w:rsidRPr="00F90BBB">
        <w:rPr>
          <w:rStyle w:val="FootnoteReference"/>
          <w:noProof/>
        </w:rPr>
        <w:footnoteReference w:id="3"/>
      </w:r>
      <w:r w:rsidR="00136075" w:rsidRPr="00F90BBB">
        <w:rPr>
          <w:noProof/>
        </w:rPr>
        <w:t xml:space="preserve"> bdew japplikaw, jenħtieġ li l-PSPs jipprovdu lill-awtoritajiet kompetenti tagħhom data dwar dak is-sehem f’sena partikolari, inkluż l-għadd ta’ każijiet fejn it-trasferimenti ta’ kreditu istantanji ma ġewx eżegwiti jew il-fondi ġew iffriżati min-naħa tal-PSP tal-pagatur jew tal-benefiċjarju. </w:t>
      </w:r>
    </w:p>
    <w:p w:rsidR="0039723A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(7)</w:t>
      </w:r>
      <w:r w:rsidRPr="005355F9">
        <w:rPr>
          <w:noProof/>
        </w:rPr>
        <w:tab/>
      </w:r>
      <w:r w:rsidR="00B17DF1" w:rsidRPr="00F90BBB">
        <w:rPr>
          <w:noProof/>
        </w:rPr>
        <w:t>Biex jarmonizzaw ir-rapportar, il-PSPs jenħtieġ li jużaw il-mudell tal-punti tad-data u l-formuli ta’ validazzjoni disponibbli fuq is-sit web tal-Awtorità Bankarja Ewropea (EBA, European Banking Authority). Barra minn hekk, sabiex jitnaqqas il-piż tar-rapportar, u tiġi evitata kwalunkwe duplikazzjoni, jenħtieġ li l-awtoritajiet kompetenti jkunu jistgħu jippermettu lill-PSPs li jinsabu fil-ġuriżdizzjoni tagħhom biex jillimitaw ir-rapportar għal dawk il-punti ta’ data li ma jkunux ġew ippreżentati qabel.</w:t>
      </w:r>
    </w:p>
    <w:p w:rsidR="009713B0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(8)</w:t>
      </w:r>
      <w:r w:rsidRPr="005355F9">
        <w:rPr>
          <w:noProof/>
        </w:rPr>
        <w:tab/>
      </w:r>
      <w:r w:rsidR="009713B0" w:rsidRPr="00F90BBB">
        <w:rPr>
          <w:noProof/>
        </w:rPr>
        <w:t>Dan ir-Regolament huwa bbażat fuq l-abbozz tal-istandards tekniċi ta’ implimentazzjoni ppreżentat lill-Kummissjoni mill-EBA.</w:t>
      </w:r>
    </w:p>
    <w:p w:rsidR="009713B0" w:rsidRPr="00F90BBB" w:rsidRDefault="005355F9" w:rsidP="005355F9">
      <w:pPr>
        <w:pStyle w:val="ManualConsidrant"/>
        <w:rPr>
          <w:noProof/>
        </w:rPr>
      </w:pPr>
      <w:r w:rsidRPr="005355F9">
        <w:rPr>
          <w:noProof/>
        </w:rPr>
        <w:t>(9)</w:t>
      </w:r>
      <w:r w:rsidRPr="005355F9">
        <w:rPr>
          <w:noProof/>
        </w:rPr>
        <w:tab/>
      </w:r>
      <w:r w:rsidR="009713B0" w:rsidRPr="00F90BBB">
        <w:rPr>
          <w:noProof/>
        </w:rPr>
        <w:t>L-EBA wettqet konsultazzjonijiet pubbliċi miftuħa dwar l-abbozz tal-istandards tekniċi ta’ implimentazzjoni li fuqhom huwa bbażat dan ir-Regolament, analizzat il-kostijiet u l-benefiċċji potenzjali relatati u talbet l-opinjoni tal-Grupp tal-Partijiet Bankarji Interessati stabbilit f’konformità mal-Artikolu 37 tar-Regolament (UE) Nru 1093/2010 tal-Parlament Ewropew u tal-Kunsill</w:t>
      </w:r>
      <w:r w:rsidR="009713B0" w:rsidRPr="00F90BBB">
        <w:rPr>
          <w:rStyle w:val="FootnoteReference"/>
          <w:noProof/>
        </w:rPr>
        <w:footnoteReference w:id="4"/>
      </w:r>
      <w:r w:rsidR="009713B0" w:rsidRPr="00F90BBB">
        <w:rPr>
          <w:noProof/>
        </w:rPr>
        <w:t>,</w:t>
      </w:r>
    </w:p>
    <w:p w:rsidR="009713B0" w:rsidRPr="00F90BBB" w:rsidRDefault="009713B0" w:rsidP="009713B0">
      <w:pPr>
        <w:pStyle w:val="Formuledadoption"/>
        <w:rPr>
          <w:noProof/>
        </w:rPr>
      </w:pPr>
      <w:r w:rsidRPr="00F90BBB">
        <w:rPr>
          <w:noProof/>
        </w:rPr>
        <w:t>ADOTTAT DAN IR-REGOLAMENT:</w:t>
      </w:r>
    </w:p>
    <w:p w:rsidR="009713B0" w:rsidRPr="00F90BBB" w:rsidRDefault="009713B0" w:rsidP="009713B0">
      <w:pPr>
        <w:pStyle w:val="Titrearticle"/>
        <w:rPr>
          <w:noProof/>
        </w:rPr>
      </w:pPr>
      <w:r w:rsidRPr="00F90BBB">
        <w:rPr>
          <w:noProof/>
        </w:rPr>
        <w:t>Artikolu 1</w:t>
      </w:r>
    </w:p>
    <w:p w:rsidR="009713B0" w:rsidRPr="00F90BBB" w:rsidRDefault="009713B0" w:rsidP="009713B0">
      <w:pPr>
        <w:jc w:val="center"/>
        <w:rPr>
          <w:b/>
          <w:bCs/>
          <w:noProof/>
        </w:rPr>
      </w:pPr>
      <w:r w:rsidRPr="00F90BBB">
        <w:rPr>
          <w:b/>
          <w:noProof/>
        </w:rPr>
        <w:t>Rapportar dwar il-livell ta’ imposti</w:t>
      </w:r>
    </w:p>
    <w:p w:rsidR="009713B0" w:rsidRPr="00F90BBB" w:rsidRDefault="009713B0" w:rsidP="009713B0">
      <w:pPr>
        <w:pStyle w:val="Point0"/>
        <w:rPr>
          <w:noProof/>
        </w:rPr>
      </w:pPr>
      <w:r w:rsidRPr="00F90BBB">
        <w:rPr>
          <w:noProof/>
        </w:rPr>
        <w:t>1.</w:t>
      </w:r>
      <w:r w:rsidRPr="00F90BBB">
        <w:rPr>
          <w:noProof/>
        </w:rPr>
        <w:tab/>
        <w:t>Il-PSPs għandhom jirrapportaw dwar il-livell ta’ imposti għal trasferimenti ta’ kreditu, trasferimenti ta’ kreditu istantanji u kontijiet ta’ pagament billi jissottomettu l-informazzjoni indikata fil-mudelli 1.1, 1.2, 2.1, 2.2 u 3 stabbiliti fl-Anness I u f’konformità mal-istruzzjonijiet stabbiliti fl-Anness II.</w:t>
      </w:r>
    </w:p>
    <w:p w:rsidR="009713B0" w:rsidRPr="00F90BBB" w:rsidRDefault="009713B0" w:rsidP="009713B0">
      <w:pPr>
        <w:pStyle w:val="Point0"/>
        <w:rPr>
          <w:noProof/>
        </w:rPr>
      </w:pPr>
      <w:r w:rsidRPr="00F90BBB">
        <w:rPr>
          <w:noProof/>
        </w:rPr>
        <w:t>2.</w:t>
      </w:r>
      <w:r w:rsidRPr="00F90BBB">
        <w:rPr>
          <w:noProof/>
        </w:rPr>
        <w:tab/>
        <w:t>Il-PSPs għandhom jirrapportaw iċ-ċifri aggregati annwali sal-31 ta’ Diċembru tas-sena kalendarja li tippreċedi dik is-sena li fiha jiġi ppreżentat ir-rapport.</w:t>
      </w:r>
    </w:p>
    <w:p w:rsidR="009713B0" w:rsidRPr="00F90BBB" w:rsidRDefault="009713B0" w:rsidP="009713B0">
      <w:pPr>
        <w:pStyle w:val="Point0"/>
        <w:rPr>
          <w:noProof/>
        </w:rPr>
      </w:pPr>
      <w:r w:rsidRPr="00F90BBB">
        <w:rPr>
          <w:noProof/>
        </w:rPr>
        <w:t>3.</w:t>
      </w:r>
      <w:r w:rsidRPr="00F90BBB">
        <w:rPr>
          <w:noProof/>
        </w:rPr>
        <w:tab/>
        <w:t>B’deroga mill-paragrafu 2, l-ewwel rapport armonizzat għandu jkun fih ċifri aggregati għal kull sena li tippreċedi dik is-sena li fiha jiġi ppreżentat ir-rapport, bil-bidu jkun il-perjodu mis-26 ta’ Ottubru 2022 sal-31 ta’ Diċembru 2022, għall-2022.</w:t>
      </w:r>
    </w:p>
    <w:p w:rsidR="009713B0" w:rsidRPr="00F90BBB" w:rsidRDefault="009713B0" w:rsidP="009713B0">
      <w:pPr>
        <w:pStyle w:val="Titrearticle"/>
        <w:rPr>
          <w:noProof/>
        </w:rPr>
      </w:pPr>
      <w:r w:rsidRPr="00F90BBB">
        <w:rPr>
          <w:noProof/>
        </w:rPr>
        <w:t>Artikolu 2</w:t>
      </w:r>
    </w:p>
    <w:p w:rsidR="009713B0" w:rsidRPr="00F90BBB" w:rsidRDefault="009713B0" w:rsidP="009713B0">
      <w:pPr>
        <w:jc w:val="center"/>
        <w:rPr>
          <w:b/>
          <w:bCs/>
          <w:noProof/>
        </w:rPr>
      </w:pPr>
      <w:r w:rsidRPr="00F90BBB">
        <w:rPr>
          <w:b/>
          <w:noProof/>
        </w:rPr>
        <w:t>Rapportar tas-sehem ta’ tranżazzjonijiet ta’ trasferiment ta’ kreditu istantanju rifjutati u perjodi referenzjarji</w:t>
      </w:r>
    </w:p>
    <w:p w:rsidR="009713B0" w:rsidRPr="00F90BBB" w:rsidRDefault="009713B0" w:rsidP="009713B0">
      <w:pPr>
        <w:pStyle w:val="Point0"/>
        <w:rPr>
          <w:noProof/>
        </w:rPr>
      </w:pPr>
      <w:r w:rsidRPr="00F90BBB">
        <w:rPr>
          <w:noProof/>
        </w:rPr>
        <w:t>1.</w:t>
      </w:r>
      <w:r w:rsidRPr="00F90BBB">
        <w:rPr>
          <w:noProof/>
        </w:rPr>
        <w:tab/>
        <w:t>Il-PSPs għandhom jirrapportaw is-sehem ta’ tranżazzjonijiet ta’ trasferiment ta’ kreditu istantanju li jkunu ġew irrifjutati minħabba miżuri restrittivi finanzjarji mmirati, kif imsemmi fl-Artikolu 15(3) tar-Regolament (UE) Nru 260/2012, inkluża data separata għal tranżazzjonijiet nazzjonali u transfruntiera, billi jissottomettu l-informazzjoni indikata fil-mudell 4 stabbilit fl-Anness I u f’konformità mal-istruzzjonijiet stabbiliti fl-Anness II.</w:t>
      </w:r>
    </w:p>
    <w:p w:rsidR="009713B0" w:rsidRPr="00F90BBB" w:rsidRDefault="009713B0" w:rsidP="009713B0">
      <w:pPr>
        <w:pStyle w:val="Point0"/>
        <w:rPr>
          <w:noProof/>
        </w:rPr>
      </w:pPr>
      <w:r w:rsidRPr="00F90BBB">
        <w:rPr>
          <w:noProof/>
        </w:rPr>
        <w:t>2.</w:t>
      </w:r>
      <w:r w:rsidRPr="00F90BBB">
        <w:rPr>
          <w:noProof/>
        </w:rPr>
        <w:tab/>
        <w:t>Ir-rapporti għandhom jinkludu l-għadd ta’ rifjuti għas-sena kalendarja li tippreċedi dik is-sena li fiha jiġi ppreżentat ir-rapport.</w:t>
      </w:r>
    </w:p>
    <w:p w:rsidR="00AD7B15" w:rsidRPr="00F90BBB" w:rsidRDefault="009713B0" w:rsidP="00592723">
      <w:pPr>
        <w:pStyle w:val="Point0"/>
        <w:rPr>
          <w:noProof/>
        </w:rPr>
      </w:pPr>
      <w:r w:rsidRPr="00F90BBB">
        <w:rPr>
          <w:noProof/>
        </w:rPr>
        <w:t>3.</w:t>
      </w:r>
      <w:r w:rsidRPr="00F90BBB">
        <w:rPr>
          <w:noProof/>
        </w:rPr>
        <w:tab/>
        <w:t>B’deroga mill-paragrafu 2, l-ewwel rapport armonizzat għandu jkun fih il-mudelli mimlijin bl-għadd ta’ rifjuti għal kull sena li tippreċedi dik is-sena li fiha jiġi ppreżentat ir-rapport, bil-bidu jkun il-perjodu mis-26 ta’ Ottubru 2022 sal-31 ta’ Diċembru 2022, għall-2022.</w:t>
      </w:r>
    </w:p>
    <w:p w:rsidR="009713B0" w:rsidRPr="00F90BBB" w:rsidRDefault="009713B0" w:rsidP="009713B0">
      <w:pPr>
        <w:pStyle w:val="Titrearticle"/>
        <w:rPr>
          <w:noProof/>
        </w:rPr>
      </w:pPr>
      <w:r w:rsidRPr="00F90BBB">
        <w:rPr>
          <w:noProof/>
        </w:rPr>
        <w:t>Artikolu 3</w:t>
      </w:r>
    </w:p>
    <w:p w:rsidR="009713B0" w:rsidRPr="00F90BBB" w:rsidRDefault="009713B0" w:rsidP="009713B0">
      <w:pPr>
        <w:jc w:val="center"/>
        <w:rPr>
          <w:b/>
          <w:bCs/>
          <w:noProof/>
        </w:rPr>
      </w:pPr>
      <w:r w:rsidRPr="00F90BBB">
        <w:rPr>
          <w:b/>
          <w:noProof/>
        </w:rPr>
        <w:t>Formati tal-iskambju tad-data u informazzjoni li takkumpanja s-sottomissjonijiet</w:t>
      </w:r>
    </w:p>
    <w:p w:rsidR="009713B0" w:rsidRPr="00F90BBB" w:rsidRDefault="009713B0" w:rsidP="009713B0">
      <w:pPr>
        <w:rPr>
          <w:noProof/>
        </w:rPr>
      </w:pPr>
      <w:r w:rsidRPr="00F90BBB">
        <w:rPr>
          <w:noProof/>
        </w:rPr>
        <w:t>Il-PSPs għandhom jissottomettu l-informazzjoni msemmija fl-Artikoli 1 u 2 ta’ dan ir-Regolament fil-formati u r-rappreżentazzjonijiet tal-iskambju tad-data speċifikati mill-awtoritajiet kompetenti, u jirrispettaw id-definizzjoni tal-punt tad-data tal-mudell tal-punt tad-data u l-formuli ta’ validazzjoni disponibbli fis-sit web tal-EBA. Il-PSPs għandhom jikkonformaw mal-ispeċifikazzjonijiet li ġejjin:</w:t>
      </w:r>
    </w:p>
    <w:p w:rsidR="009713B0" w:rsidRPr="00F90BBB" w:rsidRDefault="005355F9" w:rsidP="005355F9">
      <w:pPr>
        <w:pStyle w:val="Point0"/>
        <w:rPr>
          <w:noProof/>
        </w:rPr>
      </w:pPr>
      <w:r w:rsidRPr="005355F9">
        <w:rPr>
          <w:noProof/>
        </w:rPr>
        <w:t>(a)</w:t>
      </w:r>
      <w:r w:rsidRPr="005355F9">
        <w:rPr>
          <w:noProof/>
        </w:rPr>
        <w:tab/>
      </w:r>
      <w:r w:rsidR="009713B0" w:rsidRPr="00F90BBB">
        <w:rPr>
          <w:noProof/>
        </w:rPr>
        <w:t>informazzjoni li mhijiex meħtieġa jew li mhijiex applikabbli ma għandhiex tiġi inkluża f’sottomissjoni ta’ data;</w:t>
      </w:r>
    </w:p>
    <w:p w:rsidR="009713B0" w:rsidRPr="00F90BBB" w:rsidRDefault="005355F9" w:rsidP="005355F9">
      <w:pPr>
        <w:pStyle w:val="Point0"/>
        <w:rPr>
          <w:noProof/>
        </w:rPr>
      </w:pPr>
      <w:r w:rsidRPr="005355F9">
        <w:rPr>
          <w:noProof/>
        </w:rPr>
        <w:t>(b)</w:t>
      </w:r>
      <w:r w:rsidRPr="005355F9">
        <w:rPr>
          <w:noProof/>
        </w:rPr>
        <w:tab/>
      </w:r>
      <w:r w:rsidR="009713B0" w:rsidRPr="00F90BBB">
        <w:rPr>
          <w:noProof/>
        </w:rPr>
        <w:t>il-valuri numeriċi għandhom jiġu sottomessi kif ġej:</w:t>
      </w:r>
    </w:p>
    <w:p w:rsidR="009713B0" w:rsidRPr="00F90BBB" w:rsidRDefault="0055071E" w:rsidP="009713B0">
      <w:pPr>
        <w:pStyle w:val="Point1"/>
        <w:rPr>
          <w:noProof/>
        </w:rPr>
      </w:pPr>
      <w:r w:rsidRPr="00F90BBB">
        <w:rPr>
          <w:noProof/>
        </w:rPr>
        <w:t>(i)</w:t>
      </w:r>
      <w:r w:rsidRPr="00F90BBB">
        <w:rPr>
          <w:noProof/>
        </w:rPr>
        <w:tab/>
        <w:t>il-PSPs għandhom jirrapportaw punti tad-data bit-tip ta’ data “Monetarju” bl-użu ta’ preċiżjoni minima ekwivalenti għal eluf ta’ unitajiet;</w:t>
      </w:r>
    </w:p>
    <w:p w:rsidR="009713B0" w:rsidRPr="00F90BBB" w:rsidRDefault="0055071E" w:rsidP="009713B0">
      <w:pPr>
        <w:pStyle w:val="Point1"/>
        <w:rPr>
          <w:noProof/>
        </w:rPr>
      </w:pPr>
      <w:r w:rsidRPr="00F90BBB">
        <w:rPr>
          <w:noProof/>
        </w:rPr>
        <w:t>(ii)</w:t>
      </w:r>
      <w:r w:rsidRPr="00F90BBB">
        <w:rPr>
          <w:noProof/>
        </w:rPr>
        <w:tab/>
        <w:t>il-PSPs ma għandhomx jużaw deċimali meta jirrapportaw punti tad-data bit-tip ta’ data “Integer” u għandhom jużaw preċiżjoni ekwivalenti għall-unitajiet.</w:t>
      </w:r>
    </w:p>
    <w:p w:rsidR="009713B0" w:rsidRPr="00F90BBB" w:rsidRDefault="009713B0" w:rsidP="009713B0">
      <w:pPr>
        <w:pStyle w:val="Titrearticle"/>
        <w:rPr>
          <w:noProof/>
        </w:rPr>
      </w:pPr>
      <w:r w:rsidRPr="00F90BBB">
        <w:rPr>
          <w:noProof/>
        </w:rPr>
        <w:t>Artikolu 4</w:t>
      </w:r>
    </w:p>
    <w:p w:rsidR="009713B0" w:rsidRPr="00F90BBB" w:rsidRDefault="009713B0" w:rsidP="009713B0">
      <w:pPr>
        <w:jc w:val="center"/>
        <w:rPr>
          <w:noProof/>
        </w:rPr>
      </w:pPr>
      <w:r w:rsidRPr="00F90BBB">
        <w:rPr>
          <w:b/>
          <w:noProof/>
        </w:rPr>
        <w:t>Dħul fis-seħħ</w:t>
      </w:r>
    </w:p>
    <w:p w:rsidR="009713B0" w:rsidRPr="00F90BBB" w:rsidRDefault="009713B0" w:rsidP="009713B0">
      <w:pPr>
        <w:rPr>
          <w:noProof/>
        </w:rPr>
      </w:pPr>
      <w:r w:rsidRPr="00F90BBB">
        <w:rPr>
          <w:noProof/>
        </w:rPr>
        <w:t>Dan ir-Regolament għandu jidħol fis-seħħ fl-għoxrin jum wara dak tal-pubblikazzjoni tiegħu f’</w:t>
      </w:r>
      <w:r w:rsidRPr="00F90BBB">
        <w:rPr>
          <w:i/>
          <w:noProof/>
        </w:rPr>
        <w:t>Il-Ġurnal Uffiċjali tal-Unjoni Ewropea</w:t>
      </w:r>
      <w:r w:rsidRPr="00F90BBB">
        <w:rPr>
          <w:noProof/>
        </w:rPr>
        <w:t>.</w:t>
      </w:r>
    </w:p>
    <w:p w:rsidR="009713B0" w:rsidRPr="00F90BBB" w:rsidRDefault="009713B0" w:rsidP="009713B0">
      <w:pPr>
        <w:pStyle w:val="Applicationdirecte"/>
        <w:rPr>
          <w:noProof/>
        </w:rPr>
      </w:pPr>
      <w:r w:rsidRPr="00F90BBB">
        <w:rPr>
          <w:noProof/>
        </w:rPr>
        <w:t>Dan ir-Regolament għandu jorbot fl-intier tiegħu u japplika direttament fl-Istati Membri kollha.</w:t>
      </w:r>
    </w:p>
    <w:p w:rsidR="009713B0" w:rsidRPr="00F90BBB" w:rsidRDefault="00A04506" w:rsidP="00714DF7">
      <w:pPr>
        <w:pStyle w:val="Fait"/>
        <w:rPr>
          <w:noProof/>
        </w:rPr>
      </w:pPr>
      <w:r>
        <w:rPr>
          <w:noProof/>
        </w:rPr>
        <w:t>Magħmul fi Brussell, 1.10.2025</w:t>
      </w:r>
    </w:p>
    <w:p w:rsidR="009713B0" w:rsidRPr="00F90BBB" w:rsidRDefault="009713B0" w:rsidP="00714DF7">
      <w:pPr>
        <w:pStyle w:val="Institutionquisigne"/>
        <w:rPr>
          <w:noProof/>
        </w:rPr>
      </w:pPr>
      <w:r w:rsidRPr="00F90BBB">
        <w:rPr>
          <w:noProof/>
        </w:rPr>
        <w:tab/>
        <w:t>Għall-Kummissjoni</w:t>
      </w:r>
    </w:p>
    <w:p w:rsidR="00FE7FED" w:rsidRPr="00F90BBB" w:rsidRDefault="00C76727" w:rsidP="009713B0">
      <w:pPr>
        <w:pStyle w:val="Personnequisigne"/>
        <w:rPr>
          <w:noProof/>
        </w:rPr>
      </w:pPr>
      <w:r>
        <w:rPr>
          <w:noProof/>
        </w:rPr>
        <w:tab/>
        <w:t>Il-President</w:t>
      </w:r>
      <w:r>
        <w:rPr>
          <w:noProof/>
        </w:rPr>
        <w:br/>
      </w:r>
      <w:r>
        <w:rPr>
          <w:noProof/>
        </w:rPr>
        <w:tab/>
        <w:t>Ursula VON DER LEYEN</w:t>
      </w:r>
    </w:p>
    <w:sectPr w:rsidR="00FE7FED" w:rsidRPr="00F90BBB" w:rsidSect="00297F29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DD3" w:rsidRDefault="00725DD3" w:rsidP="00FE7FED">
      <w:pPr>
        <w:spacing w:before="0" w:after="0"/>
      </w:pPr>
      <w:r>
        <w:separator/>
      </w:r>
    </w:p>
  </w:endnote>
  <w:endnote w:type="continuationSeparator" w:id="0">
    <w:p w:rsidR="00725DD3" w:rsidRDefault="00725DD3" w:rsidP="00FE7FED">
      <w:pPr>
        <w:spacing w:before="0" w:after="0"/>
      </w:pPr>
      <w:r>
        <w:continuationSeparator/>
      </w:r>
    </w:p>
  </w:endnote>
  <w:endnote w:type="continuationNotice" w:id="1">
    <w:p w:rsidR="00725DD3" w:rsidRDefault="00725DD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F29" w:rsidRPr="00297F29" w:rsidRDefault="00297F29" w:rsidP="00297F29">
    <w:pPr>
      <w:pStyle w:val="Footer"/>
      <w:rPr>
        <w:rFonts w:ascii="Arial" w:hAnsi="Arial" w:cs="Arial"/>
        <w:b/>
        <w:sz w:val="48"/>
      </w:rPr>
    </w:pPr>
    <w:r w:rsidRPr="00297F29">
      <w:rPr>
        <w:rFonts w:ascii="Arial" w:hAnsi="Arial" w:cs="Arial"/>
        <w:b/>
        <w:sz w:val="48"/>
      </w:rPr>
      <w:t>MT</w:t>
    </w:r>
    <w:r w:rsidRPr="00297F29">
      <w:rPr>
        <w:rFonts w:ascii="Arial" w:hAnsi="Arial" w:cs="Arial"/>
        <w:b/>
        <w:sz w:val="48"/>
      </w:rPr>
      <w:tab/>
    </w:r>
    <w:r w:rsidRPr="00297F29">
      <w:rPr>
        <w:rFonts w:ascii="Arial" w:hAnsi="Arial" w:cs="Arial"/>
        <w:b/>
        <w:sz w:val="48"/>
      </w:rPr>
      <w:tab/>
    </w:r>
    <w:r w:rsidRPr="00297F29">
      <w:tab/>
    </w:r>
    <w:r w:rsidRPr="00297F29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F29" w:rsidRPr="00297F29" w:rsidRDefault="00297F29" w:rsidP="00297F29">
    <w:pPr>
      <w:pStyle w:val="Footer"/>
      <w:rPr>
        <w:rFonts w:ascii="Arial" w:hAnsi="Arial" w:cs="Arial"/>
        <w:b/>
        <w:sz w:val="48"/>
      </w:rPr>
    </w:pPr>
    <w:r w:rsidRPr="00297F29">
      <w:rPr>
        <w:rFonts w:ascii="Arial" w:hAnsi="Arial" w:cs="Arial"/>
        <w:b/>
        <w:sz w:val="48"/>
      </w:rPr>
      <w:t>MT</w:t>
    </w:r>
    <w:r w:rsidRPr="00297F29">
      <w:rPr>
        <w:rFonts w:ascii="Arial" w:hAnsi="Arial" w:cs="Arial"/>
        <w:b/>
        <w:sz w:val="48"/>
      </w:rPr>
      <w:tab/>
    </w:r>
    <w:r w:rsidRPr="00297F29">
      <w:rPr>
        <w:rFonts w:ascii="Arial" w:hAnsi="Arial" w:cs="Arial"/>
        <w:b/>
        <w:sz w:val="48"/>
      </w:rPr>
      <w:tab/>
    </w:r>
    <w:r w:rsidRPr="00297F29">
      <w:tab/>
    </w:r>
    <w:r w:rsidRPr="00297F29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F29" w:rsidRDefault="00297F2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F29" w:rsidRPr="00297F29" w:rsidRDefault="00297F29" w:rsidP="00297F29">
    <w:pPr>
      <w:pStyle w:val="Footer"/>
      <w:rPr>
        <w:rFonts w:ascii="Arial" w:hAnsi="Arial" w:cs="Arial"/>
        <w:b/>
        <w:sz w:val="48"/>
      </w:rPr>
    </w:pPr>
    <w:r w:rsidRPr="00297F29">
      <w:rPr>
        <w:rFonts w:ascii="Arial" w:hAnsi="Arial" w:cs="Arial"/>
        <w:b/>
        <w:sz w:val="48"/>
      </w:rPr>
      <w:t>MT</w:t>
    </w:r>
    <w:r w:rsidRPr="00297F29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714DF7">
      <w:rPr>
        <w:noProof/>
      </w:rPr>
      <w:t>4</w:t>
    </w:r>
    <w:r>
      <w:fldChar w:fldCharType="end"/>
    </w:r>
    <w:r>
      <w:tab/>
    </w:r>
    <w:r w:rsidRPr="00297F29">
      <w:tab/>
    </w:r>
    <w:r w:rsidRPr="00297F29">
      <w:rPr>
        <w:rFonts w:ascii="Arial" w:hAnsi="Arial" w:cs="Arial"/>
        <w:b/>
        <w:sz w:val="48"/>
      </w:rPr>
      <w:t>MT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F29" w:rsidRDefault="00297F29" w:rsidP="00297F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DD3" w:rsidRDefault="00725DD3" w:rsidP="00FE7FED">
      <w:pPr>
        <w:spacing w:before="0" w:after="0"/>
      </w:pPr>
      <w:r>
        <w:separator/>
      </w:r>
    </w:p>
  </w:footnote>
  <w:footnote w:type="continuationSeparator" w:id="0">
    <w:p w:rsidR="00725DD3" w:rsidRDefault="00725DD3" w:rsidP="00FE7FED">
      <w:pPr>
        <w:spacing w:before="0" w:after="0"/>
      </w:pPr>
      <w:r>
        <w:continuationSeparator/>
      </w:r>
    </w:p>
  </w:footnote>
  <w:footnote w:type="continuationNotice" w:id="1">
    <w:p w:rsidR="00725DD3" w:rsidRDefault="00725DD3">
      <w:pPr>
        <w:spacing w:before="0" w:after="0"/>
      </w:pPr>
    </w:p>
  </w:footnote>
  <w:footnote w:id="2">
    <w:p w:rsidR="00A8350B" w:rsidRPr="00F90BBB" w:rsidRDefault="00A8350B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F90BBB">
        <w:rPr>
          <w:lang w:val="de-DE"/>
        </w:rPr>
        <w:tab/>
        <w:t xml:space="preserve">ĠU L 94, 30.3.2012, p. 22, ELI: http://data.europa.eu/eli/reg/2012/260/oj. </w:t>
      </w:r>
    </w:p>
  </w:footnote>
  <w:footnote w:id="3">
    <w:p w:rsidR="00AD7B15" w:rsidRPr="00F90BBB" w:rsidRDefault="00AD7B15" w:rsidP="00D05942">
      <w:pPr>
        <w:pStyle w:val="FootnoteText"/>
        <w:ind w:left="0" w:firstLine="0"/>
        <w:rPr>
          <w:lang w:val="de-DE"/>
        </w:rPr>
      </w:pPr>
      <w:r>
        <w:rPr>
          <w:rStyle w:val="FootnoteReference"/>
        </w:rPr>
        <w:footnoteRef/>
      </w:r>
      <w:r w:rsidRPr="00F90BBB">
        <w:rPr>
          <w:lang w:val="de-DE"/>
        </w:rPr>
        <w:tab/>
        <w:t>Ir-Regolament (UE) 2024/886 tal-Parlament Ewropew u tal-Kunsill tat-13 ta’ Marzu 2024 li jemenda r-Regolamenti (UE) Nru 260/2012 u (UE) 2021/1230 u d-Direttivi 98/26/KE u (UE) 2015/2366 fir-rigward ta’ trasferimenti ta’ kreditu istantanji f’euro (ĠU L, 2024/886, 19.3.2024, ELI: http://data.europa.eu/eli/reg/2024/886/oj).</w:t>
      </w:r>
    </w:p>
  </w:footnote>
  <w:footnote w:id="4">
    <w:p w:rsidR="009713B0" w:rsidRPr="00F90BBB" w:rsidRDefault="009713B0" w:rsidP="009713B0">
      <w:pPr>
        <w:pStyle w:val="FootnoteText"/>
        <w:rPr>
          <w:lang w:val="de-DE"/>
        </w:rPr>
      </w:pPr>
      <w:r>
        <w:rPr>
          <w:rStyle w:val="FootnoteReference"/>
        </w:rPr>
        <w:footnoteRef/>
      </w:r>
      <w:r w:rsidRPr="00F90BBB">
        <w:rPr>
          <w:lang w:val="de-DE"/>
        </w:rPr>
        <w:tab/>
        <w:t>Ir-Regolament (UE) Nru 1093/2010 tal-Parlament Ewropew u tal-Kunsill tal-24 ta’ Novembru 2010 li jistabbilixxi Awtorità Superviżorja Ewropea (Awtorità Bankarja Ewropea) u li jemenda d-Deċiżjoni Nru 716/2009/KE u jħassar id-Deċiżjoni tal-Kummissjoni 2009/78/KE (ĠU L 331, 15.12.2010, p. 12, ELI: http://data.europa.eu/eli/reg/2010/1093/oj).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F29" w:rsidRDefault="00297F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F29" w:rsidRDefault="00297F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F9DE80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16C0063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FDEC9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6CE005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B7A92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8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3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4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5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9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4"/>
  </w:num>
  <w:num w:numId="2">
    <w:abstractNumId w:val="19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16"/>
  </w:num>
  <w:num w:numId="9">
    <w:abstractNumId w:val="9"/>
  </w:num>
  <w:num w:numId="10">
    <w:abstractNumId w:val="18"/>
  </w:num>
  <w:num w:numId="11">
    <w:abstractNumId w:val="8"/>
  </w:num>
  <w:num w:numId="12">
    <w:abstractNumId w:val="10"/>
  </w:num>
  <w:num w:numId="13">
    <w:abstractNumId w:val="11"/>
  </w:num>
  <w:num w:numId="14">
    <w:abstractNumId w:val="6"/>
  </w:num>
  <w:num w:numId="15">
    <w:abstractNumId w:val="17"/>
  </w:num>
  <w:num w:numId="16">
    <w:abstractNumId w:val="5"/>
  </w:num>
  <w:num w:numId="17">
    <w:abstractNumId w:val="12"/>
  </w:num>
  <w:num w:numId="18">
    <w:abstractNumId w:val="14"/>
  </w:num>
  <w:num w:numId="19">
    <w:abstractNumId w:val="15"/>
  </w:num>
  <w:num w:numId="20">
    <w:abstractNumId w:val="7"/>
  </w:num>
  <w:num w:numId="21">
    <w:abstractNumId w:val="13"/>
  </w:num>
  <w:num w:numId="2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revisionView w:markup="0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5-09-30 17:23:10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Green"/>
    <w:docVar w:name="DQCVersion" w:val="3"/>
    <w:docVar w:name="DQCWithWarnings" w:val="0"/>
    <w:docVar w:name="LW_CORRIGENDUM" w:val="&lt;UNUSED&gt;"/>
    <w:docVar w:name="LW_COVERPAGE_EXISTS" w:val="True"/>
    <w:docVar w:name="LW_COVERPAGE_GUID" w:val="A3D47AEA-0E93-4500-A5B2-6083F170E7A6"/>
    <w:docVar w:name="LW_COVERPAGE_TYPE" w:val="1"/>
    <w:docVar w:name="LW_CreatedUtc" w:val="2025-02-25T08:25:43.0388982Z"/>
    <w:docVar w:name="LW_CROSSREFERENCE" w:val="&lt;UNUSED&gt;"/>
    <w:docVar w:name="LW_DATE.ADOPT.CP" w:val="ta'1.10.2025"/>
    <w:docVar w:name="LW_DATE.ADOPT.CP_DATEFORMAT" w:val="ta'%DATE%"/>
    <w:docVar w:name="LW_DATE.ADOPT.CP_ISODATE" w:val="2025-10-01"/>
    <w:docVar w:name="LW_DocType" w:val="COM"/>
    <w:docVar w:name="LW_EMISSION" w:val="1.10.2025"/>
    <w:docVar w:name="LW_EMISSION_ISODATE" w:val="2025-10-01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&lt;UNUSED&gt;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5) 6570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istabbilixxi standards tekni\u267?i ta\u8217? implimentazzjoni g\u295?all-applikazzjoni tar-Regolament (UE) Nru 260/2012 tal-Parlament Ewropew u tal-Kunsill fir-rigward ta\u8217? mudelli uniformi ta\u8217? rapportar, struzzjonijiet u metodolo\u289?ija g\u295?ar-rapportar tal-livell ta\u8217? imposti g\u295?at-trasferimenti ta\u8217? kreditu, trasferimenti ta\u8217? kreditu istantanji u kontijiet ta\u8217? pagament, u s-sehem ta\u8217? tran\u380?azzjonijiet rifjutati"/>
    <w:docVar w:name="LW_TYPE.DOC.CP" w:val="REGOLAMENT TA\u8217? IMPLIMENTAZZJONI TAL-KUMMISSJONI (UE) .../..."/>
    <w:docVar w:name="LwApiVersions" w:val="LW4CoDe 1.24.5.0; LW 9.0, Build 20240221"/>
  </w:docVars>
  <w:rsids>
    <w:rsidRoot w:val="00FE7FED"/>
    <w:rsid w:val="00001BC7"/>
    <w:rsid w:val="000066ED"/>
    <w:rsid w:val="000068B4"/>
    <w:rsid w:val="000079A5"/>
    <w:rsid w:val="00014C12"/>
    <w:rsid w:val="00016168"/>
    <w:rsid w:val="00025818"/>
    <w:rsid w:val="0002592C"/>
    <w:rsid w:val="0002598B"/>
    <w:rsid w:val="00033F48"/>
    <w:rsid w:val="000373AB"/>
    <w:rsid w:val="000421B5"/>
    <w:rsid w:val="00042488"/>
    <w:rsid w:val="0004347B"/>
    <w:rsid w:val="00047478"/>
    <w:rsid w:val="000504E3"/>
    <w:rsid w:val="0005226F"/>
    <w:rsid w:val="0006406A"/>
    <w:rsid w:val="000642D0"/>
    <w:rsid w:val="00072E61"/>
    <w:rsid w:val="000744DD"/>
    <w:rsid w:val="00075170"/>
    <w:rsid w:val="000758A1"/>
    <w:rsid w:val="000768B7"/>
    <w:rsid w:val="0008161A"/>
    <w:rsid w:val="0008224E"/>
    <w:rsid w:val="000847C4"/>
    <w:rsid w:val="00096BAD"/>
    <w:rsid w:val="000A4172"/>
    <w:rsid w:val="000A41FC"/>
    <w:rsid w:val="000A4298"/>
    <w:rsid w:val="000A454E"/>
    <w:rsid w:val="000B2C1B"/>
    <w:rsid w:val="000B7C50"/>
    <w:rsid w:val="000C0B38"/>
    <w:rsid w:val="000C387D"/>
    <w:rsid w:val="000C449F"/>
    <w:rsid w:val="000C4F0E"/>
    <w:rsid w:val="000D043A"/>
    <w:rsid w:val="000D1771"/>
    <w:rsid w:val="000D391D"/>
    <w:rsid w:val="000D5A8B"/>
    <w:rsid w:val="000D6822"/>
    <w:rsid w:val="000E08FA"/>
    <w:rsid w:val="000E15A7"/>
    <w:rsid w:val="000E50E2"/>
    <w:rsid w:val="000E7CB2"/>
    <w:rsid w:val="000F0AA0"/>
    <w:rsid w:val="000F26D8"/>
    <w:rsid w:val="000F4AF6"/>
    <w:rsid w:val="001030E9"/>
    <w:rsid w:val="00104199"/>
    <w:rsid w:val="001065F5"/>
    <w:rsid w:val="001066B5"/>
    <w:rsid w:val="0010750E"/>
    <w:rsid w:val="00114B61"/>
    <w:rsid w:val="0011705A"/>
    <w:rsid w:val="00117E87"/>
    <w:rsid w:val="001238EF"/>
    <w:rsid w:val="00123A96"/>
    <w:rsid w:val="00124229"/>
    <w:rsid w:val="001254D0"/>
    <w:rsid w:val="00126A52"/>
    <w:rsid w:val="001309E5"/>
    <w:rsid w:val="00130A11"/>
    <w:rsid w:val="0013354A"/>
    <w:rsid w:val="00136075"/>
    <w:rsid w:val="00140C92"/>
    <w:rsid w:val="00141111"/>
    <w:rsid w:val="00141C39"/>
    <w:rsid w:val="00142A94"/>
    <w:rsid w:val="00143368"/>
    <w:rsid w:val="0014583F"/>
    <w:rsid w:val="00145DAF"/>
    <w:rsid w:val="001475E9"/>
    <w:rsid w:val="00150298"/>
    <w:rsid w:val="001519B1"/>
    <w:rsid w:val="00152432"/>
    <w:rsid w:val="00153975"/>
    <w:rsid w:val="00153E27"/>
    <w:rsid w:val="00154745"/>
    <w:rsid w:val="00154E88"/>
    <w:rsid w:val="00154ED4"/>
    <w:rsid w:val="00155F1D"/>
    <w:rsid w:val="00156590"/>
    <w:rsid w:val="00160FDD"/>
    <w:rsid w:val="00162F28"/>
    <w:rsid w:val="0016376B"/>
    <w:rsid w:val="0016398E"/>
    <w:rsid w:val="00171733"/>
    <w:rsid w:val="001721CC"/>
    <w:rsid w:val="00180D6D"/>
    <w:rsid w:val="001840A1"/>
    <w:rsid w:val="001913B0"/>
    <w:rsid w:val="00191CEA"/>
    <w:rsid w:val="00197613"/>
    <w:rsid w:val="001A1FA1"/>
    <w:rsid w:val="001A5381"/>
    <w:rsid w:val="001A6744"/>
    <w:rsid w:val="001A7B61"/>
    <w:rsid w:val="001B081E"/>
    <w:rsid w:val="001C0071"/>
    <w:rsid w:val="001C0950"/>
    <w:rsid w:val="001C3C75"/>
    <w:rsid w:val="001C6408"/>
    <w:rsid w:val="001C7C6B"/>
    <w:rsid w:val="001D08D6"/>
    <w:rsid w:val="001D6BB7"/>
    <w:rsid w:val="001E0062"/>
    <w:rsid w:val="001F78E3"/>
    <w:rsid w:val="00203CF1"/>
    <w:rsid w:val="002102D8"/>
    <w:rsid w:val="00210337"/>
    <w:rsid w:val="00215208"/>
    <w:rsid w:val="002174F2"/>
    <w:rsid w:val="00220F9F"/>
    <w:rsid w:val="0022745F"/>
    <w:rsid w:val="00227D76"/>
    <w:rsid w:val="00230E4C"/>
    <w:rsid w:val="00232FDF"/>
    <w:rsid w:val="002339C3"/>
    <w:rsid w:val="00233DC7"/>
    <w:rsid w:val="0023679A"/>
    <w:rsid w:val="00240C3D"/>
    <w:rsid w:val="00244629"/>
    <w:rsid w:val="002464E8"/>
    <w:rsid w:val="00247779"/>
    <w:rsid w:val="00251C02"/>
    <w:rsid w:val="00251D78"/>
    <w:rsid w:val="002537B3"/>
    <w:rsid w:val="00253A7F"/>
    <w:rsid w:val="00255D10"/>
    <w:rsid w:val="00260F3C"/>
    <w:rsid w:val="002614D0"/>
    <w:rsid w:val="002619F9"/>
    <w:rsid w:val="00262DE1"/>
    <w:rsid w:val="00270578"/>
    <w:rsid w:val="00281B09"/>
    <w:rsid w:val="00285BEE"/>
    <w:rsid w:val="00287FAC"/>
    <w:rsid w:val="00293F82"/>
    <w:rsid w:val="0029533F"/>
    <w:rsid w:val="00297F29"/>
    <w:rsid w:val="002A2EE8"/>
    <w:rsid w:val="002A5779"/>
    <w:rsid w:val="002A5E80"/>
    <w:rsid w:val="002B1522"/>
    <w:rsid w:val="002B30AF"/>
    <w:rsid w:val="002B4662"/>
    <w:rsid w:val="002C0286"/>
    <w:rsid w:val="002C10B5"/>
    <w:rsid w:val="002C1A4F"/>
    <w:rsid w:val="002C5B13"/>
    <w:rsid w:val="002D06D2"/>
    <w:rsid w:val="002D2CC4"/>
    <w:rsid w:val="002D3A91"/>
    <w:rsid w:val="002D6964"/>
    <w:rsid w:val="002E15CA"/>
    <w:rsid w:val="002E2315"/>
    <w:rsid w:val="002E3165"/>
    <w:rsid w:val="002E53A7"/>
    <w:rsid w:val="002F1C71"/>
    <w:rsid w:val="002F1EE7"/>
    <w:rsid w:val="002F4C83"/>
    <w:rsid w:val="00303696"/>
    <w:rsid w:val="00311576"/>
    <w:rsid w:val="003119D5"/>
    <w:rsid w:val="00311E05"/>
    <w:rsid w:val="00316FD9"/>
    <w:rsid w:val="003213CE"/>
    <w:rsid w:val="003253A9"/>
    <w:rsid w:val="0033033C"/>
    <w:rsid w:val="00331F2E"/>
    <w:rsid w:val="003327E2"/>
    <w:rsid w:val="0033344A"/>
    <w:rsid w:val="00333E44"/>
    <w:rsid w:val="003429AC"/>
    <w:rsid w:val="00342B4F"/>
    <w:rsid w:val="003444B9"/>
    <w:rsid w:val="00345DA0"/>
    <w:rsid w:val="00350A45"/>
    <w:rsid w:val="003525DD"/>
    <w:rsid w:val="00352F0E"/>
    <w:rsid w:val="00354C7E"/>
    <w:rsid w:val="00356ADE"/>
    <w:rsid w:val="00361593"/>
    <w:rsid w:val="00361846"/>
    <w:rsid w:val="003657C0"/>
    <w:rsid w:val="00365DE4"/>
    <w:rsid w:val="00374796"/>
    <w:rsid w:val="003803FC"/>
    <w:rsid w:val="00380DD8"/>
    <w:rsid w:val="00383FF9"/>
    <w:rsid w:val="00385766"/>
    <w:rsid w:val="00386A30"/>
    <w:rsid w:val="003904C2"/>
    <w:rsid w:val="00395A2F"/>
    <w:rsid w:val="0039723A"/>
    <w:rsid w:val="003975E5"/>
    <w:rsid w:val="003A0056"/>
    <w:rsid w:val="003A5115"/>
    <w:rsid w:val="003B549F"/>
    <w:rsid w:val="003B57CD"/>
    <w:rsid w:val="003B5A1D"/>
    <w:rsid w:val="003B7CFF"/>
    <w:rsid w:val="003C1B52"/>
    <w:rsid w:val="003C33CB"/>
    <w:rsid w:val="003C4CAE"/>
    <w:rsid w:val="003D371C"/>
    <w:rsid w:val="003D73DF"/>
    <w:rsid w:val="003E167C"/>
    <w:rsid w:val="003E4FA2"/>
    <w:rsid w:val="003E5CF0"/>
    <w:rsid w:val="003F018F"/>
    <w:rsid w:val="003F0EC5"/>
    <w:rsid w:val="003F1E03"/>
    <w:rsid w:val="004019E8"/>
    <w:rsid w:val="00403029"/>
    <w:rsid w:val="00403674"/>
    <w:rsid w:val="00404CFA"/>
    <w:rsid w:val="00405044"/>
    <w:rsid w:val="00410821"/>
    <w:rsid w:val="00411FBF"/>
    <w:rsid w:val="00412F99"/>
    <w:rsid w:val="00412FDD"/>
    <w:rsid w:val="00415B42"/>
    <w:rsid w:val="004163A8"/>
    <w:rsid w:val="00421245"/>
    <w:rsid w:val="0042648E"/>
    <w:rsid w:val="00427029"/>
    <w:rsid w:val="00427E22"/>
    <w:rsid w:val="00431B0E"/>
    <w:rsid w:val="00432F41"/>
    <w:rsid w:val="0043372F"/>
    <w:rsid w:val="004425F3"/>
    <w:rsid w:val="004442AF"/>
    <w:rsid w:val="00444B3C"/>
    <w:rsid w:val="0045254B"/>
    <w:rsid w:val="00452C9A"/>
    <w:rsid w:val="00455F8A"/>
    <w:rsid w:val="00460097"/>
    <w:rsid w:val="00461F43"/>
    <w:rsid w:val="00462A07"/>
    <w:rsid w:val="00463137"/>
    <w:rsid w:val="00464680"/>
    <w:rsid w:val="00466E33"/>
    <w:rsid w:val="0047014B"/>
    <w:rsid w:val="004711D5"/>
    <w:rsid w:val="00472FD8"/>
    <w:rsid w:val="00477A35"/>
    <w:rsid w:val="00477CD9"/>
    <w:rsid w:val="00481E97"/>
    <w:rsid w:val="004822DC"/>
    <w:rsid w:val="004853C6"/>
    <w:rsid w:val="004868D0"/>
    <w:rsid w:val="004871A7"/>
    <w:rsid w:val="004901D3"/>
    <w:rsid w:val="004936D2"/>
    <w:rsid w:val="00497ECB"/>
    <w:rsid w:val="004A4894"/>
    <w:rsid w:val="004A7134"/>
    <w:rsid w:val="004B03D1"/>
    <w:rsid w:val="004B2FFA"/>
    <w:rsid w:val="004C15AA"/>
    <w:rsid w:val="004C5916"/>
    <w:rsid w:val="004C60B0"/>
    <w:rsid w:val="004C635B"/>
    <w:rsid w:val="004C79F1"/>
    <w:rsid w:val="004D084C"/>
    <w:rsid w:val="004D4226"/>
    <w:rsid w:val="004E047A"/>
    <w:rsid w:val="004E1BAA"/>
    <w:rsid w:val="004E2937"/>
    <w:rsid w:val="004E572C"/>
    <w:rsid w:val="004E7796"/>
    <w:rsid w:val="004F15B9"/>
    <w:rsid w:val="004F60DE"/>
    <w:rsid w:val="00501867"/>
    <w:rsid w:val="0050376F"/>
    <w:rsid w:val="00503AAA"/>
    <w:rsid w:val="00507BC8"/>
    <w:rsid w:val="00520EC8"/>
    <w:rsid w:val="00523CF7"/>
    <w:rsid w:val="0052515F"/>
    <w:rsid w:val="005261A7"/>
    <w:rsid w:val="00530551"/>
    <w:rsid w:val="00531AAF"/>
    <w:rsid w:val="00532147"/>
    <w:rsid w:val="005330E9"/>
    <w:rsid w:val="005347DC"/>
    <w:rsid w:val="00535135"/>
    <w:rsid w:val="005355F9"/>
    <w:rsid w:val="00536042"/>
    <w:rsid w:val="005423FA"/>
    <w:rsid w:val="00542EE6"/>
    <w:rsid w:val="005432C7"/>
    <w:rsid w:val="005450B1"/>
    <w:rsid w:val="0055071E"/>
    <w:rsid w:val="00551113"/>
    <w:rsid w:val="00551319"/>
    <w:rsid w:val="0056023D"/>
    <w:rsid w:val="00561BB5"/>
    <w:rsid w:val="00561C47"/>
    <w:rsid w:val="00561ED7"/>
    <w:rsid w:val="00564B4F"/>
    <w:rsid w:val="00565BEF"/>
    <w:rsid w:val="00566B29"/>
    <w:rsid w:val="00566E44"/>
    <w:rsid w:val="00570ADD"/>
    <w:rsid w:val="00570C41"/>
    <w:rsid w:val="00571DF5"/>
    <w:rsid w:val="00574D2C"/>
    <w:rsid w:val="00576696"/>
    <w:rsid w:val="00582116"/>
    <w:rsid w:val="00592723"/>
    <w:rsid w:val="00596FA4"/>
    <w:rsid w:val="005A206D"/>
    <w:rsid w:val="005A31F7"/>
    <w:rsid w:val="005A5967"/>
    <w:rsid w:val="005B1EB6"/>
    <w:rsid w:val="005B4B70"/>
    <w:rsid w:val="005B5F79"/>
    <w:rsid w:val="005C1F32"/>
    <w:rsid w:val="005C23A8"/>
    <w:rsid w:val="005C2C67"/>
    <w:rsid w:val="005C58BF"/>
    <w:rsid w:val="005C5BEE"/>
    <w:rsid w:val="005D090B"/>
    <w:rsid w:val="005D2EB4"/>
    <w:rsid w:val="005D4C37"/>
    <w:rsid w:val="005D67F4"/>
    <w:rsid w:val="005E141A"/>
    <w:rsid w:val="00602DFC"/>
    <w:rsid w:val="006033A9"/>
    <w:rsid w:val="00604C25"/>
    <w:rsid w:val="0060533B"/>
    <w:rsid w:val="0060742C"/>
    <w:rsid w:val="00612113"/>
    <w:rsid w:val="006158F4"/>
    <w:rsid w:val="006162FE"/>
    <w:rsid w:val="00617361"/>
    <w:rsid w:val="00620589"/>
    <w:rsid w:val="00626B53"/>
    <w:rsid w:val="00626E74"/>
    <w:rsid w:val="006307D8"/>
    <w:rsid w:val="00633C43"/>
    <w:rsid w:val="00637401"/>
    <w:rsid w:val="00637578"/>
    <w:rsid w:val="00637A53"/>
    <w:rsid w:val="00642ABC"/>
    <w:rsid w:val="006443C4"/>
    <w:rsid w:val="0064496B"/>
    <w:rsid w:val="00645810"/>
    <w:rsid w:val="00653EFF"/>
    <w:rsid w:val="006563C0"/>
    <w:rsid w:val="00670C78"/>
    <w:rsid w:val="00672EFA"/>
    <w:rsid w:val="00674252"/>
    <w:rsid w:val="00674AAE"/>
    <w:rsid w:val="00676C8D"/>
    <w:rsid w:val="0067704C"/>
    <w:rsid w:val="00677FED"/>
    <w:rsid w:val="0068377C"/>
    <w:rsid w:val="00684931"/>
    <w:rsid w:val="00686892"/>
    <w:rsid w:val="0069142A"/>
    <w:rsid w:val="006914F4"/>
    <w:rsid w:val="00691552"/>
    <w:rsid w:val="0069173A"/>
    <w:rsid w:val="0069225A"/>
    <w:rsid w:val="00692762"/>
    <w:rsid w:val="00694295"/>
    <w:rsid w:val="0069517A"/>
    <w:rsid w:val="006960A4"/>
    <w:rsid w:val="006A2582"/>
    <w:rsid w:val="006A44B8"/>
    <w:rsid w:val="006A6123"/>
    <w:rsid w:val="006A74A3"/>
    <w:rsid w:val="006B0215"/>
    <w:rsid w:val="006B62A8"/>
    <w:rsid w:val="006B7EB5"/>
    <w:rsid w:val="006C06F3"/>
    <w:rsid w:val="006C4B71"/>
    <w:rsid w:val="006E28FD"/>
    <w:rsid w:val="006E39FA"/>
    <w:rsid w:val="006E5C4A"/>
    <w:rsid w:val="006E64E5"/>
    <w:rsid w:val="006E6B2D"/>
    <w:rsid w:val="006E78FA"/>
    <w:rsid w:val="006E7992"/>
    <w:rsid w:val="006E7F11"/>
    <w:rsid w:val="006F0053"/>
    <w:rsid w:val="006F089E"/>
    <w:rsid w:val="006F0FDC"/>
    <w:rsid w:val="006F68C4"/>
    <w:rsid w:val="006F69E7"/>
    <w:rsid w:val="006F7400"/>
    <w:rsid w:val="00700210"/>
    <w:rsid w:val="007009D9"/>
    <w:rsid w:val="00706DDD"/>
    <w:rsid w:val="00706E59"/>
    <w:rsid w:val="0071264F"/>
    <w:rsid w:val="007147E3"/>
    <w:rsid w:val="00714DF7"/>
    <w:rsid w:val="00720C74"/>
    <w:rsid w:val="00722EF3"/>
    <w:rsid w:val="00724289"/>
    <w:rsid w:val="00725DD3"/>
    <w:rsid w:val="00726798"/>
    <w:rsid w:val="00726A58"/>
    <w:rsid w:val="00727E53"/>
    <w:rsid w:val="00734A8B"/>
    <w:rsid w:val="00734D8A"/>
    <w:rsid w:val="00735833"/>
    <w:rsid w:val="00736120"/>
    <w:rsid w:val="00737F09"/>
    <w:rsid w:val="007406AE"/>
    <w:rsid w:val="00743ADA"/>
    <w:rsid w:val="00743E70"/>
    <w:rsid w:val="00745A56"/>
    <w:rsid w:val="007464B1"/>
    <w:rsid w:val="00750F39"/>
    <w:rsid w:val="00752C41"/>
    <w:rsid w:val="00755584"/>
    <w:rsid w:val="0075651E"/>
    <w:rsid w:val="007605D9"/>
    <w:rsid w:val="00761345"/>
    <w:rsid w:val="00764A2C"/>
    <w:rsid w:val="00770A0E"/>
    <w:rsid w:val="00770C5B"/>
    <w:rsid w:val="00773331"/>
    <w:rsid w:val="00774B57"/>
    <w:rsid w:val="007809A1"/>
    <w:rsid w:val="00780FEA"/>
    <w:rsid w:val="007836A8"/>
    <w:rsid w:val="00787878"/>
    <w:rsid w:val="00792105"/>
    <w:rsid w:val="007932EF"/>
    <w:rsid w:val="007951B8"/>
    <w:rsid w:val="007A16D3"/>
    <w:rsid w:val="007A4891"/>
    <w:rsid w:val="007B1166"/>
    <w:rsid w:val="007B118F"/>
    <w:rsid w:val="007B5227"/>
    <w:rsid w:val="007C059D"/>
    <w:rsid w:val="007C17A2"/>
    <w:rsid w:val="007C470E"/>
    <w:rsid w:val="007C493D"/>
    <w:rsid w:val="007D150D"/>
    <w:rsid w:val="007D3B08"/>
    <w:rsid w:val="007D4717"/>
    <w:rsid w:val="007D6756"/>
    <w:rsid w:val="007E05B0"/>
    <w:rsid w:val="007E601F"/>
    <w:rsid w:val="007E6EFD"/>
    <w:rsid w:val="007E71CE"/>
    <w:rsid w:val="007E7C74"/>
    <w:rsid w:val="007F104A"/>
    <w:rsid w:val="007F4E83"/>
    <w:rsid w:val="007F4F35"/>
    <w:rsid w:val="00801E87"/>
    <w:rsid w:val="00802964"/>
    <w:rsid w:val="00804319"/>
    <w:rsid w:val="00805CF7"/>
    <w:rsid w:val="00805ED6"/>
    <w:rsid w:val="00806337"/>
    <w:rsid w:val="00807467"/>
    <w:rsid w:val="008101A8"/>
    <w:rsid w:val="0081488B"/>
    <w:rsid w:val="00816042"/>
    <w:rsid w:val="00816AFC"/>
    <w:rsid w:val="00817CF7"/>
    <w:rsid w:val="008231E0"/>
    <w:rsid w:val="00827C4D"/>
    <w:rsid w:val="0083038A"/>
    <w:rsid w:val="0083128A"/>
    <w:rsid w:val="0083272F"/>
    <w:rsid w:val="00835D9A"/>
    <w:rsid w:val="0083730D"/>
    <w:rsid w:val="00840128"/>
    <w:rsid w:val="008413EA"/>
    <w:rsid w:val="00841AE1"/>
    <w:rsid w:val="00847508"/>
    <w:rsid w:val="008525C0"/>
    <w:rsid w:val="008540C8"/>
    <w:rsid w:val="008553FF"/>
    <w:rsid w:val="00865668"/>
    <w:rsid w:val="00865D84"/>
    <w:rsid w:val="008664F6"/>
    <w:rsid w:val="0087059E"/>
    <w:rsid w:val="00874D22"/>
    <w:rsid w:val="00877882"/>
    <w:rsid w:val="00880425"/>
    <w:rsid w:val="00881518"/>
    <w:rsid w:val="0088282D"/>
    <w:rsid w:val="00883037"/>
    <w:rsid w:val="008836F9"/>
    <w:rsid w:val="00886942"/>
    <w:rsid w:val="00887571"/>
    <w:rsid w:val="00890216"/>
    <w:rsid w:val="00890246"/>
    <w:rsid w:val="00891706"/>
    <w:rsid w:val="00893DA7"/>
    <w:rsid w:val="00897969"/>
    <w:rsid w:val="008A2914"/>
    <w:rsid w:val="008B0DB8"/>
    <w:rsid w:val="008B6C23"/>
    <w:rsid w:val="008C0AC8"/>
    <w:rsid w:val="008C258F"/>
    <w:rsid w:val="008C29E2"/>
    <w:rsid w:val="008C2B35"/>
    <w:rsid w:val="008C386A"/>
    <w:rsid w:val="008C4818"/>
    <w:rsid w:val="008C486C"/>
    <w:rsid w:val="008C4B71"/>
    <w:rsid w:val="008C5385"/>
    <w:rsid w:val="008C6C71"/>
    <w:rsid w:val="008C7227"/>
    <w:rsid w:val="008D2B36"/>
    <w:rsid w:val="008D2E1C"/>
    <w:rsid w:val="008D68E8"/>
    <w:rsid w:val="008E17A3"/>
    <w:rsid w:val="008E1A3A"/>
    <w:rsid w:val="008E4D8E"/>
    <w:rsid w:val="008E4DD2"/>
    <w:rsid w:val="008E5C8A"/>
    <w:rsid w:val="008E6BEE"/>
    <w:rsid w:val="008F0117"/>
    <w:rsid w:val="008F0F5E"/>
    <w:rsid w:val="008F5762"/>
    <w:rsid w:val="00900DD3"/>
    <w:rsid w:val="009013F8"/>
    <w:rsid w:val="00911C72"/>
    <w:rsid w:val="00912850"/>
    <w:rsid w:val="00913DEB"/>
    <w:rsid w:val="00914C54"/>
    <w:rsid w:val="0091508E"/>
    <w:rsid w:val="00915816"/>
    <w:rsid w:val="00917E85"/>
    <w:rsid w:val="009203A5"/>
    <w:rsid w:val="00925CEE"/>
    <w:rsid w:val="00930421"/>
    <w:rsid w:val="00930648"/>
    <w:rsid w:val="00933431"/>
    <w:rsid w:val="00936D2B"/>
    <w:rsid w:val="0094211A"/>
    <w:rsid w:val="00944EE3"/>
    <w:rsid w:val="0094607C"/>
    <w:rsid w:val="00947057"/>
    <w:rsid w:val="00951211"/>
    <w:rsid w:val="00952943"/>
    <w:rsid w:val="009537E1"/>
    <w:rsid w:val="00953813"/>
    <w:rsid w:val="00954A2A"/>
    <w:rsid w:val="00957327"/>
    <w:rsid w:val="00957789"/>
    <w:rsid w:val="00960C4B"/>
    <w:rsid w:val="009638BD"/>
    <w:rsid w:val="0096627D"/>
    <w:rsid w:val="009664CD"/>
    <w:rsid w:val="009713B0"/>
    <w:rsid w:val="00971653"/>
    <w:rsid w:val="009724F4"/>
    <w:rsid w:val="00973EBC"/>
    <w:rsid w:val="00976DB6"/>
    <w:rsid w:val="00980990"/>
    <w:rsid w:val="0098199B"/>
    <w:rsid w:val="009850E8"/>
    <w:rsid w:val="00986335"/>
    <w:rsid w:val="00986892"/>
    <w:rsid w:val="009927FD"/>
    <w:rsid w:val="00994CA3"/>
    <w:rsid w:val="00996030"/>
    <w:rsid w:val="0099612E"/>
    <w:rsid w:val="0099719C"/>
    <w:rsid w:val="009A2B3E"/>
    <w:rsid w:val="009B28D4"/>
    <w:rsid w:val="009C1173"/>
    <w:rsid w:val="009C6440"/>
    <w:rsid w:val="009C69FE"/>
    <w:rsid w:val="009D1DF0"/>
    <w:rsid w:val="009D60FA"/>
    <w:rsid w:val="009D7A56"/>
    <w:rsid w:val="009E1471"/>
    <w:rsid w:val="009E14C2"/>
    <w:rsid w:val="009E1AC1"/>
    <w:rsid w:val="009E4560"/>
    <w:rsid w:val="009F1CCA"/>
    <w:rsid w:val="009F2458"/>
    <w:rsid w:val="009F531D"/>
    <w:rsid w:val="009F5DB9"/>
    <w:rsid w:val="009F78C0"/>
    <w:rsid w:val="009F7E43"/>
    <w:rsid w:val="00A008CD"/>
    <w:rsid w:val="00A02384"/>
    <w:rsid w:val="00A0408F"/>
    <w:rsid w:val="00A04506"/>
    <w:rsid w:val="00A05D20"/>
    <w:rsid w:val="00A06E20"/>
    <w:rsid w:val="00A10562"/>
    <w:rsid w:val="00A11DC5"/>
    <w:rsid w:val="00A121B1"/>
    <w:rsid w:val="00A125DA"/>
    <w:rsid w:val="00A1626C"/>
    <w:rsid w:val="00A17923"/>
    <w:rsid w:val="00A20E96"/>
    <w:rsid w:val="00A24555"/>
    <w:rsid w:val="00A31053"/>
    <w:rsid w:val="00A369EE"/>
    <w:rsid w:val="00A409A9"/>
    <w:rsid w:val="00A43A59"/>
    <w:rsid w:val="00A514E3"/>
    <w:rsid w:val="00A51981"/>
    <w:rsid w:val="00A54C7E"/>
    <w:rsid w:val="00A55753"/>
    <w:rsid w:val="00A607D3"/>
    <w:rsid w:val="00A61EB7"/>
    <w:rsid w:val="00A62121"/>
    <w:rsid w:val="00A6338B"/>
    <w:rsid w:val="00A71A56"/>
    <w:rsid w:val="00A7246B"/>
    <w:rsid w:val="00A72B2F"/>
    <w:rsid w:val="00A744A9"/>
    <w:rsid w:val="00A75188"/>
    <w:rsid w:val="00A80233"/>
    <w:rsid w:val="00A813B3"/>
    <w:rsid w:val="00A8350B"/>
    <w:rsid w:val="00A8635C"/>
    <w:rsid w:val="00AA2317"/>
    <w:rsid w:val="00AA3CA4"/>
    <w:rsid w:val="00AA7D65"/>
    <w:rsid w:val="00AB14B1"/>
    <w:rsid w:val="00AB1C6F"/>
    <w:rsid w:val="00AB297D"/>
    <w:rsid w:val="00AB3556"/>
    <w:rsid w:val="00AB3B3D"/>
    <w:rsid w:val="00AB50BC"/>
    <w:rsid w:val="00AB6762"/>
    <w:rsid w:val="00AC0006"/>
    <w:rsid w:val="00AC13E5"/>
    <w:rsid w:val="00AC36A5"/>
    <w:rsid w:val="00AC67B2"/>
    <w:rsid w:val="00AD6EF4"/>
    <w:rsid w:val="00AD7B15"/>
    <w:rsid w:val="00AD7CC1"/>
    <w:rsid w:val="00AE31D5"/>
    <w:rsid w:val="00AE69B8"/>
    <w:rsid w:val="00AE6AB7"/>
    <w:rsid w:val="00AE7D22"/>
    <w:rsid w:val="00AF278E"/>
    <w:rsid w:val="00AF71F5"/>
    <w:rsid w:val="00B053FF"/>
    <w:rsid w:val="00B10032"/>
    <w:rsid w:val="00B12237"/>
    <w:rsid w:val="00B14FD7"/>
    <w:rsid w:val="00B15792"/>
    <w:rsid w:val="00B17DF1"/>
    <w:rsid w:val="00B200E2"/>
    <w:rsid w:val="00B22153"/>
    <w:rsid w:val="00B25070"/>
    <w:rsid w:val="00B27A92"/>
    <w:rsid w:val="00B42926"/>
    <w:rsid w:val="00B432CA"/>
    <w:rsid w:val="00B4331F"/>
    <w:rsid w:val="00B434C1"/>
    <w:rsid w:val="00B52D63"/>
    <w:rsid w:val="00B53B73"/>
    <w:rsid w:val="00B552A9"/>
    <w:rsid w:val="00B62E49"/>
    <w:rsid w:val="00B65EDF"/>
    <w:rsid w:val="00B674DA"/>
    <w:rsid w:val="00B71A89"/>
    <w:rsid w:val="00B750C9"/>
    <w:rsid w:val="00B75148"/>
    <w:rsid w:val="00B756F7"/>
    <w:rsid w:val="00B75BFE"/>
    <w:rsid w:val="00B76C25"/>
    <w:rsid w:val="00B817BF"/>
    <w:rsid w:val="00B86274"/>
    <w:rsid w:val="00B875E1"/>
    <w:rsid w:val="00B9119D"/>
    <w:rsid w:val="00B9253B"/>
    <w:rsid w:val="00B93228"/>
    <w:rsid w:val="00B941FE"/>
    <w:rsid w:val="00B9538B"/>
    <w:rsid w:val="00B95AE2"/>
    <w:rsid w:val="00BA2F7E"/>
    <w:rsid w:val="00BA4508"/>
    <w:rsid w:val="00BA5155"/>
    <w:rsid w:val="00BA541B"/>
    <w:rsid w:val="00BA5DC4"/>
    <w:rsid w:val="00BA7EBC"/>
    <w:rsid w:val="00BB2FF0"/>
    <w:rsid w:val="00BB69ED"/>
    <w:rsid w:val="00BB732E"/>
    <w:rsid w:val="00BB76D6"/>
    <w:rsid w:val="00BB7776"/>
    <w:rsid w:val="00BC3B91"/>
    <w:rsid w:val="00BC5FF4"/>
    <w:rsid w:val="00BC6865"/>
    <w:rsid w:val="00BD13AE"/>
    <w:rsid w:val="00BD1FB6"/>
    <w:rsid w:val="00BD3934"/>
    <w:rsid w:val="00BD5B82"/>
    <w:rsid w:val="00BD7AB4"/>
    <w:rsid w:val="00BE02EC"/>
    <w:rsid w:val="00BE19A1"/>
    <w:rsid w:val="00BE2905"/>
    <w:rsid w:val="00BF1DAA"/>
    <w:rsid w:val="00BF2FE5"/>
    <w:rsid w:val="00BF3180"/>
    <w:rsid w:val="00BF6D71"/>
    <w:rsid w:val="00BF7F77"/>
    <w:rsid w:val="00C00730"/>
    <w:rsid w:val="00C01E11"/>
    <w:rsid w:val="00C12301"/>
    <w:rsid w:val="00C263CE"/>
    <w:rsid w:val="00C272D0"/>
    <w:rsid w:val="00C27DF8"/>
    <w:rsid w:val="00C3410B"/>
    <w:rsid w:val="00C411B0"/>
    <w:rsid w:val="00C43AAE"/>
    <w:rsid w:val="00C44190"/>
    <w:rsid w:val="00C442F9"/>
    <w:rsid w:val="00C50BFD"/>
    <w:rsid w:val="00C60F19"/>
    <w:rsid w:val="00C64FFA"/>
    <w:rsid w:val="00C67CD8"/>
    <w:rsid w:val="00C70712"/>
    <w:rsid w:val="00C70E12"/>
    <w:rsid w:val="00C714E1"/>
    <w:rsid w:val="00C716B4"/>
    <w:rsid w:val="00C71B6C"/>
    <w:rsid w:val="00C76727"/>
    <w:rsid w:val="00C7687B"/>
    <w:rsid w:val="00C85915"/>
    <w:rsid w:val="00C90983"/>
    <w:rsid w:val="00C91E13"/>
    <w:rsid w:val="00C9233E"/>
    <w:rsid w:val="00C9347C"/>
    <w:rsid w:val="00C93B85"/>
    <w:rsid w:val="00CA0E7E"/>
    <w:rsid w:val="00CA37F7"/>
    <w:rsid w:val="00CA4EC5"/>
    <w:rsid w:val="00CA5FB6"/>
    <w:rsid w:val="00CA7160"/>
    <w:rsid w:val="00CB0889"/>
    <w:rsid w:val="00CB64E4"/>
    <w:rsid w:val="00CC16BC"/>
    <w:rsid w:val="00CC3F90"/>
    <w:rsid w:val="00CC4458"/>
    <w:rsid w:val="00CC499B"/>
    <w:rsid w:val="00CC62BC"/>
    <w:rsid w:val="00CD063F"/>
    <w:rsid w:val="00CD4C73"/>
    <w:rsid w:val="00CE1C7A"/>
    <w:rsid w:val="00CE36B8"/>
    <w:rsid w:val="00CE6123"/>
    <w:rsid w:val="00CF5750"/>
    <w:rsid w:val="00CF5C60"/>
    <w:rsid w:val="00CF6A8C"/>
    <w:rsid w:val="00CF7490"/>
    <w:rsid w:val="00CF787A"/>
    <w:rsid w:val="00D029AA"/>
    <w:rsid w:val="00D05942"/>
    <w:rsid w:val="00D106E8"/>
    <w:rsid w:val="00D12544"/>
    <w:rsid w:val="00D13C79"/>
    <w:rsid w:val="00D14832"/>
    <w:rsid w:val="00D15205"/>
    <w:rsid w:val="00D16BAB"/>
    <w:rsid w:val="00D170AB"/>
    <w:rsid w:val="00D172BD"/>
    <w:rsid w:val="00D20381"/>
    <w:rsid w:val="00D21FD8"/>
    <w:rsid w:val="00D234CB"/>
    <w:rsid w:val="00D2656D"/>
    <w:rsid w:val="00D324E1"/>
    <w:rsid w:val="00D352B4"/>
    <w:rsid w:val="00D353BF"/>
    <w:rsid w:val="00D40EFF"/>
    <w:rsid w:val="00D4512D"/>
    <w:rsid w:val="00D5242D"/>
    <w:rsid w:val="00D54A61"/>
    <w:rsid w:val="00D5503F"/>
    <w:rsid w:val="00D621FB"/>
    <w:rsid w:val="00D62456"/>
    <w:rsid w:val="00D62E5E"/>
    <w:rsid w:val="00D665C4"/>
    <w:rsid w:val="00D674F4"/>
    <w:rsid w:val="00D6777E"/>
    <w:rsid w:val="00D70B60"/>
    <w:rsid w:val="00D7463F"/>
    <w:rsid w:val="00D76A56"/>
    <w:rsid w:val="00D825B6"/>
    <w:rsid w:val="00D82CC1"/>
    <w:rsid w:val="00D87245"/>
    <w:rsid w:val="00D87300"/>
    <w:rsid w:val="00D90E08"/>
    <w:rsid w:val="00DA1E26"/>
    <w:rsid w:val="00DB0501"/>
    <w:rsid w:val="00DB250A"/>
    <w:rsid w:val="00DB3C35"/>
    <w:rsid w:val="00DB3D14"/>
    <w:rsid w:val="00DB6B05"/>
    <w:rsid w:val="00DC04AA"/>
    <w:rsid w:val="00DC32EC"/>
    <w:rsid w:val="00DC551D"/>
    <w:rsid w:val="00DC60AA"/>
    <w:rsid w:val="00DD50D0"/>
    <w:rsid w:val="00DD57BC"/>
    <w:rsid w:val="00DE0B07"/>
    <w:rsid w:val="00DE2ADF"/>
    <w:rsid w:val="00DF1A15"/>
    <w:rsid w:val="00DF1CB4"/>
    <w:rsid w:val="00DF324D"/>
    <w:rsid w:val="00DF792D"/>
    <w:rsid w:val="00DF7D1B"/>
    <w:rsid w:val="00E00723"/>
    <w:rsid w:val="00E0498A"/>
    <w:rsid w:val="00E04C8B"/>
    <w:rsid w:val="00E0505F"/>
    <w:rsid w:val="00E06ADC"/>
    <w:rsid w:val="00E104B1"/>
    <w:rsid w:val="00E1502C"/>
    <w:rsid w:val="00E21874"/>
    <w:rsid w:val="00E258F8"/>
    <w:rsid w:val="00E30766"/>
    <w:rsid w:val="00E3171F"/>
    <w:rsid w:val="00E31C61"/>
    <w:rsid w:val="00E31F15"/>
    <w:rsid w:val="00E327E6"/>
    <w:rsid w:val="00E34F0D"/>
    <w:rsid w:val="00E35CB0"/>
    <w:rsid w:val="00E3769D"/>
    <w:rsid w:val="00E420D2"/>
    <w:rsid w:val="00E4311E"/>
    <w:rsid w:val="00E43B59"/>
    <w:rsid w:val="00E448AB"/>
    <w:rsid w:val="00E54884"/>
    <w:rsid w:val="00E57015"/>
    <w:rsid w:val="00E60348"/>
    <w:rsid w:val="00E6043D"/>
    <w:rsid w:val="00E60C11"/>
    <w:rsid w:val="00E61C60"/>
    <w:rsid w:val="00E73351"/>
    <w:rsid w:val="00E74596"/>
    <w:rsid w:val="00E80981"/>
    <w:rsid w:val="00E81E68"/>
    <w:rsid w:val="00E84AAA"/>
    <w:rsid w:val="00E922D8"/>
    <w:rsid w:val="00E94B38"/>
    <w:rsid w:val="00E9561F"/>
    <w:rsid w:val="00E95689"/>
    <w:rsid w:val="00EA277C"/>
    <w:rsid w:val="00EA38FC"/>
    <w:rsid w:val="00EA3971"/>
    <w:rsid w:val="00EA3C60"/>
    <w:rsid w:val="00EA3D90"/>
    <w:rsid w:val="00EA5973"/>
    <w:rsid w:val="00EA64C3"/>
    <w:rsid w:val="00EB039C"/>
    <w:rsid w:val="00EB2C34"/>
    <w:rsid w:val="00EB4BCD"/>
    <w:rsid w:val="00EB72E1"/>
    <w:rsid w:val="00EC6C39"/>
    <w:rsid w:val="00EC78BD"/>
    <w:rsid w:val="00EC7DBC"/>
    <w:rsid w:val="00ED0099"/>
    <w:rsid w:val="00ED02D5"/>
    <w:rsid w:val="00ED297C"/>
    <w:rsid w:val="00ED33E8"/>
    <w:rsid w:val="00EE1C59"/>
    <w:rsid w:val="00EE3BEE"/>
    <w:rsid w:val="00EE613B"/>
    <w:rsid w:val="00EE7555"/>
    <w:rsid w:val="00EF35ED"/>
    <w:rsid w:val="00F02E3E"/>
    <w:rsid w:val="00F04DAB"/>
    <w:rsid w:val="00F0743A"/>
    <w:rsid w:val="00F105CA"/>
    <w:rsid w:val="00F133B9"/>
    <w:rsid w:val="00F13429"/>
    <w:rsid w:val="00F14D92"/>
    <w:rsid w:val="00F16F48"/>
    <w:rsid w:val="00F17A3B"/>
    <w:rsid w:val="00F229A7"/>
    <w:rsid w:val="00F308C1"/>
    <w:rsid w:val="00F308DA"/>
    <w:rsid w:val="00F35509"/>
    <w:rsid w:val="00F36671"/>
    <w:rsid w:val="00F40A90"/>
    <w:rsid w:val="00F41E71"/>
    <w:rsid w:val="00F424E2"/>
    <w:rsid w:val="00F46ECF"/>
    <w:rsid w:val="00F53272"/>
    <w:rsid w:val="00F558D2"/>
    <w:rsid w:val="00F6156F"/>
    <w:rsid w:val="00F62E31"/>
    <w:rsid w:val="00F66B95"/>
    <w:rsid w:val="00F672C7"/>
    <w:rsid w:val="00F67493"/>
    <w:rsid w:val="00F6791B"/>
    <w:rsid w:val="00F75BAC"/>
    <w:rsid w:val="00F824D3"/>
    <w:rsid w:val="00F84BE4"/>
    <w:rsid w:val="00F8766D"/>
    <w:rsid w:val="00F90BBB"/>
    <w:rsid w:val="00F91E2B"/>
    <w:rsid w:val="00F92092"/>
    <w:rsid w:val="00F951F3"/>
    <w:rsid w:val="00F95871"/>
    <w:rsid w:val="00FA00A7"/>
    <w:rsid w:val="00FA7030"/>
    <w:rsid w:val="00FA7B48"/>
    <w:rsid w:val="00FB0717"/>
    <w:rsid w:val="00FB4D9B"/>
    <w:rsid w:val="00FB7673"/>
    <w:rsid w:val="00FB7914"/>
    <w:rsid w:val="00FC0031"/>
    <w:rsid w:val="00FC0B30"/>
    <w:rsid w:val="00FC38F8"/>
    <w:rsid w:val="00FC7219"/>
    <w:rsid w:val="00FD15D6"/>
    <w:rsid w:val="00FD1FD5"/>
    <w:rsid w:val="00FD3AB2"/>
    <w:rsid w:val="00FD71F7"/>
    <w:rsid w:val="00FE392C"/>
    <w:rsid w:val="00FE7FED"/>
    <w:rsid w:val="00FF1134"/>
    <w:rsid w:val="00FF15A2"/>
    <w:rsid w:val="00FF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8D37355B-58DB-4A35-B16E-3173BFAAA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pPr>
      <w:keepNext/>
      <w:numPr>
        <w:numId w:val="15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pPr>
      <w:keepNext/>
      <w:numPr>
        <w:ilvl w:val="1"/>
        <w:numId w:val="15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pPr>
      <w:keepNext/>
      <w:numPr>
        <w:ilvl w:val="2"/>
        <w:numId w:val="15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pPr>
      <w:keepNext/>
      <w:numPr>
        <w:ilvl w:val="3"/>
        <w:numId w:val="15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pPr>
      <w:keepNext/>
      <w:numPr>
        <w:ilvl w:val="4"/>
        <w:numId w:val="15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pPr>
      <w:keepNext/>
      <w:numPr>
        <w:ilvl w:val="5"/>
        <w:numId w:val="15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pPr>
      <w:keepNext/>
      <w:numPr>
        <w:ilvl w:val="6"/>
        <w:numId w:val="15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FE7FED"/>
    <w:pPr>
      <w:numPr>
        <w:numId w:val="1"/>
      </w:numPr>
    </w:pPr>
    <w:rPr>
      <w:rFonts w:eastAsia="Times New Roman"/>
      <w:lang w:eastAsia="en-GB"/>
    </w:rPr>
  </w:style>
  <w:style w:type="character" w:styleId="Hyperlink">
    <w:name w:val="Hyperlink"/>
    <w:basedOn w:val="DefaultParagraphFont"/>
    <w:rsid w:val="009713B0"/>
    <w:rPr>
      <w:color w:val="2F5773"/>
      <w:u w:val="single"/>
    </w:rPr>
  </w:style>
  <w:style w:type="paragraph" w:styleId="ListBullet2">
    <w:name w:val="List Bullet 2"/>
    <w:basedOn w:val="Normal"/>
    <w:uiPriority w:val="99"/>
    <w:semiHidden/>
    <w:unhideWhenUsed/>
    <w:rsid w:val="009713B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713B0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840A1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840A1"/>
    <w:pPr>
      <w:numPr>
        <w:numId w:val="7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615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5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56F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6F"/>
    <w:rPr>
      <w:rFonts w:ascii="Times New Roman" w:hAnsi="Times New Roman" w:cs="Times New Roman"/>
      <w:b/>
      <w:bCs/>
      <w:sz w:val="20"/>
      <w:szCs w:val="20"/>
      <w:lang w:val="mt-M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156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6156F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297F29"/>
    <w:rPr>
      <w:rFonts w:ascii="Times New Roman" w:hAnsi="Times New Roman" w:cs="Times New Roman"/>
      <w:sz w:val="24"/>
      <w:lang w:val="mt-MT"/>
    </w:rPr>
  </w:style>
  <w:style w:type="character" w:customStyle="1" w:styleId="FooterChar">
    <w:name w:val="Footer Char"/>
    <w:basedOn w:val="DefaultParagraphFont"/>
    <w:link w:val="Footer"/>
    <w:uiPriority w:val="99"/>
    <w:rsid w:val="00297F29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mt-MT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i/>
      <w:sz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  <w:lang w:val="mt-MT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  <w:lang w:val="mt-MT"/>
    </w:rPr>
  </w:style>
  <w:style w:type="paragraph" w:styleId="TOCHeading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297F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297F29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297F2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8"/>
      </w:numPr>
    </w:pPr>
  </w:style>
  <w:style w:type="paragraph" w:customStyle="1" w:styleId="Tiret1">
    <w:name w:val="Tiret 1"/>
    <w:basedOn w:val="Point1"/>
    <w:pPr>
      <w:numPr>
        <w:numId w:val="9"/>
      </w:numPr>
    </w:pPr>
  </w:style>
  <w:style w:type="paragraph" w:customStyle="1" w:styleId="Tiret2">
    <w:name w:val="Tiret 2"/>
    <w:basedOn w:val="Point2"/>
    <w:pPr>
      <w:numPr>
        <w:numId w:val="10"/>
      </w:numPr>
    </w:pPr>
  </w:style>
  <w:style w:type="paragraph" w:customStyle="1" w:styleId="Tiret3">
    <w:name w:val="Tiret 3"/>
    <w:basedOn w:val="Point3"/>
    <w:pPr>
      <w:numPr>
        <w:numId w:val="11"/>
      </w:numPr>
    </w:pPr>
  </w:style>
  <w:style w:type="paragraph" w:customStyle="1" w:styleId="Tiret4">
    <w:name w:val="Tiret 4"/>
    <w:basedOn w:val="Point4"/>
    <w:pPr>
      <w:numPr>
        <w:numId w:val="12"/>
      </w:numPr>
    </w:pPr>
  </w:style>
  <w:style w:type="paragraph" w:customStyle="1" w:styleId="Tiret5">
    <w:name w:val="Tiret 5"/>
    <w:basedOn w:val="Point5"/>
    <w:pPr>
      <w:numPr>
        <w:numId w:val="13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4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4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4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4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4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DefaultParagraphFont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6"/>
      </w:numPr>
    </w:pPr>
  </w:style>
  <w:style w:type="paragraph" w:customStyle="1" w:styleId="Point1number">
    <w:name w:val="Point 1 (number)"/>
    <w:basedOn w:val="Normal"/>
    <w:pPr>
      <w:numPr>
        <w:ilvl w:val="2"/>
        <w:numId w:val="16"/>
      </w:numPr>
    </w:pPr>
  </w:style>
  <w:style w:type="paragraph" w:customStyle="1" w:styleId="Point2number">
    <w:name w:val="Point 2 (number)"/>
    <w:basedOn w:val="Normal"/>
    <w:pPr>
      <w:numPr>
        <w:ilvl w:val="4"/>
        <w:numId w:val="16"/>
      </w:numPr>
    </w:pPr>
  </w:style>
  <w:style w:type="paragraph" w:customStyle="1" w:styleId="Point3number">
    <w:name w:val="Point 3 (number)"/>
    <w:basedOn w:val="Normal"/>
    <w:pPr>
      <w:numPr>
        <w:ilvl w:val="6"/>
        <w:numId w:val="16"/>
      </w:numPr>
    </w:pPr>
  </w:style>
  <w:style w:type="paragraph" w:customStyle="1" w:styleId="Point0letter">
    <w:name w:val="Point 0 (letter)"/>
    <w:basedOn w:val="Normal"/>
    <w:pPr>
      <w:numPr>
        <w:ilvl w:val="1"/>
        <w:numId w:val="16"/>
      </w:numPr>
    </w:pPr>
  </w:style>
  <w:style w:type="paragraph" w:customStyle="1" w:styleId="Point1letter">
    <w:name w:val="Point 1 (letter)"/>
    <w:basedOn w:val="Normal"/>
    <w:pPr>
      <w:numPr>
        <w:ilvl w:val="3"/>
        <w:numId w:val="16"/>
      </w:numPr>
    </w:pPr>
  </w:style>
  <w:style w:type="paragraph" w:customStyle="1" w:styleId="Point2letter">
    <w:name w:val="Point 2 (letter)"/>
    <w:basedOn w:val="Normal"/>
    <w:pPr>
      <w:numPr>
        <w:ilvl w:val="5"/>
        <w:numId w:val="16"/>
      </w:numPr>
    </w:pPr>
  </w:style>
  <w:style w:type="paragraph" w:customStyle="1" w:styleId="Point3letter">
    <w:name w:val="Point 3 (letter)"/>
    <w:basedOn w:val="Normal"/>
    <w:pPr>
      <w:numPr>
        <w:ilvl w:val="7"/>
        <w:numId w:val="16"/>
      </w:numPr>
    </w:pPr>
  </w:style>
  <w:style w:type="paragraph" w:customStyle="1" w:styleId="Point4letter">
    <w:name w:val="Point 4 (letter)"/>
    <w:basedOn w:val="Normal"/>
    <w:pPr>
      <w:numPr>
        <w:ilvl w:val="8"/>
        <w:numId w:val="16"/>
      </w:numPr>
    </w:pPr>
  </w:style>
  <w:style w:type="paragraph" w:customStyle="1" w:styleId="Bullet0">
    <w:name w:val="Bullet 0"/>
    <w:basedOn w:val="Normal"/>
    <w:pPr>
      <w:numPr>
        <w:numId w:val="17"/>
      </w:numPr>
    </w:pPr>
  </w:style>
  <w:style w:type="paragraph" w:customStyle="1" w:styleId="Bullet1">
    <w:name w:val="Bullet 1"/>
    <w:basedOn w:val="Normal"/>
    <w:pPr>
      <w:numPr>
        <w:numId w:val="18"/>
      </w:numPr>
    </w:pPr>
  </w:style>
  <w:style w:type="paragraph" w:customStyle="1" w:styleId="Bullet2">
    <w:name w:val="Bullet 2"/>
    <w:basedOn w:val="Normal"/>
    <w:pPr>
      <w:numPr>
        <w:numId w:val="19"/>
      </w:numPr>
    </w:pPr>
  </w:style>
  <w:style w:type="paragraph" w:customStyle="1" w:styleId="Bullet3">
    <w:name w:val="Bullet 3"/>
    <w:basedOn w:val="Normal"/>
    <w:pPr>
      <w:numPr>
        <w:numId w:val="20"/>
      </w:numPr>
    </w:pPr>
  </w:style>
  <w:style w:type="paragraph" w:customStyle="1" w:styleId="Bullet4">
    <w:name w:val="Bullet 4"/>
    <w:basedOn w:val="Normal"/>
    <w:pPr>
      <w:numPr>
        <w:numId w:val="21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22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97F29"/>
    <w:pPr>
      <w:tabs>
        <w:tab w:val="center" w:pos="4535"/>
        <w:tab w:val="right" w:pos="9071"/>
      </w:tabs>
      <w:spacing w:before="0"/>
    </w:pPr>
  </w:style>
  <w:style w:type="paragraph" w:customStyle="1" w:styleId="HeaderLandscape">
    <w:name w:val="HeaderLandscape"/>
    <w:basedOn w:val="Normal"/>
    <w:rsid w:val="00297F29"/>
    <w:pPr>
      <w:tabs>
        <w:tab w:val="center" w:pos="7285"/>
        <w:tab w:val="right" w:pos="14003"/>
      </w:tabs>
      <w:spacing w:before="0"/>
    </w:pPr>
  </w:style>
  <w:style w:type="paragraph" w:styleId="Footer">
    <w:name w:val="footer"/>
    <w:basedOn w:val="Normal"/>
    <w:link w:val="FooterChar"/>
    <w:uiPriority w:val="99"/>
    <w:unhideWhenUsed/>
    <w:rsid w:val="00297F2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297F29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BAD999D84E12C74482EA5120F5227F6F00217DECAAC21D6B43958DFE68658C192E" ma:contentTypeVersion="27" ma:contentTypeDescription="Create a new document in this library." ma:contentTypeScope="" ma:versionID="e7e27166b6ddd379314dbc4ffb647a9d">
  <xsd:schema xmlns:xsd="http://www.w3.org/2001/XMLSchema" xmlns:xs="http://www.w3.org/2001/XMLSchema" xmlns:p="http://schemas.microsoft.com/office/2006/metadata/properties" xmlns:ns2="http://schemas.microsoft.com/sharepoint/v3/fields" xmlns:ns3="144c03d0-0f03-451f-9d46-5279004462a4" xmlns:ns4="f7bb8512-91eb-4bfd-be42-d6f021407e9a" targetNamespace="http://schemas.microsoft.com/office/2006/metadata/properties" ma:root="true" ma:fieldsID="6ba0d890b3d934a84d947fa41105d8de" ns2:_="" ns3:_="" ns4:_="">
    <xsd:import namespace="http://schemas.microsoft.com/sharepoint/v3/fields"/>
    <xsd:import namespace="144c03d0-0f03-451f-9d46-5279004462a4"/>
    <xsd:import namespace="f7bb8512-91eb-4bfd-be42-d6f021407e9a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SharedWithUsers" minOccurs="0"/>
                <xsd:element ref="ns3:SharedWithDetails" minOccurs="0"/>
                <xsd:element ref="ns3:EC_Collab_Status" minOccurs="0"/>
                <xsd:element ref="ns4:MediaServiceSearchProperties" minOccurs="0"/>
                <xsd:element ref="ns4:lcf76f155ced4ddcb4097134ff3c332f" minOccurs="0"/>
                <xsd:element ref="ns3:TaxCatchAll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4c03d0-0f03-451f-9d46-5279004462a4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 ma:readOnly="false">
      <xsd:simpleType>
        <xsd:restriction base="dms:Text"/>
      </xsd:simpleType>
    </xsd:element>
    <xsd:element name="EC_Collab_DocumentLanguage" ma:index="14" ma:displayName="Language" ma:default="EN" ma:format="Dropdown" ma:internalName="EC_Collab_DocumentLanguage" ma:readOnly="fals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EC_Collab_Status" ma:index="17" nillable="true" ma:displayName="EC Status" ma:default="Not Started" ma:format="Dropdown" ma:internalName="EC_Collab_Status" ma:readOnly="false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  <xsd:element name="TaxCatchAll" ma:index="21" nillable="true" ma:displayName="Taxonomy Catch All Column" ma:hidden="true" ma:list="{51513471-611d-4aba-ae12-e8d0e877eea6}" ma:internalName="TaxCatchAll" ma:showField="CatchAllData" ma:web="144c03d0-0f03-451f-9d46-527900446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b8512-91eb-4bfd-be42-d6f021407e9a" elementFormDefault="qualified">
    <xsd:import namespace="http://schemas.microsoft.com/office/2006/documentManagement/types"/>
    <xsd:import namespace="http://schemas.microsoft.com/office/infopath/2007/PartnerControls"/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Reference xmlns="144c03d0-0f03-451f-9d46-5279004462a4" xsi:nil="true"/>
    <EC_Collab_Status xmlns="144c03d0-0f03-451f-9d46-5279004462a4">Not Started</EC_Collab_Status>
    <_Status xmlns="http://schemas.microsoft.com/sharepoint/v3/fields">Not Started</_Status>
    <EC_Collab_DocumentLanguage xmlns="144c03d0-0f03-451f-9d46-5279004462a4">EN</EC_Collab_DocumentLanguage>
    <lcf76f155ced4ddcb4097134ff3c332f xmlns="f7bb8512-91eb-4bfd-be42-d6f021407e9a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144c03d0-0f03-451f-9d46-5279004462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D5FD2-A6F3-4EB5-A6CF-7867F88AE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AA042-8990-48CF-9F49-CCC060D39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44c03d0-0f03-451f-9d46-5279004462a4"/>
    <ds:schemaRef ds:uri="f7bb8512-91eb-4bfd-be42-d6f021407e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EAE6E2-368D-42B0-9134-B6800FDB77A6}">
  <ds:schemaRefs>
    <ds:schemaRef ds:uri="http://schemas.microsoft.com/office/2006/metadata/properties"/>
    <ds:schemaRef ds:uri="http://schemas.microsoft.com/office/infopath/2007/PartnerControls"/>
    <ds:schemaRef ds:uri="144c03d0-0f03-451f-9d46-5279004462a4"/>
    <ds:schemaRef ds:uri="http://schemas.microsoft.com/sharepoint/v3/fields"/>
    <ds:schemaRef ds:uri="f7bb8512-91eb-4bfd-be42-d6f021407e9a"/>
  </ds:schemaRefs>
</ds:datastoreItem>
</file>

<file path=customXml/itemProps4.xml><?xml version="1.0" encoding="utf-8"?>
<ds:datastoreItem xmlns:ds="http://schemas.openxmlformats.org/officeDocument/2006/customXml" ds:itemID="{7A13EE0F-005E-48AD-B22B-BC0766AC74F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16</TotalTime>
  <Pages>5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 CoDe</cp:lastModifiedBy>
  <cp:revision>38</cp:revision>
  <cp:lastPrinted>2025-05-08T07:59:00Z</cp:lastPrinted>
  <dcterms:created xsi:type="dcterms:W3CDTF">2025-09-16T13:52:00Z</dcterms:created>
  <dcterms:modified xsi:type="dcterms:W3CDTF">2025-09-30T15:23:00Z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9.1, Build 20240808</vt:lpwstr>
  </property>
  <property fmtid="{D5CDD505-2E9C-101B-9397-08002B2CF9AE}" pid="5" name="Created using">
    <vt:lpwstr>LW 9.1, Build 20240808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2025-02-25T08:26:14Z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be3cf09d-66c6-4ba0-8026-31162a6dd493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ContentTypeId">
    <vt:lpwstr>0x010100BAD999D84E12C74482EA5120F5227F6F00217DECAAC21D6B43958DFE68658C192E</vt:lpwstr>
  </property>
  <property fmtid="{D5CDD505-2E9C-101B-9397-08002B2CF9AE}" pid="18" name="MediaServiceImageTags">
    <vt:lpwstr/>
  </property>
  <property fmtid="{D5CDD505-2E9C-101B-9397-08002B2CF9AE}" pid="19" name="ClassificationContentMarkingHeaderShapeIds">
    <vt:lpwstr>20238a3b,33d08159,24cbf427,4ef86fca,5453675e,568b7bab</vt:lpwstr>
  </property>
  <property fmtid="{D5CDD505-2E9C-101B-9397-08002B2CF9AE}" pid="20" name="ClassificationContentMarkingHeaderFontProps">
    <vt:lpwstr>#000000,12,Aptos</vt:lpwstr>
  </property>
  <property fmtid="{D5CDD505-2E9C-101B-9397-08002B2CF9AE}" pid="21" name="ClassificationContentMarkingHeaderText">
    <vt:lpwstr>EBA Regular Use</vt:lpwstr>
  </property>
  <property fmtid="{D5CDD505-2E9C-101B-9397-08002B2CF9AE}" pid="22" name="DQCStatus">
    <vt:lpwstr>Green (DQC version 03)</vt:lpwstr>
  </property>
</Properties>
</file>