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B5677A" w:rsidRDefault="00F10660" w:rsidP="00F10660">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421FC644-ED8B-4281-94B4-8D9328956254" style="width:455.25pt;height:383.25pt">
            <v:imagedata r:id="rId11" o:title=""/>
          </v:shape>
        </w:pict>
      </w:r>
    </w:p>
    <w:p w:rsidR="00FE7FED" w:rsidRPr="00B5677A" w:rsidRDefault="00FE7FED">
      <w:pPr>
        <w:rPr>
          <w:noProof/>
        </w:rPr>
        <w:sectPr w:rsidR="00FE7FED" w:rsidRPr="00B5677A" w:rsidSect="00F10660">
          <w:footerReference w:type="even" r:id="rId12"/>
          <w:footerReference w:type="default" r:id="rId13"/>
          <w:pgSz w:w="11907" w:h="16839"/>
          <w:pgMar w:top="1134" w:right="1417" w:bottom="1134" w:left="1417" w:header="709" w:footer="709" w:gutter="0"/>
          <w:pgNumType w:start="0"/>
          <w:cols w:space="720"/>
          <w:docGrid w:linePitch="360"/>
        </w:sectPr>
      </w:pPr>
    </w:p>
    <w:p w:rsidR="009713B0" w:rsidRPr="00B5677A" w:rsidRDefault="00B5677A" w:rsidP="00B5677A">
      <w:pPr>
        <w:pStyle w:val="Typedudocument"/>
        <w:rPr>
          <w:noProof/>
        </w:rPr>
      </w:pPr>
      <w:bookmarkStart w:id="0" w:name="_GoBack"/>
      <w:bookmarkEnd w:id="0"/>
      <w:r w:rsidRPr="00B5677A">
        <w:rPr>
          <w:noProof/>
        </w:rPr>
        <w:lastRenderedPageBreak/>
        <w:t>KOMISIJAS ĪSTENOŠANAS REGULA (ES) …/..</w:t>
      </w:r>
    </w:p>
    <w:p w:rsidR="009713B0" w:rsidRPr="00B5677A" w:rsidRDefault="00017783" w:rsidP="00B5677A">
      <w:pPr>
        <w:pStyle w:val="Datedadoption"/>
        <w:rPr>
          <w:noProof/>
        </w:rPr>
      </w:pPr>
      <w:r>
        <w:rPr>
          <w:noProof/>
        </w:rPr>
        <w:t>(1.10.2025),</w:t>
      </w:r>
    </w:p>
    <w:p w:rsidR="009713B0" w:rsidRPr="00B5677A" w:rsidRDefault="00B5677A" w:rsidP="00B5677A">
      <w:pPr>
        <w:pStyle w:val="Titreobjet"/>
        <w:rPr>
          <w:noProof/>
        </w:rPr>
      </w:pPr>
      <w:r w:rsidRPr="00B5677A">
        <w:rPr>
          <w:noProof/>
        </w:rPr>
        <w:t>ar ko nosaka īstenošanas tehniskos standartus Eiropas Parlamenta un Padomes Regulas (ES) Nr. 260/2012 piemērošanai attiecībā uz vienotām pārskatu veidnēm, norādījumiem un metodiku pārskatu sniegšanai par kredīta pārvedumiem, tūlītējiem kredīta pārvedumiem un maksājumu kontiem piemēroto maksu līmeni un noraidīto darījumu daļu</w:t>
      </w:r>
    </w:p>
    <w:p w:rsidR="009713B0" w:rsidRPr="00B5677A" w:rsidRDefault="009713B0" w:rsidP="009713B0">
      <w:pPr>
        <w:pStyle w:val="Institutionquiagit"/>
        <w:rPr>
          <w:noProof/>
        </w:rPr>
      </w:pPr>
      <w:r w:rsidRPr="00B5677A">
        <w:rPr>
          <w:noProof/>
        </w:rPr>
        <w:t>EIROPAS KOMISIJA,</w:t>
      </w:r>
    </w:p>
    <w:p w:rsidR="009713B0" w:rsidRPr="00B5677A" w:rsidRDefault="009713B0" w:rsidP="009713B0">
      <w:pPr>
        <w:rPr>
          <w:noProof/>
          <w:color w:val="000000"/>
        </w:rPr>
      </w:pPr>
      <w:r w:rsidRPr="00B5677A">
        <w:rPr>
          <w:noProof/>
          <w:color w:val="000000"/>
        </w:rPr>
        <w:t>ņemot vērā Līgumu par Eiropas Savienības darbību,</w:t>
      </w:r>
    </w:p>
    <w:p w:rsidR="009713B0" w:rsidRPr="00B5677A" w:rsidRDefault="009713B0" w:rsidP="009713B0">
      <w:pPr>
        <w:rPr>
          <w:noProof/>
          <w:color w:val="000000"/>
        </w:rPr>
      </w:pPr>
      <w:r w:rsidRPr="00B5677A">
        <w:rPr>
          <w:noProof/>
          <w:color w:val="000000"/>
        </w:rPr>
        <w:t>ņemot vērā Eiropas Parlamenta un Padomes Regulu (ES) Nr. 260/2012 (2012. gada 14. marts), ar ko nosaka tehniskās un darbības prasības kredīta pārvedumiem un tiešā debeta maksājumiem euro un groza Regulu (EK) Nr. 924/2009</w:t>
      </w:r>
      <w:r w:rsidRPr="00B5677A">
        <w:rPr>
          <w:rStyle w:val="FootnoteReference"/>
          <w:noProof/>
          <w:color w:val="000000"/>
        </w:rPr>
        <w:footnoteReference w:id="2"/>
      </w:r>
      <w:r w:rsidRPr="00B5677A">
        <w:rPr>
          <w:noProof/>
          <w:color w:val="000000"/>
        </w:rPr>
        <w:t xml:space="preserve">, un jo īpaši tās 15. panta 5. punkta trešo daļu, </w:t>
      </w:r>
    </w:p>
    <w:p w:rsidR="009713B0" w:rsidRPr="00B5677A" w:rsidRDefault="009713B0" w:rsidP="009713B0">
      <w:pPr>
        <w:rPr>
          <w:noProof/>
        </w:rPr>
      </w:pPr>
      <w:r w:rsidRPr="00B5677A">
        <w:rPr>
          <w:noProof/>
        </w:rPr>
        <w:t>tā kā:</w:t>
      </w:r>
    </w:p>
    <w:p w:rsidR="00AC0006" w:rsidRPr="00B5677A" w:rsidRDefault="00BE74B0" w:rsidP="00BE74B0">
      <w:pPr>
        <w:pStyle w:val="ManualConsidrant"/>
        <w:rPr>
          <w:noProof/>
        </w:rPr>
      </w:pPr>
      <w:r w:rsidRPr="00BE74B0">
        <w:rPr>
          <w:noProof/>
        </w:rPr>
        <w:t>(1)</w:t>
      </w:r>
      <w:r w:rsidRPr="00BE74B0">
        <w:rPr>
          <w:noProof/>
        </w:rPr>
        <w:tab/>
      </w:r>
      <w:r w:rsidR="00925CEE" w:rsidRPr="00B5677A">
        <w:rPr>
          <w:noProof/>
        </w:rPr>
        <w:t xml:space="preserve">Pārskatu sniegšanai par maksu līmeni saskaņā ar Regulas (ES) Nr. 260/2012 15. panta 3. punktu būtu jāļauj Komisijai novērtēt, kā noteikums par maksām, ko iekasē par tūlītējiem kredīta pārvedumiem, kā noteikts minētās regulas 5.b panta 1. punktā, ietekmē maksas par maksājumu kontiem, gan par iekšzemes, gan pārrobežu kredīta pārvedumiem, un maksas par tūlītējiem kredīta pārvedumiem euro un to dalībvalstu valūtā, kuru naudas vienība nav euro. Maksas, ko maksājumu pakalpojumu sniedzēji (MPS) iekasē par kredīta pārvedumiem, tostarp tūlītējiem kredīta pārvedumiem, parasti atšķiras atkarībā no attiecīgā kredīta pārveduma iezīmēm. Šādas iezīmes var būt maksājumu iniciēšanas kanāla veids vai tas, vai maksājumu pakalpojumu lietotājs (MPL) ir maksātājs vai maksājuma saņēmējs, patērētājs, vai ne. Tāpēc pārskatu sniegšanā par nosūtītajiem kredīta pārvedumiem būtu jāiekļauj sadalījums pa iekšzemes un pārrobežu pārvedumiem, pēc MPL veida un pēc maksājumu iniciēšanas kanāla veida. </w:t>
      </w:r>
    </w:p>
    <w:p w:rsidR="00F133B9" w:rsidRPr="00B5677A" w:rsidRDefault="00BE74B0" w:rsidP="00BE74B0">
      <w:pPr>
        <w:pStyle w:val="ManualConsidrant"/>
        <w:rPr>
          <w:noProof/>
        </w:rPr>
      </w:pPr>
      <w:r w:rsidRPr="00BE74B0">
        <w:rPr>
          <w:noProof/>
        </w:rPr>
        <w:t>(2)</w:t>
      </w:r>
      <w:r w:rsidRPr="00BE74B0">
        <w:rPr>
          <w:noProof/>
        </w:rPr>
        <w:tab/>
      </w:r>
      <w:r w:rsidR="00914C54" w:rsidRPr="00B5677A">
        <w:rPr>
          <w:noProof/>
        </w:rPr>
        <w:t>MPS var izvēlēties noteikt maksu par katru darījumu vai nu nominālā izteiksmē, vai kā procentuālo daļu no darījuma vērtības. MPS var arī izvēlēties alternatīvas maksu noteikšanas struktūras, tostarp diferencētu cenu noteikšanu, pamatojoties uz dažādiem darījuma vērtības diapazoniem, vai pieejas, saskaņā ar kurām noteikts darījumu skaits mēnesī ir bez maksas, bet, šo skaitu pārsniedzot, par katru darījumu tiek piemērota maksa. Būtu nevēlami, ja šādas komercprakses neviendabības rezultātā tiktu apiets Regulas (ES) Nr. 260/2012 5.b panta 1. punktā paredzētā noteikuma mērķis attiecībā uz maksām par tūlītējiem kredīta pārvedumiem. Metodikai, ko izmanto, lai ziņotu informāciju par regulāriem un tūlītējiem kredīta pārvedumiem piemēroto maksu līmeni, būtu jāļauj Komisijai maksājumu pakalpojumu sniedzēju sniegto informāciju izvērtēt vienotā un salīdzināmā veidā MPS līmenī laika gaitā un starp dažādiem MPS konkrētā brīdī, neraugoties uz MPS izmantotajām atšķirīgajām maksas noteikšanas metodēm. Tāpēc pārskatu sniegšanā būtu jāietver informācija par kredīta pārvedumu, tostarp tūlītēju kredīta pārvedumu, kopējām agregētajām maksām, apjomu un vērtību valsts valūtā. Pārskatu sniegšanā par nosūtītajiem un saņemtajiem kredīta pārvedumiem būtu jāiekļauj arī sadalījums pa bezmaksas un maksas kredīta pārvedumiem.</w:t>
      </w:r>
    </w:p>
    <w:p w:rsidR="009713B0" w:rsidRPr="00B5677A" w:rsidRDefault="00BE74B0" w:rsidP="00BE74B0">
      <w:pPr>
        <w:pStyle w:val="ManualConsidrant"/>
        <w:rPr>
          <w:noProof/>
        </w:rPr>
      </w:pPr>
      <w:r w:rsidRPr="00BE74B0">
        <w:rPr>
          <w:noProof/>
        </w:rPr>
        <w:t>(3)</w:t>
      </w:r>
      <w:r w:rsidRPr="00BE74B0">
        <w:rPr>
          <w:noProof/>
        </w:rPr>
        <w:tab/>
      </w:r>
      <w:r w:rsidR="004425F3" w:rsidRPr="00B5677A">
        <w:rPr>
          <w:noProof/>
        </w:rPr>
        <w:t>MPS vienības līmenī būtu jāievēro Regulas (ES) Nr. 260/2012 15. panta 3. punktā noteiktais pārskatu sniegšanas pienākums. Lai pieskaņotos pieejai, saskaņā ar kuru ECB tiek sniegts pārskats par maksājumu statistiku, MPS filiālēm, kas atrodas dalībvalstīs, kuras nav to mātesuzņēmumu dalībvalstis, būtu jāiesniedz savi dati uzņēmējas dalībvalsts kompetentajai iestādei, un mātesuzņēmumiem pašiem par sevi būtu jāsniedz pārskats savas piederības dalībvalsts kompetentajai iestādei.</w:t>
      </w:r>
    </w:p>
    <w:p w:rsidR="009713B0" w:rsidRPr="00B5677A" w:rsidRDefault="00BE74B0" w:rsidP="00BE74B0">
      <w:pPr>
        <w:pStyle w:val="ManualConsidrant"/>
        <w:rPr>
          <w:noProof/>
        </w:rPr>
      </w:pPr>
      <w:r w:rsidRPr="00BE74B0">
        <w:rPr>
          <w:noProof/>
        </w:rPr>
        <w:t>(4)</w:t>
      </w:r>
      <w:r w:rsidRPr="00BE74B0">
        <w:rPr>
          <w:noProof/>
        </w:rPr>
        <w:tab/>
      </w:r>
      <w:r w:rsidR="000D1771" w:rsidRPr="00B5677A">
        <w:rPr>
          <w:noProof/>
        </w:rPr>
        <w:t>Maksājumu pakalpojumu sniedzējiem, kas atrodas dalībvalstīs, kuru naudas vienība nav euro, un kas saviem MPL piedāvā maksājumu pakalpojumu saņemt un nosūtīt regulārus kredīta pārvedumus euro, saskaņā ar Regulas (ES) Nr. 260/2012 5.a panta 8. punktā noteikto ir pienākums līdz 2027. gada 9. janvārim piedāvāt saviem MPL maksājumu pakalpojumu saņemt tūlītējus kredīta pārvedumus euro un līdz 2027. gada 9. jūlijam piedāvāt maksājumu pakalpojumu nosūtīt tūlītējus kredīta pārvedumus euro. Saskaņā ar minētās regulas 5.b panta 3. punkta otro daļu minētajiem MPS līdz 2027. gada 9. janvārim būtu arī jāizpilda pienākumi saistībā ar maksām, ko iekasē no maksātājiem un maksājumu saņēmējiem par tūlītēju kredīta pārvedumu euro nosūtīšanu un saņemšanu. Lai Komisija varētu novērtēt Regulas (ES) Nr. 260/2012 ietekmi uz to maksu līmeni, kas piemērotas kredīta pārvedumiem, tostarp tūlītējiem kredīta pārvedumiem, kas denominēti to dalībvalstu valsts valūtā, kuru valūta nav euro, saskaņā ar minētās regulas 15. panta 2. punkta a) apakšpunktu ir lietderīgi, ka maksājumu pakalpojumu sniedzējiem, kas atrodas minētajās dalībvalstīs un piedāvā saviem MPL maksājumu pakalpojumu saņemt un nosūtīt regulārus kredīta pārvedumus euro, būtu jāsniedz pārskats par kredīta pārvedumu, tostarp tūlītēju kredīta pārvedumu, kas denominēti to valsts valūtā un euro, skaitu un vērtību, un tiem piemērotajām maksām.</w:t>
      </w:r>
    </w:p>
    <w:p w:rsidR="009713B0" w:rsidRPr="00B5677A" w:rsidRDefault="00BE74B0" w:rsidP="00BE74B0">
      <w:pPr>
        <w:pStyle w:val="ManualConsidrant"/>
        <w:rPr>
          <w:noProof/>
        </w:rPr>
      </w:pPr>
      <w:r w:rsidRPr="00BE74B0">
        <w:rPr>
          <w:noProof/>
        </w:rPr>
        <w:t>(5)</w:t>
      </w:r>
      <w:r w:rsidRPr="00BE74B0">
        <w:rPr>
          <w:noProof/>
        </w:rPr>
        <w:tab/>
      </w:r>
      <w:r w:rsidR="009713B0" w:rsidRPr="00B5677A">
        <w:rPr>
          <w:noProof/>
        </w:rPr>
        <w:t>Pārskatu sniegšanas nolūkā saskaņā ar Regulas (ES) Nr. 260/2012 15. panta 3. punktu MPS būtu jāsniedz savām kompetentajām iestādēm dati par maksājumu kontu kopējo skaitu un maksājumu kontiem piemēroto kopējo maksu agregētais līmenis. Lai Komisija varētu novērtēt, vai pastāv saikne starp iespējamām izmaiņām maksās par maksājumu kontiem un izmaiņām maksās par kredīta pārvedumiem un tūlītējiem kredīta pārvedumiem, pārskatu sniegšanā būtu jāiekļauj uzturēšanas tarifu sadalījums.</w:t>
      </w:r>
    </w:p>
    <w:p w:rsidR="009713B0" w:rsidRPr="00B5677A" w:rsidRDefault="00BE74B0" w:rsidP="00BE74B0">
      <w:pPr>
        <w:pStyle w:val="ManualConsidrant"/>
        <w:rPr>
          <w:noProof/>
        </w:rPr>
      </w:pPr>
      <w:r w:rsidRPr="00BE74B0">
        <w:rPr>
          <w:noProof/>
        </w:rPr>
        <w:t>(6)</w:t>
      </w:r>
      <w:r w:rsidRPr="00BE74B0">
        <w:rPr>
          <w:noProof/>
        </w:rPr>
        <w:tab/>
      </w:r>
      <w:r w:rsidR="00136075" w:rsidRPr="00B5677A">
        <w:rPr>
          <w:noProof/>
        </w:rPr>
        <w:t>Lai Komisija varētu novērtēt noraidīto tūlītējo kredīta pārvedumu daļu tādu mērķtiecīgu finansiālu ierobežojošu pasākumu piemērošanas dēļ, kas pieņemti saskaņā ar Līguma par Eiropas Savienības darbību 215. pantu, un novērtēt, vai minētā daļa ir mainījusies pēc tam, kad ir sākts piemērot Regulas (ES) Nr. 260/2012 grozījumus, kas ieviesti ar Eiropas Parlamenta un Padomes Regulu (ES) 2024/886</w:t>
      </w:r>
      <w:r w:rsidR="00136075" w:rsidRPr="00B5677A">
        <w:rPr>
          <w:rStyle w:val="FootnoteReference"/>
          <w:noProof/>
        </w:rPr>
        <w:footnoteReference w:id="3"/>
      </w:r>
      <w:r w:rsidR="00136075" w:rsidRPr="00B5677A">
        <w:rPr>
          <w:noProof/>
        </w:rPr>
        <w:t xml:space="preserve">, MPS būtu jāsniedz savām kompetentajām iestādēm dati par minēto daļu konkrētajā gadā, tostarp par to gadījumu skaitu, kad tūlītēji kredīta pārvedumi nav veikti vai līdzekļi ir iesaldēti maksātāja vai maksājuma saņēmēja MPS pusē. </w:t>
      </w:r>
    </w:p>
    <w:p w:rsidR="0039723A" w:rsidRPr="00B5677A" w:rsidRDefault="00BE74B0" w:rsidP="00BE74B0">
      <w:pPr>
        <w:pStyle w:val="ManualConsidrant"/>
        <w:rPr>
          <w:noProof/>
        </w:rPr>
      </w:pPr>
      <w:r w:rsidRPr="00BE74B0">
        <w:rPr>
          <w:noProof/>
        </w:rPr>
        <w:t>(7)</w:t>
      </w:r>
      <w:r w:rsidRPr="00BE74B0">
        <w:rPr>
          <w:noProof/>
        </w:rPr>
        <w:tab/>
      </w:r>
      <w:r w:rsidR="00B17DF1" w:rsidRPr="00B5677A">
        <w:rPr>
          <w:noProof/>
        </w:rPr>
        <w:t>Lai saskaņotu pārskatu sniegšanu, MPS būtu jāizmanto datu punktu modelis un validācijas formulas, kas darītas pieejamas Eiropas Banku iestādes (EBI) tīmekļa vietnē. Turklāt, lai samazinātu pārskatu sniegšanas slogu un izvairītos no dublēšanās, kompetentajām iestādēm vajadzētu būt iespējai ļaut MPS, kas atrodas to jurisdikcijā, ierobežot pārskatu sniegšanu, attiecinot to tikai uz tiem datu punktiem, kas iepriekš nav iesniegti.</w:t>
      </w:r>
    </w:p>
    <w:p w:rsidR="009713B0" w:rsidRPr="00B5677A" w:rsidRDefault="00BE74B0" w:rsidP="00BE74B0">
      <w:pPr>
        <w:pStyle w:val="ManualConsidrant"/>
        <w:rPr>
          <w:noProof/>
        </w:rPr>
      </w:pPr>
      <w:r w:rsidRPr="00BE74B0">
        <w:rPr>
          <w:noProof/>
        </w:rPr>
        <w:t>(8)</w:t>
      </w:r>
      <w:r w:rsidRPr="00BE74B0">
        <w:rPr>
          <w:noProof/>
        </w:rPr>
        <w:tab/>
      </w:r>
      <w:r w:rsidR="009713B0" w:rsidRPr="00B5677A">
        <w:rPr>
          <w:noProof/>
        </w:rPr>
        <w:t>Šī regula ir balstīta uz īstenošanas tehnisko standartu projektu, ko Komisijai iesniegusi EBI.</w:t>
      </w:r>
    </w:p>
    <w:p w:rsidR="009713B0" w:rsidRPr="00B5677A" w:rsidRDefault="00BE74B0" w:rsidP="00BE74B0">
      <w:pPr>
        <w:pStyle w:val="ManualConsidrant"/>
        <w:rPr>
          <w:noProof/>
        </w:rPr>
      </w:pPr>
      <w:r w:rsidRPr="00BE74B0">
        <w:rPr>
          <w:noProof/>
        </w:rPr>
        <w:t>(9)</w:t>
      </w:r>
      <w:r w:rsidRPr="00BE74B0">
        <w:rPr>
          <w:noProof/>
        </w:rPr>
        <w:tab/>
      </w:r>
      <w:r w:rsidR="009713B0" w:rsidRPr="00B5677A">
        <w:rPr>
          <w:noProof/>
        </w:rPr>
        <w:t>EBI ir īstenojusi atklātu sabiedrisko apspriešanu par īstenošanas tehnisko standartu projektu, kurš ir šīs regulas pamatā, analizējusi iespējamās saistītās izmaksas un ieguvumus un lūgusi konsultāciju Banku nozares ieinteresēto personu grupai, kas izveidota saskaņā ar Eiropas Parlamenta un Padomes Regulas (ES) Nr. 1093/2010</w:t>
      </w:r>
      <w:r w:rsidR="009713B0" w:rsidRPr="00B5677A">
        <w:rPr>
          <w:rStyle w:val="FootnoteReference"/>
          <w:noProof/>
        </w:rPr>
        <w:footnoteReference w:id="4"/>
      </w:r>
      <w:r w:rsidR="009713B0" w:rsidRPr="00B5677A">
        <w:rPr>
          <w:noProof/>
        </w:rPr>
        <w:t xml:space="preserve"> 37. pantu,</w:t>
      </w:r>
    </w:p>
    <w:p w:rsidR="009713B0" w:rsidRPr="00B5677A" w:rsidRDefault="009713B0" w:rsidP="009713B0">
      <w:pPr>
        <w:pStyle w:val="Formuledadoption"/>
        <w:rPr>
          <w:noProof/>
        </w:rPr>
      </w:pPr>
      <w:r w:rsidRPr="00B5677A">
        <w:rPr>
          <w:noProof/>
        </w:rPr>
        <w:t>IR PIEŅĒMUSI ŠO REGULU.</w:t>
      </w:r>
    </w:p>
    <w:p w:rsidR="009713B0" w:rsidRPr="00B5677A" w:rsidRDefault="009713B0" w:rsidP="009713B0">
      <w:pPr>
        <w:pStyle w:val="Titrearticle"/>
        <w:rPr>
          <w:noProof/>
        </w:rPr>
      </w:pPr>
      <w:r w:rsidRPr="00B5677A">
        <w:rPr>
          <w:noProof/>
        </w:rPr>
        <w:t>1. pants</w:t>
      </w:r>
    </w:p>
    <w:p w:rsidR="009713B0" w:rsidRPr="00B5677A" w:rsidRDefault="009713B0" w:rsidP="009713B0">
      <w:pPr>
        <w:jc w:val="center"/>
        <w:rPr>
          <w:b/>
          <w:bCs/>
          <w:noProof/>
        </w:rPr>
      </w:pPr>
      <w:r w:rsidRPr="00B5677A">
        <w:rPr>
          <w:b/>
          <w:noProof/>
        </w:rPr>
        <w:t>Pārskatu sniegšana par maksu līmeni</w:t>
      </w:r>
    </w:p>
    <w:p w:rsidR="009713B0" w:rsidRPr="00B5677A" w:rsidRDefault="009713B0" w:rsidP="009713B0">
      <w:pPr>
        <w:pStyle w:val="Point0"/>
        <w:rPr>
          <w:noProof/>
        </w:rPr>
      </w:pPr>
      <w:r w:rsidRPr="00B5677A">
        <w:rPr>
          <w:noProof/>
        </w:rPr>
        <w:t>1.</w:t>
      </w:r>
      <w:r w:rsidRPr="00B5677A">
        <w:rPr>
          <w:noProof/>
        </w:rPr>
        <w:tab/>
        <w:t>MPS pārskatu par kredīta pārvedumiem, tūlītējiem kredīta pārvedumiem un maksājumu kontiem piemēroto maksu līmeni sniedz, iesniedzot I pielikuma 1.1., 1.2., 2.1., 2.2. un 3. veidnē norādīto informāciju un saskaņā ar II pielikumā sniegtajiem norādījumiem.</w:t>
      </w:r>
    </w:p>
    <w:p w:rsidR="009713B0" w:rsidRPr="00B5677A" w:rsidRDefault="009713B0" w:rsidP="009713B0">
      <w:pPr>
        <w:pStyle w:val="Point0"/>
        <w:rPr>
          <w:noProof/>
        </w:rPr>
      </w:pPr>
      <w:r w:rsidRPr="00B5677A">
        <w:rPr>
          <w:noProof/>
        </w:rPr>
        <w:t>2.</w:t>
      </w:r>
      <w:r w:rsidRPr="00B5677A">
        <w:rPr>
          <w:noProof/>
        </w:rPr>
        <w:tab/>
        <w:t>MPS pārskatu par gada agregētajiem rādītājiem sniedz līdz tā kalendārā gada 31. decembrim, kas ir pirms gada, par kuru ir iesniegts pārskats.</w:t>
      </w:r>
    </w:p>
    <w:p w:rsidR="009713B0" w:rsidRPr="00B5677A" w:rsidRDefault="009713B0" w:rsidP="009713B0">
      <w:pPr>
        <w:pStyle w:val="Point0"/>
        <w:rPr>
          <w:noProof/>
        </w:rPr>
      </w:pPr>
      <w:r w:rsidRPr="00B5677A">
        <w:rPr>
          <w:noProof/>
        </w:rPr>
        <w:t>3.</w:t>
      </w:r>
      <w:r w:rsidRPr="00B5677A">
        <w:rPr>
          <w:noProof/>
        </w:rPr>
        <w:tab/>
        <w:t>Atkāpjoties no 2. punkta, pirmajā saskaņotajā pārskatā iekļauj agregētus rādītājus par katru gadu pirms gada, kurā pārskats ir iesniegts, par 2022. gadu – sākot ar laikposmu no 2022. gada 26. oktobra līdz 2022. gada 31. decembrim.</w:t>
      </w:r>
    </w:p>
    <w:p w:rsidR="009713B0" w:rsidRPr="00B5677A" w:rsidRDefault="009713B0" w:rsidP="009713B0">
      <w:pPr>
        <w:pStyle w:val="Titrearticle"/>
        <w:rPr>
          <w:noProof/>
        </w:rPr>
      </w:pPr>
      <w:r w:rsidRPr="00B5677A">
        <w:rPr>
          <w:noProof/>
        </w:rPr>
        <w:t>2. pants</w:t>
      </w:r>
    </w:p>
    <w:p w:rsidR="009713B0" w:rsidRPr="00B5677A" w:rsidRDefault="009713B0" w:rsidP="009713B0">
      <w:pPr>
        <w:jc w:val="center"/>
        <w:rPr>
          <w:b/>
          <w:bCs/>
          <w:noProof/>
        </w:rPr>
      </w:pPr>
      <w:r w:rsidRPr="00B5677A">
        <w:rPr>
          <w:b/>
          <w:noProof/>
        </w:rPr>
        <w:t>Pārskatu sniegšana par noraidīto tūlītējo kredīta pārvedumu darījumu daļu un atsauces periodiem</w:t>
      </w:r>
    </w:p>
    <w:p w:rsidR="009713B0" w:rsidRPr="00B5677A" w:rsidRDefault="009713B0" w:rsidP="009713B0">
      <w:pPr>
        <w:pStyle w:val="Point0"/>
        <w:rPr>
          <w:noProof/>
        </w:rPr>
      </w:pPr>
      <w:r w:rsidRPr="00B5677A">
        <w:rPr>
          <w:noProof/>
        </w:rPr>
        <w:t>1.</w:t>
      </w:r>
      <w:r w:rsidRPr="00B5677A">
        <w:rPr>
          <w:noProof/>
        </w:rPr>
        <w:tab/>
        <w:t>MPS pārskatu par to tūlītējo kredīta pārvedumu darījumu daļu, kas noraidīti mērķtiecīgu finansiālu ierobežojošu pasākumu dēļ, kā minēts Regulas (ES) Nr. 260/2012 15. panta 3. punktā, tostarp atsevišķus datus par iekšzemes un pārrobežu darījumiem, sniedz, iesniedzot I pielikumā sniegtajā 4. veidnē norādīto informāciju un saskaņā ar II pielikumā sniegtajiem norādījumiem.</w:t>
      </w:r>
    </w:p>
    <w:p w:rsidR="009713B0" w:rsidRPr="00B5677A" w:rsidRDefault="009713B0" w:rsidP="009713B0">
      <w:pPr>
        <w:pStyle w:val="Point0"/>
        <w:rPr>
          <w:noProof/>
        </w:rPr>
      </w:pPr>
      <w:r w:rsidRPr="00B5677A">
        <w:rPr>
          <w:noProof/>
        </w:rPr>
        <w:t>2.</w:t>
      </w:r>
      <w:r w:rsidRPr="00B5677A">
        <w:rPr>
          <w:noProof/>
        </w:rPr>
        <w:tab/>
        <w:t>Pārskatos iekļauj noraidījumu skaitu par kalendāro gadu pirms gada, kurā pārskats ir iesniegts.</w:t>
      </w:r>
    </w:p>
    <w:p w:rsidR="00AD7B15" w:rsidRPr="00B5677A" w:rsidRDefault="009713B0" w:rsidP="009713B0">
      <w:pPr>
        <w:pStyle w:val="Point0"/>
        <w:rPr>
          <w:noProof/>
        </w:rPr>
      </w:pPr>
      <w:r w:rsidRPr="00B5677A">
        <w:rPr>
          <w:noProof/>
        </w:rPr>
        <w:t>3.</w:t>
      </w:r>
      <w:r w:rsidRPr="00B5677A">
        <w:rPr>
          <w:noProof/>
        </w:rPr>
        <w:tab/>
        <w:t>Atkāpjoties no 2. punkta, pirmajā saskaņotajā pārskatā iekļauj aizpildītās veidnes ar noraidījumu skaitu par katru gadu pirms gada, kurā pārskats ir iesniegts, par 2022. gadu – sākot ar laikposmu no 2022. gada 26. oktobra līdz 2022. gada 31. decembrim.</w:t>
      </w:r>
    </w:p>
    <w:p w:rsidR="00AD7B15" w:rsidRPr="00B5677A" w:rsidRDefault="00AD7B15">
      <w:pPr>
        <w:spacing w:before="0" w:after="200" w:line="276" w:lineRule="auto"/>
        <w:jc w:val="left"/>
        <w:rPr>
          <w:noProof/>
        </w:rPr>
      </w:pPr>
      <w:r w:rsidRPr="00B5677A">
        <w:rPr>
          <w:noProof/>
        </w:rPr>
        <w:br w:type="page"/>
      </w:r>
    </w:p>
    <w:p w:rsidR="009713B0" w:rsidRPr="00B5677A" w:rsidRDefault="009713B0" w:rsidP="009713B0">
      <w:pPr>
        <w:pStyle w:val="Titrearticle"/>
        <w:rPr>
          <w:noProof/>
        </w:rPr>
      </w:pPr>
      <w:r w:rsidRPr="00B5677A">
        <w:rPr>
          <w:noProof/>
        </w:rPr>
        <w:t>3. pants</w:t>
      </w:r>
    </w:p>
    <w:p w:rsidR="009713B0" w:rsidRPr="00B5677A" w:rsidRDefault="009713B0" w:rsidP="009713B0">
      <w:pPr>
        <w:jc w:val="center"/>
        <w:rPr>
          <w:b/>
          <w:bCs/>
          <w:noProof/>
        </w:rPr>
      </w:pPr>
      <w:r w:rsidRPr="00B5677A">
        <w:rPr>
          <w:b/>
          <w:noProof/>
        </w:rPr>
        <w:t>Datu apmaiņas formāti un kopā ar pārskatiem norādāmā informācija</w:t>
      </w:r>
    </w:p>
    <w:p w:rsidR="009713B0" w:rsidRPr="00B5677A" w:rsidRDefault="009713B0" w:rsidP="009713B0">
      <w:pPr>
        <w:rPr>
          <w:noProof/>
        </w:rPr>
      </w:pPr>
      <w:r w:rsidRPr="00B5677A">
        <w:rPr>
          <w:noProof/>
        </w:rPr>
        <w:t>MPS šīs regulas 1. un 2. pantā minēto informāciju iesniedz tādos datu apmaiņas formātos un pasniegtu tādā veidā, kā noteikušas kompetentās iestādes, un ievēro datu punktu modeļa datu punktu definīciju un validācijas formulas, kas pieejamas EBI tīmekļa vietnē. MPS ievēro šādas specifikācijas:</w:t>
      </w:r>
    </w:p>
    <w:p w:rsidR="009713B0" w:rsidRPr="00B5677A" w:rsidRDefault="00BE74B0" w:rsidP="00BE74B0">
      <w:pPr>
        <w:pStyle w:val="Point0"/>
        <w:rPr>
          <w:noProof/>
        </w:rPr>
      </w:pPr>
      <w:r w:rsidRPr="00BE74B0">
        <w:rPr>
          <w:noProof/>
        </w:rPr>
        <w:t>(a)</w:t>
      </w:r>
      <w:r w:rsidRPr="00BE74B0">
        <w:rPr>
          <w:noProof/>
        </w:rPr>
        <w:tab/>
      </w:r>
      <w:r w:rsidR="009713B0" w:rsidRPr="00B5677A">
        <w:rPr>
          <w:noProof/>
        </w:rPr>
        <w:t>informāciju, kas nav prasīta vai uz konkrēto iestādi neattiecas, nosūtamajos datos neiekļauj;</w:t>
      </w:r>
    </w:p>
    <w:p w:rsidR="009713B0" w:rsidRPr="00B5677A" w:rsidRDefault="00BE74B0" w:rsidP="00BE74B0">
      <w:pPr>
        <w:pStyle w:val="Point0"/>
        <w:rPr>
          <w:noProof/>
        </w:rPr>
      </w:pPr>
      <w:r w:rsidRPr="00BE74B0">
        <w:rPr>
          <w:noProof/>
        </w:rPr>
        <w:t>(b)</w:t>
      </w:r>
      <w:r w:rsidRPr="00BE74B0">
        <w:rPr>
          <w:noProof/>
        </w:rPr>
        <w:tab/>
      </w:r>
      <w:r w:rsidR="009713B0" w:rsidRPr="00B5677A">
        <w:rPr>
          <w:noProof/>
        </w:rPr>
        <w:t>skaitliskās vērtības iesniedz šādi:</w:t>
      </w:r>
    </w:p>
    <w:p w:rsidR="009713B0" w:rsidRPr="00B5677A" w:rsidRDefault="0055071E" w:rsidP="009713B0">
      <w:pPr>
        <w:pStyle w:val="Point1"/>
        <w:rPr>
          <w:noProof/>
        </w:rPr>
      </w:pPr>
      <w:r w:rsidRPr="00B5677A">
        <w:rPr>
          <w:noProof/>
        </w:rPr>
        <w:t>i)</w:t>
      </w:r>
      <w:r w:rsidRPr="00B5677A">
        <w:rPr>
          <w:noProof/>
        </w:rPr>
        <w:tab/>
        <w:t>MPS datu punktus ar datu tipu “monetārs” iesniedz, izmantojot minimuma precizitāti, kas ir vienāda ar tūkstošiem vienību;</w:t>
      </w:r>
    </w:p>
    <w:p w:rsidR="009713B0" w:rsidRPr="00B5677A" w:rsidRDefault="0055071E" w:rsidP="009713B0">
      <w:pPr>
        <w:pStyle w:val="Point1"/>
        <w:rPr>
          <w:noProof/>
        </w:rPr>
      </w:pPr>
      <w:r w:rsidRPr="00B5677A">
        <w:rPr>
          <w:noProof/>
        </w:rPr>
        <w:t>ii)</w:t>
      </w:r>
      <w:r w:rsidRPr="00B5677A">
        <w:rPr>
          <w:noProof/>
        </w:rPr>
        <w:tab/>
        <w:t>MPS, sniedzot pārskatu par datu punktiem ar datu tipu “vesels skaitlis”, neizmanto decimāldaļas un izmanto precizitāti, kas līdzvērtīga vienībām.</w:t>
      </w:r>
    </w:p>
    <w:p w:rsidR="009713B0" w:rsidRPr="00B5677A" w:rsidRDefault="009713B0" w:rsidP="009713B0">
      <w:pPr>
        <w:pStyle w:val="Titrearticle"/>
        <w:rPr>
          <w:noProof/>
        </w:rPr>
      </w:pPr>
      <w:r w:rsidRPr="00B5677A">
        <w:rPr>
          <w:noProof/>
        </w:rPr>
        <w:t>4. pants</w:t>
      </w:r>
    </w:p>
    <w:p w:rsidR="009713B0" w:rsidRPr="00B5677A" w:rsidRDefault="009713B0" w:rsidP="009713B0">
      <w:pPr>
        <w:jc w:val="center"/>
        <w:rPr>
          <w:noProof/>
        </w:rPr>
      </w:pPr>
      <w:r w:rsidRPr="00B5677A">
        <w:rPr>
          <w:b/>
          <w:noProof/>
        </w:rPr>
        <w:t>Stāšanās spēkā</w:t>
      </w:r>
    </w:p>
    <w:p w:rsidR="009713B0" w:rsidRPr="00B5677A" w:rsidRDefault="009713B0" w:rsidP="009713B0">
      <w:pPr>
        <w:rPr>
          <w:noProof/>
        </w:rPr>
      </w:pPr>
      <w:r w:rsidRPr="00B5677A">
        <w:rPr>
          <w:noProof/>
        </w:rPr>
        <w:t xml:space="preserve">Šī regula stājas spēkā divdesmitajā dienā pēc tās publicēšanas </w:t>
      </w:r>
      <w:r w:rsidRPr="00B5677A">
        <w:rPr>
          <w:i/>
          <w:noProof/>
        </w:rPr>
        <w:t>Eiropas Savienības Oficiālajā Vēstnesī</w:t>
      </w:r>
      <w:r w:rsidRPr="00B5677A">
        <w:rPr>
          <w:noProof/>
        </w:rPr>
        <w:t>.</w:t>
      </w:r>
    </w:p>
    <w:p w:rsidR="009713B0" w:rsidRPr="00B5677A" w:rsidRDefault="009713B0" w:rsidP="009713B0">
      <w:pPr>
        <w:pStyle w:val="Applicationdirecte"/>
        <w:rPr>
          <w:noProof/>
        </w:rPr>
      </w:pPr>
      <w:r w:rsidRPr="00B5677A">
        <w:rPr>
          <w:noProof/>
        </w:rPr>
        <w:t>Šī regula uzliek saistības kopumā un ir tieši piemērojama visās dalībvalstīs.</w:t>
      </w:r>
    </w:p>
    <w:p w:rsidR="009713B0" w:rsidRPr="00B5677A" w:rsidRDefault="00017783" w:rsidP="00FF7D92">
      <w:pPr>
        <w:pStyle w:val="Fait"/>
        <w:rPr>
          <w:noProof/>
        </w:rPr>
      </w:pPr>
      <w:r>
        <w:rPr>
          <w:noProof/>
        </w:rPr>
        <w:t>Briselē, 1.10.2025</w:t>
      </w:r>
    </w:p>
    <w:p w:rsidR="009713B0" w:rsidRPr="00B5677A" w:rsidRDefault="009713B0" w:rsidP="00FF7D92">
      <w:pPr>
        <w:pStyle w:val="Institutionquisigne"/>
        <w:rPr>
          <w:noProof/>
        </w:rPr>
      </w:pPr>
      <w:r w:rsidRPr="00B5677A">
        <w:rPr>
          <w:noProof/>
        </w:rPr>
        <w:tab/>
        <w:t>Komisijas vārdā –</w:t>
      </w:r>
    </w:p>
    <w:p w:rsidR="00FE7FED" w:rsidRPr="00B5677A" w:rsidRDefault="00E028CC" w:rsidP="009713B0">
      <w:pPr>
        <w:pStyle w:val="Personnequisigne"/>
        <w:rPr>
          <w:noProof/>
        </w:rPr>
      </w:pPr>
      <w:r>
        <w:rPr>
          <w:noProof/>
        </w:rPr>
        <w:tab/>
        <w:t>priekšsēdētāja</w:t>
      </w:r>
      <w:r>
        <w:rPr>
          <w:noProof/>
        </w:rPr>
        <w:br/>
      </w:r>
      <w:r>
        <w:rPr>
          <w:noProof/>
        </w:rPr>
        <w:tab/>
        <w:t>Ursula VON DER LEYEN</w:t>
      </w:r>
    </w:p>
    <w:sectPr w:rsidR="00FE7FED" w:rsidRPr="00B5677A" w:rsidSect="00F10660">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EBC" w:rsidRDefault="00973EBC" w:rsidP="00FE7FED">
      <w:pPr>
        <w:spacing w:before="0" w:after="0"/>
      </w:pPr>
      <w:r>
        <w:separator/>
      </w:r>
    </w:p>
  </w:endnote>
  <w:endnote w:type="continuationSeparator" w:id="0">
    <w:p w:rsidR="00973EBC" w:rsidRDefault="00973EBC" w:rsidP="00FE7FED">
      <w:pPr>
        <w:spacing w:before="0" w:after="0"/>
      </w:pPr>
      <w:r>
        <w:continuationSeparator/>
      </w:r>
    </w:p>
  </w:endnote>
  <w:endnote w:type="continuationNotice" w:id="1">
    <w:p w:rsidR="00973EBC" w:rsidRDefault="00973E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660" w:rsidRPr="00F10660" w:rsidRDefault="00F10660" w:rsidP="00F10660">
    <w:pPr>
      <w:pStyle w:val="Footer"/>
      <w:rPr>
        <w:rFonts w:ascii="Arial" w:hAnsi="Arial" w:cs="Arial"/>
        <w:b/>
        <w:sz w:val="48"/>
      </w:rPr>
    </w:pPr>
    <w:r w:rsidRPr="00F10660">
      <w:rPr>
        <w:rFonts w:ascii="Arial" w:hAnsi="Arial" w:cs="Arial"/>
        <w:b/>
        <w:sz w:val="48"/>
      </w:rPr>
      <w:t>LV</w:t>
    </w:r>
    <w:r w:rsidRPr="00F10660">
      <w:rPr>
        <w:rFonts w:ascii="Arial" w:hAnsi="Arial" w:cs="Arial"/>
        <w:b/>
        <w:sz w:val="48"/>
      </w:rPr>
      <w:tab/>
    </w:r>
    <w:r w:rsidRPr="00F10660">
      <w:rPr>
        <w:rFonts w:ascii="Arial" w:hAnsi="Arial" w:cs="Arial"/>
        <w:b/>
        <w:sz w:val="48"/>
      </w:rPr>
      <w:tab/>
    </w:r>
    <w:r w:rsidRPr="00F10660">
      <w:tab/>
    </w:r>
    <w:r w:rsidRPr="00F10660">
      <w:rPr>
        <w:rFonts w:ascii="Arial" w:hAnsi="Arial" w:cs="Arial"/>
        <w:b/>
        <w:sz w:val="48"/>
      </w:rPr>
      <w:t>LV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660" w:rsidRPr="00F10660" w:rsidRDefault="00F10660" w:rsidP="00F10660">
    <w:pPr>
      <w:pStyle w:val="Footer"/>
      <w:rPr>
        <w:rFonts w:ascii="Arial" w:hAnsi="Arial" w:cs="Arial"/>
        <w:b/>
        <w:sz w:val="48"/>
      </w:rPr>
    </w:pPr>
    <w:r w:rsidRPr="00F10660">
      <w:rPr>
        <w:rFonts w:ascii="Arial" w:hAnsi="Arial" w:cs="Arial"/>
        <w:b/>
        <w:sz w:val="48"/>
      </w:rPr>
      <w:t>LV</w:t>
    </w:r>
    <w:r w:rsidRPr="00F10660">
      <w:rPr>
        <w:rFonts w:ascii="Arial" w:hAnsi="Arial" w:cs="Arial"/>
        <w:b/>
        <w:sz w:val="48"/>
      </w:rPr>
      <w:tab/>
    </w:r>
    <w:r w:rsidRPr="00F10660">
      <w:rPr>
        <w:rFonts w:ascii="Arial" w:hAnsi="Arial" w:cs="Arial"/>
        <w:b/>
        <w:sz w:val="48"/>
      </w:rPr>
      <w:tab/>
    </w:r>
    <w:r w:rsidRPr="00F10660">
      <w:tab/>
    </w:r>
    <w:r w:rsidRPr="00F10660">
      <w:rPr>
        <w:rFonts w:ascii="Arial" w:hAnsi="Arial" w:cs="Arial"/>
        <w:b/>
        <w:sz w:val="48"/>
      </w:rPr>
      <w:t>LV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660" w:rsidRDefault="00F1066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660" w:rsidRPr="00F10660" w:rsidRDefault="00F10660" w:rsidP="00F10660">
    <w:pPr>
      <w:pStyle w:val="Footer"/>
      <w:rPr>
        <w:rFonts w:ascii="Arial" w:hAnsi="Arial" w:cs="Arial"/>
        <w:b/>
        <w:sz w:val="48"/>
      </w:rPr>
    </w:pPr>
    <w:r w:rsidRPr="00F10660">
      <w:rPr>
        <w:rFonts w:ascii="Arial" w:hAnsi="Arial" w:cs="Arial"/>
        <w:b/>
        <w:sz w:val="48"/>
      </w:rPr>
      <w:t>LV</w:t>
    </w:r>
    <w:r w:rsidRPr="00F10660">
      <w:rPr>
        <w:rFonts w:ascii="Arial" w:hAnsi="Arial" w:cs="Arial"/>
        <w:b/>
        <w:sz w:val="48"/>
      </w:rPr>
      <w:tab/>
    </w:r>
    <w:r>
      <w:fldChar w:fldCharType="begin"/>
    </w:r>
    <w:r>
      <w:instrText xml:space="preserve"> PAGE  \* MERGEFORMAT </w:instrText>
    </w:r>
    <w:r>
      <w:fldChar w:fldCharType="separate"/>
    </w:r>
    <w:r w:rsidR="00FF7D92">
      <w:rPr>
        <w:noProof/>
      </w:rPr>
      <w:t>2</w:t>
    </w:r>
    <w:r>
      <w:fldChar w:fldCharType="end"/>
    </w:r>
    <w:r>
      <w:tab/>
    </w:r>
    <w:r w:rsidRPr="00F10660">
      <w:tab/>
    </w:r>
    <w:r w:rsidRPr="00F10660">
      <w:rPr>
        <w:rFonts w:ascii="Arial" w:hAnsi="Arial" w:cs="Arial"/>
        <w:b/>
        <w:sz w:val="48"/>
      </w:rPr>
      <w:t>LV</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660" w:rsidRDefault="00F10660" w:rsidP="00F10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EBC" w:rsidRDefault="00973EBC" w:rsidP="00FE7FED">
      <w:pPr>
        <w:spacing w:before="0" w:after="0"/>
      </w:pPr>
      <w:r>
        <w:separator/>
      </w:r>
    </w:p>
  </w:footnote>
  <w:footnote w:type="continuationSeparator" w:id="0">
    <w:p w:rsidR="00973EBC" w:rsidRDefault="00973EBC" w:rsidP="00FE7FED">
      <w:pPr>
        <w:spacing w:before="0" w:after="0"/>
      </w:pPr>
      <w:r>
        <w:continuationSeparator/>
      </w:r>
    </w:p>
  </w:footnote>
  <w:footnote w:type="continuationNotice" w:id="1">
    <w:p w:rsidR="00973EBC" w:rsidRDefault="00973EBC">
      <w:pPr>
        <w:spacing w:before="0" w:after="0"/>
      </w:pPr>
    </w:p>
  </w:footnote>
  <w:footnote w:id="2">
    <w:p w:rsidR="00A8350B" w:rsidRPr="00A20E96" w:rsidRDefault="00A8350B">
      <w:pPr>
        <w:pStyle w:val="FootnoteText"/>
      </w:pPr>
      <w:r>
        <w:rPr>
          <w:rStyle w:val="FootnoteReference"/>
        </w:rPr>
        <w:footnoteRef/>
      </w:r>
      <w:r>
        <w:tab/>
        <w:t xml:space="preserve">OV L 94, 30.3.2012., 22. lpp., ELI: http://data.europa.eu/eli/reg/2012/260/oj. </w:t>
      </w:r>
    </w:p>
  </w:footnote>
  <w:footnote w:id="3">
    <w:p w:rsidR="00AD7B15" w:rsidRPr="00AD7B15" w:rsidRDefault="00AD7B15" w:rsidP="00D05942">
      <w:pPr>
        <w:pStyle w:val="FootnoteText"/>
        <w:ind w:left="0" w:firstLine="0"/>
      </w:pPr>
      <w:r>
        <w:rPr>
          <w:rStyle w:val="FootnoteReference"/>
        </w:rPr>
        <w:footnoteRef/>
      </w:r>
      <w:r>
        <w:tab/>
        <w:t>Eiropas Parlamenta un Padomes Regula (ES) 2024/886 (2024. gada 13. marts), ar ko groza Regulas (ES) Nr. 260/2012 un (ES) 2021/1230 un Direktīvas 98/26/EK un (ES) 2015/2366 attiecībā uz tūlītējiem kredīta pārvedumiem euro (OV L, 2024/886, 19.3.2024., ELI: http://data.europa.eu/eli/reg/2024/886/oj).</w:t>
      </w:r>
    </w:p>
  </w:footnote>
  <w:footnote w:id="4">
    <w:p w:rsidR="009713B0" w:rsidRPr="00AD7B15" w:rsidRDefault="009713B0" w:rsidP="009713B0">
      <w:pPr>
        <w:pStyle w:val="FootnoteText"/>
      </w:pPr>
      <w:r>
        <w:rPr>
          <w:rStyle w:val="FootnoteReference"/>
        </w:rPr>
        <w:footnoteRef/>
      </w:r>
      <w:r>
        <w:tab/>
        <w:t>Eiropas Parlamenta un Padomes Regula (ES) Nr. 1093/2010 (2010. gada 24. novembris), ar ko izveido Eiropas Uzraudzības iestādi (Eiropas Banku iestādi), groza Lēmumu Nr. 716/2009/EK un atceļ Komisijas Lēmumu 2009/78/EK (OV L 331, 15.12.2010., 12. lpp.,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660" w:rsidRDefault="00F106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660" w:rsidRDefault="00F106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9DE80BA"/>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16C006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FDEC9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6CE00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4"/>
  </w:num>
  <w:num w:numId="2">
    <w:abstractNumId w:val="19"/>
    <w:lvlOverride w:ilvl="0">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2"/>
  </w:num>
  <w:num w:numId="7">
    <w:abstractNumId w:val="1"/>
  </w:num>
  <w:num w:numId="8">
    <w:abstractNumId w:val="16"/>
  </w:num>
  <w:num w:numId="9">
    <w:abstractNumId w:val="9"/>
  </w:num>
  <w:num w:numId="10">
    <w:abstractNumId w:val="18"/>
  </w:num>
  <w:num w:numId="11">
    <w:abstractNumId w:val="8"/>
  </w:num>
  <w:num w:numId="12">
    <w:abstractNumId w:val="10"/>
  </w:num>
  <w:num w:numId="13">
    <w:abstractNumId w:val="11"/>
  </w:num>
  <w:num w:numId="14">
    <w:abstractNumId w:val="6"/>
  </w:num>
  <w:num w:numId="15">
    <w:abstractNumId w:val="17"/>
  </w:num>
  <w:num w:numId="16">
    <w:abstractNumId w:val="5"/>
  </w:num>
  <w:num w:numId="17">
    <w:abstractNumId w:val="12"/>
  </w:num>
  <w:num w:numId="18">
    <w:abstractNumId w:val="14"/>
  </w:num>
  <w:num w:numId="19">
    <w:abstractNumId w:val="15"/>
  </w:num>
  <w:num w:numId="20">
    <w:abstractNumId w:val="7"/>
  </w:num>
  <w:num w:numId="21">
    <w:abstractNumId w:val="13"/>
  </w:num>
  <w:num w:numId="22">
    <w:abstractNumId w:val="19"/>
  </w:num>
  <w:num w:numId="23">
    <w:abstractNumId w:val="16"/>
  </w:num>
  <w:num w:numId="24">
    <w:abstractNumId w:val="9"/>
  </w:num>
  <w:num w:numId="25">
    <w:abstractNumId w:val="18"/>
  </w:num>
  <w:num w:numId="26">
    <w:abstractNumId w:val="8"/>
  </w:num>
  <w:num w:numId="27">
    <w:abstractNumId w:val="10"/>
  </w:num>
  <w:num w:numId="28">
    <w:abstractNumId w:val="11"/>
  </w:num>
  <w:num w:numId="29">
    <w:abstractNumId w:val="6"/>
  </w:num>
  <w:num w:numId="30">
    <w:abstractNumId w:val="17"/>
  </w:num>
  <w:num w:numId="31">
    <w:abstractNumId w:val="5"/>
  </w:num>
  <w:num w:numId="32">
    <w:abstractNumId w:val="12"/>
  </w:num>
  <w:num w:numId="33">
    <w:abstractNumId w:val="14"/>
  </w:num>
  <w:num w:numId="34">
    <w:abstractNumId w:val="15"/>
  </w:num>
  <w:num w:numId="35">
    <w:abstractNumId w:val="7"/>
  </w:num>
  <w:num w:numId="36">
    <w:abstractNumId w:val="13"/>
  </w:num>
  <w:num w:numId="37">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5-09-30 17:23:18"/>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421FC644-ED8B-4281-94B4-8D9328956254"/>
    <w:docVar w:name="LW_COVERPAGE_TYPE" w:val="1"/>
    <w:docVar w:name="LW_CreatedUtc" w:val="2025-02-25T08:25:43.0388982Z"/>
    <w:docVar w:name="LW_CROSSREFERENCE" w:val="&lt;UNUSED&gt;"/>
    <w:docVar w:name="LW_DATE.ADOPT.CP" w:val="(1.10.2025),"/>
    <w:docVar w:name="LW_DATE.ADOPT.CP_DATEFORMAT" w:val="(%DATE%),"/>
    <w:docVar w:name="LW_DATE.ADOPT.CP_ISODATE" w:val="2025-10-01"/>
    <w:docVar w:name="LW_DocType" w:val="COM"/>
    <w:docVar w:name="LW_EMISSION" w:val="1.10.2025"/>
    <w:docVar w:name="LW_EMISSION_ISODATE" w:val="2025-10-01"/>
    <w:docVar w:name="LW_EMISSION_LOCATION" w:val="BRX"/>
    <w:docVar w:name="LW_EMISSION_PREFIX" w:val="Brisel\u275?, "/>
    <w:docVar w:name="LW_EMISSION_SUFFIX" w:val="."/>
    <w:docVar w:name="LW_ID_DOCMODEL" w:val="SJ-004"/>
    <w:docVar w:name="LW_ID_DOCSIGNATURE" w:val="SJ-004"/>
    <w:docVar w:name="LW_ID_DOCSTRUCTURE" w:val="COM/AA"/>
    <w:docVar w:name="LW_ID_DOCTYPE" w:val="SJ-004"/>
    <w:docVar w:name="LW_INTERETEEE.CP" w:val="&lt;UNUSED&gt;"/>
    <w:docVar w:name="LW_LANGUE" w:val="LV"/>
    <w:docVar w:name="LW_LANGUESFAISANTFOI.CP" w:val="&lt;UNUSED&gt;"/>
    <w:docVar w:name="LW_LEVEL_OF_SENSITIVITY" w:val="Standard treatment"/>
    <w:docVar w:name="LW_NOM.INST" w:val="EIROPAS KOMISIJA"/>
    <w:docVar w:name="LW_NOM.INST_JOINTDOC" w:val="&lt;EMPTY&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r ko nosaka \u299?steno\u353?anas tehniskos standartus Eiropas Parlamenta un Padomes Regulas (ES) Nr. 260/2012 piem\u275?ro\u353?anai attiec\u299?b\u257? uz vienot\u257?m p\u257?rskatu veidn\u275?m, nor\u257?d\u299?jumiem un metodiku p\u257?rskatu snieg\u353?anai par kred\u299?ta p\u257?rvedumiem, t\u363?l\u299?t\u275?jiem kred\u299?ta p\u257?rvedumiem un maks\u257?jumu kontiem piem\u275?roto maksu l\u299?meni un noraid\u299?to dar\u299?jumu da\u316?u"/>
    <w:docVar w:name="LW_TYPE.DOC.CP" w:val="KOMISIJAS \u298?STENO\u352?ANAS REGULA (ES) \u8230?/.."/>
    <w:docVar w:name="LwApiVersions" w:val="LW4CoDe 1.24.5.0; LW 9.0, Build 20240221"/>
  </w:docVars>
  <w:rsids>
    <w:rsidRoot w:val="00FE7FED"/>
    <w:rsid w:val="00001BC7"/>
    <w:rsid w:val="000066ED"/>
    <w:rsid w:val="000068B4"/>
    <w:rsid w:val="000079A5"/>
    <w:rsid w:val="00014C12"/>
    <w:rsid w:val="00016168"/>
    <w:rsid w:val="00017783"/>
    <w:rsid w:val="00025818"/>
    <w:rsid w:val="0002592C"/>
    <w:rsid w:val="0002598B"/>
    <w:rsid w:val="00033F48"/>
    <w:rsid w:val="000373AB"/>
    <w:rsid w:val="000421B5"/>
    <w:rsid w:val="00042488"/>
    <w:rsid w:val="0004347B"/>
    <w:rsid w:val="00047478"/>
    <w:rsid w:val="000504E3"/>
    <w:rsid w:val="0006406A"/>
    <w:rsid w:val="000642D0"/>
    <w:rsid w:val="00072E61"/>
    <w:rsid w:val="000744DD"/>
    <w:rsid w:val="00075170"/>
    <w:rsid w:val="000758A1"/>
    <w:rsid w:val="000768B7"/>
    <w:rsid w:val="0008161A"/>
    <w:rsid w:val="0008224E"/>
    <w:rsid w:val="000847C4"/>
    <w:rsid w:val="00096BAD"/>
    <w:rsid w:val="000A4172"/>
    <w:rsid w:val="000A41FC"/>
    <w:rsid w:val="000A4298"/>
    <w:rsid w:val="000A454E"/>
    <w:rsid w:val="000B2C1B"/>
    <w:rsid w:val="000B7C50"/>
    <w:rsid w:val="000C0B38"/>
    <w:rsid w:val="000C387D"/>
    <w:rsid w:val="000C449F"/>
    <w:rsid w:val="000C4F0E"/>
    <w:rsid w:val="000D043A"/>
    <w:rsid w:val="000D1771"/>
    <w:rsid w:val="000D391D"/>
    <w:rsid w:val="000D445A"/>
    <w:rsid w:val="000D5A8B"/>
    <w:rsid w:val="000D6822"/>
    <w:rsid w:val="000E08FA"/>
    <w:rsid w:val="000E15A7"/>
    <w:rsid w:val="000E50E2"/>
    <w:rsid w:val="000E7CB2"/>
    <w:rsid w:val="000F0AA0"/>
    <w:rsid w:val="000F26D8"/>
    <w:rsid w:val="000F4AF6"/>
    <w:rsid w:val="001030E9"/>
    <w:rsid w:val="00104199"/>
    <w:rsid w:val="001065F5"/>
    <w:rsid w:val="001066B5"/>
    <w:rsid w:val="0010750E"/>
    <w:rsid w:val="00114B61"/>
    <w:rsid w:val="0011705A"/>
    <w:rsid w:val="00117E87"/>
    <w:rsid w:val="001238EF"/>
    <w:rsid w:val="00123A96"/>
    <w:rsid w:val="00124229"/>
    <w:rsid w:val="001254D0"/>
    <w:rsid w:val="00126A52"/>
    <w:rsid w:val="001309E5"/>
    <w:rsid w:val="00130A11"/>
    <w:rsid w:val="0013354A"/>
    <w:rsid w:val="00136075"/>
    <w:rsid w:val="00140C92"/>
    <w:rsid w:val="00141111"/>
    <w:rsid w:val="00141C39"/>
    <w:rsid w:val="00142A94"/>
    <w:rsid w:val="00143368"/>
    <w:rsid w:val="0014583F"/>
    <w:rsid w:val="00145DAF"/>
    <w:rsid w:val="001475E9"/>
    <w:rsid w:val="00150298"/>
    <w:rsid w:val="001519B1"/>
    <w:rsid w:val="00152432"/>
    <w:rsid w:val="00153975"/>
    <w:rsid w:val="00153E27"/>
    <w:rsid w:val="00154745"/>
    <w:rsid w:val="00154E88"/>
    <w:rsid w:val="00154ED4"/>
    <w:rsid w:val="00155F1D"/>
    <w:rsid w:val="00156590"/>
    <w:rsid w:val="00160FDD"/>
    <w:rsid w:val="00162F28"/>
    <w:rsid w:val="0016376B"/>
    <w:rsid w:val="0016398E"/>
    <w:rsid w:val="00171733"/>
    <w:rsid w:val="001721CC"/>
    <w:rsid w:val="00180D6D"/>
    <w:rsid w:val="001840A1"/>
    <w:rsid w:val="001913B0"/>
    <w:rsid w:val="00191CEA"/>
    <w:rsid w:val="00197613"/>
    <w:rsid w:val="001A1FA1"/>
    <w:rsid w:val="001A5381"/>
    <w:rsid w:val="001A6744"/>
    <w:rsid w:val="001A7B61"/>
    <w:rsid w:val="001B081E"/>
    <w:rsid w:val="001C0071"/>
    <w:rsid w:val="001C0950"/>
    <w:rsid w:val="001C3C75"/>
    <w:rsid w:val="001C6408"/>
    <w:rsid w:val="001C7C6B"/>
    <w:rsid w:val="001D08D6"/>
    <w:rsid w:val="001D6BB7"/>
    <w:rsid w:val="001E0062"/>
    <w:rsid w:val="001F78E3"/>
    <w:rsid w:val="00203CF1"/>
    <w:rsid w:val="002102D8"/>
    <w:rsid w:val="00210337"/>
    <w:rsid w:val="00215208"/>
    <w:rsid w:val="002174F2"/>
    <w:rsid w:val="00220F9F"/>
    <w:rsid w:val="0022745F"/>
    <w:rsid w:val="00227D76"/>
    <w:rsid w:val="00230E4C"/>
    <w:rsid w:val="00232FDF"/>
    <w:rsid w:val="002339C3"/>
    <w:rsid w:val="00233DC7"/>
    <w:rsid w:val="0023679A"/>
    <w:rsid w:val="00240C3D"/>
    <w:rsid w:val="00244629"/>
    <w:rsid w:val="002464E8"/>
    <w:rsid w:val="00247779"/>
    <w:rsid w:val="00251C02"/>
    <w:rsid w:val="00251D78"/>
    <w:rsid w:val="002537B3"/>
    <w:rsid w:val="00253A7F"/>
    <w:rsid w:val="00255D10"/>
    <w:rsid w:val="00260F3C"/>
    <w:rsid w:val="002614D0"/>
    <w:rsid w:val="002619F9"/>
    <w:rsid w:val="00262DE1"/>
    <w:rsid w:val="00270578"/>
    <w:rsid w:val="00281B09"/>
    <w:rsid w:val="00285BEE"/>
    <w:rsid w:val="00287FAC"/>
    <w:rsid w:val="00293F82"/>
    <w:rsid w:val="0029533F"/>
    <w:rsid w:val="002A2EE8"/>
    <w:rsid w:val="002A5779"/>
    <w:rsid w:val="002A5E80"/>
    <w:rsid w:val="002B1522"/>
    <w:rsid w:val="002B30AF"/>
    <w:rsid w:val="002B4662"/>
    <w:rsid w:val="002C0286"/>
    <w:rsid w:val="002C10B5"/>
    <w:rsid w:val="002C1A4F"/>
    <w:rsid w:val="002C5B13"/>
    <w:rsid w:val="002D2CC4"/>
    <w:rsid w:val="002D3A91"/>
    <w:rsid w:val="002D6964"/>
    <w:rsid w:val="002E15CA"/>
    <w:rsid w:val="002E2315"/>
    <w:rsid w:val="002E3165"/>
    <w:rsid w:val="002E53A7"/>
    <w:rsid w:val="002E556C"/>
    <w:rsid w:val="002F1C71"/>
    <w:rsid w:val="002F1EE7"/>
    <w:rsid w:val="002F4C83"/>
    <w:rsid w:val="00303696"/>
    <w:rsid w:val="00311576"/>
    <w:rsid w:val="003119D5"/>
    <w:rsid w:val="00311E05"/>
    <w:rsid w:val="00316FD9"/>
    <w:rsid w:val="003213CE"/>
    <w:rsid w:val="003253A9"/>
    <w:rsid w:val="0033033C"/>
    <w:rsid w:val="00331F2E"/>
    <w:rsid w:val="003327E2"/>
    <w:rsid w:val="0033344A"/>
    <w:rsid w:val="00333E44"/>
    <w:rsid w:val="003429AC"/>
    <w:rsid w:val="00342B4F"/>
    <w:rsid w:val="003444B9"/>
    <w:rsid w:val="00345DA0"/>
    <w:rsid w:val="00350A45"/>
    <w:rsid w:val="003525DD"/>
    <w:rsid w:val="00352F0E"/>
    <w:rsid w:val="00354C7E"/>
    <w:rsid w:val="00356ADE"/>
    <w:rsid w:val="00361593"/>
    <w:rsid w:val="00361846"/>
    <w:rsid w:val="003657C0"/>
    <w:rsid w:val="00365DE4"/>
    <w:rsid w:val="00374796"/>
    <w:rsid w:val="003803FC"/>
    <w:rsid w:val="00380DD8"/>
    <w:rsid w:val="00383FF9"/>
    <w:rsid w:val="00385766"/>
    <w:rsid w:val="00386A30"/>
    <w:rsid w:val="003904C2"/>
    <w:rsid w:val="00395A2F"/>
    <w:rsid w:val="0039723A"/>
    <w:rsid w:val="003975E5"/>
    <w:rsid w:val="003A0056"/>
    <w:rsid w:val="003A5115"/>
    <w:rsid w:val="003B549F"/>
    <w:rsid w:val="003B57CD"/>
    <w:rsid w:val="003B5A1D"/>
    <w:rsid w:val="003B7CFF"/>
    <w:rsid w:val="003C1B52"/>
    <w:rsid w:val="003C33CB"/>
    <w:rsid w:val="003C4CAE"/>
    <w:rsid w:val="003D371C"/>
    <w:rsid w:val="003D73DF"/>
    <w:rsid w:val="003E167C"/>
    <w:rsid w:val="003E4FA2"/>
    <w:rsid w:val="003E5CF0"/>
    <w:rsid w:val="003F018F"/>
    <w:rsid w:val="003F0EC5"/>
    <w:rsid w:val="003F1E03"/>
    <w:rsid w:val="004019E8"/>
    <w:rsid w:val="00403029"/>
    <w:rsid w:val="00404CFA"/>
    <w:rsid w:val="00405044"/>
    <w:rsid w:val="00411FBF"/>
    <w:rsid w:val="00412F99"/>
    <w:rsid w:val="00412FDD"/>
    <w:rsid w:val="00415B42"/>
    <w:rsid w:val="004163A8"/>
    <w:rsid w:val="00421245"/>
    <w:rsid w:val="0042648E"/>
    <w:rsid w:val="00427029"/>
    <w:rsid w:val="00427E22"/>
    <w:rsid w:val="00431B0E"/>
    <w:rsid w:val="00432F41"/>
    <w:rsid w:val="0043372F"/>
    <w:rsid w:val="004425F3"/>
    <w:rsid w:val="004442AF"/>
    <w:rsid w:val="00444B3C"/>
    <w:rsid w:val="00447779"/>
    <w:rsid w:val="0045254B"/>
    <w:rsid w:val="00452C9A"/>
    <w:rsid w:val="00455F8A"/>
    <w:rsid w:val="00460097"/>
    <w:rsid w:val="00461F43"/>
    <w:rsid w:val="00462A07"/>
    <w:rsid w:val="00463137"/>
    <w:rsid w:val="00464680"/>
    <w:rsid w:val="00466E33"/>
    <w:rsid w:val="0047014B"/>
    <w:rsid w:val="004711D5"/>
    <w:rsid w:val="00472FD8"/>
    <w:rsid w:val="00477A35"/>
    <w:rsid w:val="00477CD9"/>
    <w:rsid w:val="00481E97"/>
    <w:rsid w:val="004822DC"/>
    <w:rsid w:val="004853C6"/>
    <w:rsid w:val="004868D0"/>
    <w:rsid w:val="004871A7"/>
    <w:rsid w:val="004901D3"/>
    <w:rsid w:val="004936D2"/>
    <w:rsid w:val="00497ECB"/>
    <w:rsid w:val="004A4894"/>
    <w:rsid w:val="004A7134"/>
    <w:rsid w:val="004B03D1"/>
    <w:rsid w:val="004B2FFA"/>
    <w:rsid w:val="004C15AA"/>
    <w:rsid w:val="004C5916"/>
    <w:rsid w:val="004C60B0"/>
    <w:rsid w:val="004C635B"/>
    <w:rsid w:val="004C79F1"/>
    <w:rsid w:val="004D084C"/>
    <w:rsid w:val="004D4226"/>
    <w:rsid w:val="004E047A"/>
    <w:rsid w:val="004E1BAA"/>
    <w:rsid w:val="004E2937"/>
    <w:rsid w:val="004E572C"/>
    <w:rsid w:val="004E7796"/>
    <w:rsid w:val="004F1173"/>
    <w:rsid w:val="004F15B9"/>
    <w:rsid w:val="00501867"/>
    <w:rsid w:val="0050376F"/>
    <w:rsid w:val="00503AAA"/>
    <w:rsid w:val="00507BC8"/>
    <w:rsid w:val="00520EC8"/>
    <w:rsid w:val="00523CF7"/>
    <w:rsid w:val="0052515F"/>
    <w:rsid w:val="005253F3"/>
    <w:rsid w:val="005261A7"/>
    <w:rsid w:val="00530551"/>
    <w:rsid w:val="00531AAF"/>
    <w:rsid w:val="00532147"/>
    <w:rsid w:val="005330E9"/>
    <w:rsid w:val="005347DC"/>
    <w:rsid w:val="00535135"/>
    <w:rsid w:val="00536042"/>
    <w:rsid w:val="005423FA"/>
    <w:rsid w:val="00542EE6"/>
    <w:rsid w:val="005432C7"/>
    <w:rsid w:val="005450B1"/>
    <w:rsid w:val="0055071E"/>
    <w:rsid w:val="00551113"/>
    <w:rsid w:val="00551319"/>
    <w:rsid w:val="0056023D"/>
    <w:rsid w:val="00561BB5"/>
    <w:rsid w:val="00561C47"/>
    <w:rsid w:val="00561ED7"/>
    <w:rsid w:val="00564B4F"/>
    <w:rsid w:val="00565BEF"/>
    <w:rsid w:val="00566B29"/>
    <w:rsid w:val="00566E44"/>
    <w:rsid w:val="00570ADD"/>
    <w:rsid w:val="00570C41"/>
    <w:rsid w:val="00571DF5"/>
    <w:rsid w:val="00574D2C"/>
    <w:rsid w:val="00576696"/>
    <w:rsid w:val="00582116"/>
    <w:rsid w:val="00596FA4"/>
    <w:rsid w:val="005A206D"/>
    <w:rsid w:val="005A31F7"/>
    <w:rsid w:val="005A5967"/>
    <w:rsid w:val="005B1EB6"/>
    <w:rsid w:val="005B4B70"/>
    <w:rsid w:val="005B5F79"/>
    <w:rsid w:val="005C1F32"/>
    <w:rsid w:val="005C23A8"/>
    <w:rsid w:val="005C2C67"/>
    <w:rsid w:val="005C58BF"/>
    <w:rsid w:val="005C5BEE"/>
    <w:rsid w:val="005D090B"/>
    <w:rsid w:val="005D2EB4"/>
    <w:rsid w:val="005D4C37"/>
    <w:rsid w:val="005D67F4"/>
    <w:rsid w:val="005E141A"/>
    <w:rsid w:val="00602DFC"/>
    <w:rsid w:val="006033A9"/>
    <w:rsid w:val="00604C25"/>
    <w:rsid w:val="0060533B"/>
    <w:rsid w:val="0060742C"/>
    <w:rsid w:val="00612113"/>
    <w:rsid w:val="006158F4"/>
    <w:rsid w:val="006162FE"/>
    <w:rsid w:val="00620589"/>
    <w:rsid w:val="00626B53"/>
    <w:rsid w:val="00626E74"/>
    <w:rsid w:val="006307D8"/>
    <w:rsid w:val="00633C43"/>
    <w:rsid w:val="00637401"/>
    <w:rsid w:val="00637578"/>
    <w:rsid w:val="00637A53"/>
    <w:rsid w:val="00642ABC"/>
    <w:rsid w:val="006443C4"/>
    <w:rsid w:val="0064496B"/>
    <w:rsid w:val="00645810"/>
    <w:rsid w:val="00653EFF"/>
    <w:rsid w:val="006563C0"/>
    <w:rsid w:val="006676AA"/>
    <w:rsid w:val="00670C78"/>
    <w:rsid w:val="00672EFA"/>
    <w:rsid w:val="00674252"/>
    <w:rsid w:val="00674AAE"/>
    <w:rsid w:val="00676C8D"/>
    <w:rsid w:val="0067704C"/>
    <w:rsid w:val="00677FED"/>
    <w:rsid w:val="0068377C"/>
    <w:rsid w:val="00684931"/>
    <w:rsid w:val="00686892"/>
    <w:rsid w:val="0069142A"/>
    <w:rsid w:val="006914F4"/>
    <w:rsid w:val="00691552"/>
    <w:rsid w:val="0069173A"/>
    <w:rsid w:val="0069225A"/>
    <w:rsid w:val="00692762"/>
    <w:rsid w:val="00694295"/>
    <w:rsid w:val="0069517A"/>
    <w:rsid w:val="006960A4"/>
    <w:rsid w:val="006A2582"/>
    <w:rsid w:val="006A44B8"/>
    <w:rsid w:val="006A6123"/>
    <w:rsid w:val="006A74A3"/>
    <w:rsid w:val="006B0215"/>
    <w:rsid w:val="006B62A8"/>
    <w:rsid w:val="006B7EB5"/>
    <w:rsid w:val="006C06F3"/>
    <w:rsid w:val="006C4B71"/>
    <w:rsid w:val="006E28FD"/>
    <w:rsid w:val="006E39FA"/>
    <w:rsid w:val="006E5C4A"/>
    <w:rsid w:val="006E64E5"/>
    <w:rsid w:val="006E6B2D"/>
    <w:rsid w:val="006E78FA"/>
    <w:rsid w:val="006E7992"/>
    <w:rsid w:val="006E7F11"/>
    <w:rsid w:val="006F0053"/>
    <w:rsid w:val="006F089E"/>
    <w:rsid w:val="006F0FDC"/>
    <w:rsid w:val="006F68C4"/>
    <w:rsid w:val="006F7400"/>
    <w:rsid w:val="00700210"/>
    <w:rsid w:val="00706DDD"/>
    <w:rsid w:val="00706E59"/>
    <w:rsid w:val="0071264F"/>
    <w:rsid w:val="007147E3"/>
    <w:rsid w:val="00720C74"/>
    <w:rsid w:val="00722EF3"/>
    <w:rsid w:val="00724289"/>
    <w:rsid w:val="00726798"/>
    <w:rsid w:val="00726A58"/>
    <w:rsid w:val="00727E53"/>
    <w:rsid w:val="00734A8B"/>
    <w:rsid w:val="00734D8A"/>
    <w:rsid w:val="00735833"/>
    <w:rsid w:val="00736120"/>
    <w:rsid w:val="00737F09"/>
    <w:rsid w:val="007406AE"/>
    <w:rsid w:val="00743ADA"/>
    <w:rsid w:val="00743E70"/>
    <w:rsid w:val="00745A56"/>
    <w:rsid w:val="007464B1"/>
    <w:rsid w:val="00750F39"/>
    <w:rsid w:val="00752C41"/>
    <w:rsid w:val="00755584"/>
    <w:rsid w:val="0075651E"/>
    <w:rsid w:val="007605D9"/>
    <w:rsid w:val="00761345"/>
    <w:rsid w:val="00764A2C"/>
    <w:rsid w:val="00770A0E"/>
    <w:rsid w:val="00770C5B"/>
    <w:rsid w:val="00773331"/>
    <w:rsid w:val="00774B57"/>
    <w:rsid w:val="007809A1"/>
    <w:rsid w:val="00780FEA"/>
    <w:rsid w:val="007836A8"/>
    <w:rsid w:val="00787878"/>
    <w:rsid w:val="00792105"/>
    <w:rsid w:val="0079263D"/>
    <w:rsid w:val="007932EF"/>
    <w:rsid w:val="007951B8"/>
    <w:rsid w:val="007A16D3"/>
    <w:rsid w:val="007A4891"/>
    <w:rsid w:val="007B0EA7"/>
    <w:rsid w:val="007B1166"/>
    <w:rsid w:val="007B118F"/>
    <w:rsid w:val="007B5227"/>
    <w:rsid w:val="007C059D"/>
    <w:rsid w:val="007C17A2"/>
    <w:rsid w:val="007C470E"/>
    <w:rsid w:val="007C493D"/>
    <w:rsid w:val="007D150D"/>
    <w:rsid w:val="007D3B08"/>
    <w:rsid w:val="007D4717"/>
    <w:rsid w:val="007D6756"/>
    <w:rsid w:val="007E05B0"/>
    <w:rsid w:val="007E601F"/>
    <w:rsid w:val="007E6EFD"/>
    <w:rsid w:val="007E71CE"/>
    <w:rsid w:val="007E7C74"/>
    <w:rsid w:val="007F104A"/>
    <w:rsid w:val="007F4E83"/>
    <w:rsid w:val="007F4F35"/>
    <w:rsid w:val="00801E87"/>
    <w:rsid w:val="00802964"/>
    <w:rsid w:val="00804319"/>
    <w:rsid w:val="00805CF7"/>
    <w:rsid w:val="00805ED6"/>
    <w:rsid w:val="00806337"/>
    <w:rsid w:val="00807467"/>
    <w:rsid w:val="008101A8"/>
    <w:rsid w:val="0081488B"/>
    <w:rsid w:val="00816042"/>
    <w:rsid w:val="00816AFC"/>
    <w:rsid w:val="00817CF7"/>
    <w:rsid w:val="008231E0"/>
    <w:rsid w:val="00827C4D"/>
    <w:rsid w:val="0083038A"/>
    <w:rsid w:val="0083128A"/>
    <w:rsid w:val="0083272F"/>
    <w:rsid w:val="00835D9A"/>
    <w:rsid w:val="0083730D"/>
    <w:rsid w:val="00840128"/>
    <w:rsid w:val="008413EA"/>
    <w:rsid w:val="00841AE1"/>
    <w:rsid w:val="00847508"/>
    <w:rsid w:val="008525C0"/>
    <w:rsid w:val="008553FF"/>
    <w:rsid w:val="00865668"/>
    <w:rsid w:val="00865D84"/>
    <w:rsid w:val="008664F6"/>
    <w:rsid w:val="0087059E"/>
    <w:rsid w:val="00874D22"/>
    <w:rsid w:val="00877882"/>
    <w:rsid w:val="00880425"/>
    <w:rsid w:val="00881518"/>
    <w:rsid w:val="0088282D"/>
    <w:rsid w:val="00883037"/>
    <w:rsid w:val="008836F9"/>
    <w:rsid w:val="00886942"/>
    <w:rsid w:val="00887571"/>
    <w:rsid w:val="00890216"/>
    <w:rsid w:val="00890246"/>
    <w:rsid w:val="00891706"/>
    <w:rsid w:val="00893DA7"/>
    <w:rsid w:val="008A2914"/>
    <w:rsid w:val="008B0DB8"/>
    <w:rsid w:val="008B6C23"/>
    <w:rsid w:val="008C0AC8"/>
    <w:rsid w:val="008C258F"/>
    <w:rsid w:val="008C29E2"/>
    <w:rsid w:val="008C2B35"/>
    <w:rsid w:val="008C386A"/>
    <w:rsid w:val="008C4818"/>
    <w:rsid w:val="008C486C"/>
    <w:rsid w:val="008C4B71"/>
    <w:rsid w:val="008C5385"/>
    <w:rsid w:val="008C6C71"/>
    <w:rsid w:val="008C7227"/>
    <w:rsid w:val="008D2B36"/>
    <w:rsid w:val="008D2E1C"/>
    <w:rsid w:val="008D68E8"/>
    <w:rsid w:val="008E17A3"/>
    <w:rsid w:val="008E1A3A"/>
    <w:rsid w:val="008E4D8E"/>
    <w:rsid w:val="008E4DD2"/>
    <w:rsid w:val="008E5C8A"/>
    <w:rsid w:val="008E6BEE"/>
    <w:rsid w:val="008F0117"/>
    <w:rsid w:val="008F0F5E"/>
    <w:rsid w:val="008F5762"/>
    <w:rsid w:val="00900DD3"/>
    <w:rsid w:val="009013F8"/>
    <w:rsid w:val="00911C72"/>
    <w:rsid w:val="00912850"/>
    <w:rsid w:val="00914C54"/>
    <w:rsid w:val="0091508E"/>
    <w:rsid w:val="00915816"/>
    <w:rsid w:val="00917E85"/>
    <w:rsid w:val="009203A5"/>
    <w:rsid w:val="00925CEE"/>
    <w:rsid w:val="00930421"/>
    <w:rsid w:val="00930648"/>
    <w:rsid w:val="00933431"/>
    <w:rsid w:val="00936D2B"/>
    <w:rsid w:val="0094211A"/>
    <w:rsid w:val="00944EE3"/>
    <w:rsid w:val="0094607C"/>
    <w:rsid w:val="00947057"/>
    <w:rsid w:val="00951211"/>
    <w:rsid w:val="00952943"/>
    <w:rsid w:val="009537E1"/>
    <w:rsid w:val="00953813"/>
    <w:rsid w:val="00954A2A"/>
    <w:rsid w:val="00957327"/>
    <w:rsid w:val="00957789"/>
    <w:rsid w:val="00960C4B"/>
    <w:rsid w:val="009638BD"/>
    <w:rsid w:val="0096627D"/>
    <w:rsid w:val="009664CD"/>
    <w:rsid w:val="009713B0"/>
    <w:rsid w:val="00971653"/>
    <w:rsid w:val="009724F4"/>
    <w:rsid w:val="00973EBC"/>
    <w:rsid w:val="00976DB6"/>
    <w:rsid w:val="00980990"/>
    <w:rsid w:val="0098199B"/>
    <w:rsid w:val="009850E8"/>
    <w:rsid w:val="00986335"/>
    <w:rsid w:val="00986892"/>
    <w:rsid w:val="009927FD"/>
    <w:rsid w:val="00994CA3"/>
    <w:rsid w:val="00996030"/>
    <w:rsid w:val="0099612E"/>
    <w:rsid w:val="0099719C"/>
    <w:rsid w:val="009A2B3E"/>
    <w:rsid w:val="009B28D4"/>
    <w:rsid w:val="009C1173"/>
    <w:rsid w:val="009C25E8"/>
    <w:rsid w:val="009C6440"/>
    <w:rsid w:val="009C69FE"/>
    <w:rsid w:val="009D1DF0"/>
    <w:rsid w:val="009D60FA"/>
    <w:rsid w:val="009D7A56"/>
    <w:rsid w:val="009E1471"/>
    <w:rsid w:val="009E14C2"/>
    <w:rsid w:val="009E1AC1"/>
    <w:rsid w:val="009E4560"/>
    <w:rsid w:val="009F1CCA"/>
    <w:rsid w:val="009F2458"/>
    <w:rsid w:val="009F531D"/>
    <w:rsid w:val="009F5DB9"/>
    <w:rsid w:val="009F7E43"/>
    <w:rsid w:val="00A008CD"/>
    <w:rsid w:val="00A02384"/>
    <w:rsid w:val="00A0408F"/>
    <w:rsid w:val="00A05D20"/>
    <w:rsid w:val="00A06E20"/>
    <w:rsid w:val="00A10562"/>
    <w:rsid w:val="00A11DC5"/>
    <w:rsid w:val="00A121B1"/>
    <w:rsid w:val="00A125DA"/>
    <w:rsid w:val="00A1626C"/>
    <w:rsid w:val="00A17923"/>
    <w:rsid w:val="00A20E96"/>
    <w:rsid w:val="00A24555"/>
    <w:rsid w:val="00A31053"/>
    <w:rsid w:val="00A369EE"/>
    <w:rsid w:val="00A409A9"/>
    <w:rsid w:val="00A43A59"/>
    <w:rsid w:val="00A514E3"/>
    <w:rsid w:val="00A51981"/>
    <w:rsid w:val="00A54C7E"/>
    <w:rsid w:val="00A55753"/>
    <w:rsid w:val="00A607D3"/>
    <w:rsid w:val="00A61EB7"/>
    <w:rsid w:val="00A62121"/>
    <w:rsid w:val="00A6338B"/>
    <w:rsid w:val="00A71A56"/>
    <w:rsid w:val="00A72B2F"/>
    <w:rsid w:val="00A744A9"/>
    <w:rsid w:val="00A75188"/>
    <w:rsid w:val="00A80233"/>
    <w:rsid w:val="00A813B3"/>
    <w:rsid w:val="00A8350B"/>
    <w:rsid w:val="00A8635C"/>
    <w:rsid w:val="00AA2317"/>
    <w:rsid w:val="00AA3CA4"/>
    <w:rsid w:val="00AA7D65"/>
    <w:rsid w:val="00AB14B1"/>
    <w:rsid w:val="00AB1C6F"/>
    <w:rsid w:val="00AB297D"/>
    <w:rsid w:val="00AB3556"/>
    <w:rsid w:val="00AB3B3D"/>
    <w:rsid w:val="00AB50BC"/>
    <w:rsid w:val="00AB6762"/>
    <w:rsid w:val="00AC0006"/>
    <w:rsid w:val="00AC13E5"/>
    <w:rsid w:val="00AC36A5"/>
    <w:rsid w:val="00AC67B2"/>
    <w:rsid w:val="00AD6EF4"/>
    <w:rsid w:val="00AD7B15"/>
    <w:rsid w:val="00AD7CC1"/>
    <w:rsid w:val="00AE31D5"/>
    <w:rsid w:val="00AE6AB7"/>
    <w:rsid w:val="00AE7D22"/>
    <w:rsid w:val="00AF278E"/>
    <w:rsid w:val="00AF71F5"/>
    <w:rsid w:val="00B053FF"/>
    <w:rsid w:val="00B10032"/>
    <w:rsid w:val="00B12237"/>
    <w:rsid w:val="00B14FD7"/>
    <w:rsid w:val="00B15792"/>
    <w:rsid w:val="00B17DF1"/>
    <w:rsid w:val="00B200E2"/>
    <w:rsid w:val="00B22153"/>
    <w:rsid w:val="00B25070"/>
    <w:rsid w:val="00B27A92"/>
    <w:rsid w:val="00B42926"/>
    <w:rsid w:val="00B432CA"/>
    <w:rsid w:val="00B4331F"/>
    <w:rsid w:val="00B434C1"/>
    <w:rsid w:val="00B52596"/>
    <w:rsid w:val="00B52D63"/>
    <w:rsid w:val="00B53B73"/>
    <w:rsid w:val="00B552A9"/>
    <w:rsid w:val="00B5677A"/>
    <w:rsid w:val="00B62E49"/>
    <w:rsid w:val="00B65EDF"/>
    <w:rsid w:val="00B674DA"/>
    <w:rsid w:val="00B71A89"/>
    <w:rsid w:val="00B750C9"/>
    <w:rsid w:val="00B75148"/>
    <w:rsid w:val="00B756F7"/>
    <w:rsid w:val="00B75BFE"/>
    <w:rsid w:val="00B76C25"/>
    <w:rsid w:val="00B817BF"/>
    <w:rsid w:val="00B86274"/>
    <w:rsid w:val="00B875E1"/>
    <w:rsid w:val="00B9119D"/>
    <w:rsid w:val="00B9253B"/>
    <w:rsid w:val="00B93228"/>
    <w:rsid w:val="00B941FE"/>
    <w:rsid w:val="00B9538B"/>
    <w:rsid w:val="00B95AE2"/>
    <w:rsid w:val="00BA2F7E"/>
    <w:rsid w:val="00BA3498"/>
    <w:rsid w:val="00BA4508"/>
    <w:rsid w:val="00BA5155"/>
    <w:rsid w:val="00BA541B"/>
    <w:rsid w:val="00BA5DC4"/>
    <w:rsid w:val="00BA7EBC"/>
    <w:rsid w:val="00BB2FF0"/>
    <w:rsid w:val="00BB69ED"/>
    <w:rsid w:val="00BB732E"/>
    <w:rsid w:val="00BB76D6"/>
    <w:rsid w:val="00BB7776"/>
    <w:rsid w:val="00BC3B91"/>
    <w:rsid w:val="00BC5A7F"/>
    <w:rsid w:val="00BC5FF4"/>
    <w:rsid w:val="00BC63F3"/>
    <w:rsid w:val="00BC6865"/>
    <w:rsid w:val="00BD13AE"/>
    <w:rsid w:val="00BD1FB6"/>
    <w:rsid w:val="00BD3934"/>
    <w:rsid w:val="00BD5B82"/>
    <w:rsid w:val="00BD7AB4"/>
    <w:rsid w:val="00BE02EC"/>
    <w:rsid w:val="00BE19A1"/>
    <w:rsid w:val="00BE74B0"/>
    <w:rsid w:val="00BF1DAA"/>
    <w:rsid w:val="00BF2FE5"/>
    <w:rsid w:val="00BF3180"/>
    <w:rsid w:val="00BF6D71"/>
    <w:rsid w:val="00BF7F77"/>
    <w:rsid w:val="00C00730"/>
    <w:rsid w:val="00C01E11"/>
    <w:rsid w:val="00C12301"/>
    <w:rsid w:val="00C263CE"/>
    <w:rsid w:val="00C272D0"/>
    <w:rsid w:val="00C27DF8"/>
    <w:rsid w:val="00C3410B"/>
    <w:rsid w:val="00C411B0"/>
    <w:rsid w:val="00C43AAE"/>
    <w:rsid w:val="00C44190"/>
    <w:rsid w:val="00C442F9"/>
    <w:rsid w:val="00C50BFD"/>
    <w:rsid w:val="00C60F19"/>
    <w:rsid w:val="00C64FFA"/>
    <w:rsid w:val="00C67CD8"/>
    <w:rsid w:val="00C70712"/>
    <w:rsid w:val="00C70E12"/>
    <w:rsid w:val="00C714E1"/>
    <w:rsid w:val="00C716B4"/>
    <w:rsid w:val="00C71B6C"/>
    <w:rsid w:val="00C7687B"/>
    <w:rsid w:val="00C85915"/>
    <w:rsid w:val="00C85F7A"/>
    <w:rsid w:val="00C90983"/>
    <w:rsid w:val="00C91E13"/>
    <w:rsid w:val="00C9233E"/>
    <w:rsid w:val="00C9347C"/>
    <w:rsid w:val="00C93B85"/>
    <w:rsid w:val="00CA0E7E"/>
    <w:rsid w:val="00CA37F7"/>
    <w:rsid w:val="00CA4EC5"/>
    <w:rsid w:val="00CA5FB6"/>
    <w:rsid w:val="00CA7160"/>
    <w:rsid w:val="00CB0889"/>
    <w:rsid w:val="00CB64E4"/>
    <w:rsid w:val="00CC16BC"/>
    <w:rsid w:val="00CC3F90"/>
    <w:rsid w:val="00CC4458"/>
    <w:rsid w:val="00CC499B"/>
    <w:rsid w:val="00CC62BC"/>
    <w:rsid w:val="00CD063F"/>
    <w:rsid w:val="00CD4C73"/>
    <w:rsid w:val="00CE1C7A"/>
    <w:rsid w:val="00CE36B8"/>
    <w:rsid w:val="00CE6123"/>
    <w:rsid w:val="00CF5750"/>
    <w:rsid w:val="00CF5C60"/>
    <w:rsid w:val="00CF6A8C"/>
    <w:rsid w:val="00CF7490"/>
    <w:rsid w:val="00CF787A"/>
    <w:rsid w:val="00D029AA"/>
    <w:rsid w:val="00D05942"/>
    <w:rsid w:val="00D106E8"/>
    <w:rsid w:val="00D12544"/>
    <w:rsid w:val="00D13C79"/>
    <w:rsid w:val="00D14832"/>
    <w:rsid w:val="00D15205"/>
    <w:rsid w:val="00D170AB"/>
    <w:rsid w:val="00D20381"/>
    <w:rsid w:val="00D21FD8"/>
    <w:rsid w:val="00D234CB"/>
    <w:rsid w:val="00D2656D"/>
    <w:rsid w:val="00D324E1"/>
    <w:rsid w:val="00D352B4"/>
    <w:rsid w:val="00D353BF"/>
    <w:rsid w:val="00D40EFF"/>
    <w:rsid w:val="00D4512D"/>
    <w:rsid w:val="00D5242D"/>
    <w:rsid w:val="00D54A61"/>
    <w:rsid w:val="00D5503F"/>
    <w:rsid w:val="00D621FB"/>
    <w:rsid w:val="00D62456"/>
    <w:rsid w:val="00D62E5E"/>
    <w:rsid w:val="00D665C4"/>
    <w:rsid w:val="00D674F4"/>
    <w:rsid w:val="00D6777E"/>
    <w:rsid w:val="00D70B60"/>
    <w:rsid w:val="00D7463F"/>
    <w:rsid w:val="00D76A56"/>
    <w:rsid w:val="00D825B6"/>
    <w:rsid w:val="00D82CC1"/>
    <w:rsid w:val="00D87245"/>
    <w:rsid w:val="00D87300"/>
    <w:rsid w:val="00D90E08"/>
    <w:rsid w:val="00DB0501"/>
    <w:rsid w:val="00DB250A"/>
    <w:rsid w:val="00DB3C35"/>
    <w:rsid w:val="00DB3D14"/>
    <w:rsid w:val="00DB53F7"/>
    <w:rsid w:val="00DB6B05"/>
    <w:rsid w:val="00DC04AA"/>
    <w:rsid w:val="00DC32EC"/>
    <w:rsid w:val="00DC551D"/>
    <w:rsid w:val="00DC60AA"/>
    <w:rsid w:val="00DD50D0"/>
    <w:rsid w:val="00DD57BC"/>
    <w:rsid w:val="00DE0B07"/>
    <w:rsid w:val="00DE2ADF"/>
    <w:rsid w:val="00DF1A15"/>
    <w:rsid w:val="00DF1CB4"/>
    <w:rsid w:val="00DF324D"/>
    <w:rsid w:val="00DF792D"/>
    <w:rsid w:val="00DF7D1B"/>
    <w:rsid w:val="00E00723"/>
    <w:rsid w:val="00E028CC"/>
    <w:rsid w:val="00E0498A"/>
    <w:rsid w:val="00E04C8B"/>
    <w:rsid w:val="00E0505F"/>
    <w:rsid w:val="00E06ADC"/>
    <w:rsid w:val="00E104B1"/>
    <w:rsid w:val="00E1502C"/>
    <w:rsid w:val="00E21874"/>
    <w:rsid w:val="00E258F8"/>
    <w:rsid w:val="00E30766"/>
    <w:rsid w:val="00E3171F"/>
    <w:rsid w:val="00E31C61"/>
    <w:rsid w:val="00E31F15"/>
    <w:rsid w:val="00E327E6"/>
    <w:rsid w:val="00E34F0D"/>
    <w:rsid w:val="00E35CB0"/>
    <w:rsid w:val="00E3769D"/>
    <w:rsid w:val="00E420D2"/>
    <w:rsid w:val="00E4311E"/>
    <w:rsid w:val="00E448AB"/>
    <w:rsid w:val="00E54884"/>
    <w:rsid w:val="00E57015"/>
    <w:rsid w:val="00E60348"/>
    <w:rsid w:val="00E6043D"/>
    <w:rsid w:val="00E60C11"/>
    <w:rsid w:val="00E61C60"/>
    <w:rsid w:val="00E73351"/>
    <w:rsid w:val="00E74596"/>
    <w:rsid w:val="00E80981"/>
    <w:rsid w:val="00E81E68"/>
    <w:rsid w:val="00E84AAA"/>
    <w:rsid w:val="00E922D8"/>
    <w:rsid w:val="00E9561F"/>
    <w:rsid w:val="00E95689"/>
    <w:rsid w:val="00EA277C"/>
    <w:rsid w:val="00EA38FC"/>
    <w:rsid w:val="00EA3971"/>
    <w:rsid w:val="00EA3C60"/>
    <w:rsid w:val="00EA3D90"/>
    <w:rsid w:val="00EA5973"/>
    <w:rsid w:val="00EA64C3"/>
    <w:rsid w:val="00EB039C"/>
    <w:rsid w:val="00EB2C34"/>
    <w:rsid w:val="00EB4BCD"/>
    <w:rsid w:val="00EB72E1"/>
    <w:rsid w:val="00EC6C39"/>
    <w:rsid w:val="00EC78BD"/>
    <w:rsid w:val="00EC7DBC"/>
    <w:rsid w:val="00ED0099"/>
    <w:rsid w:val="00ED02D5"/>
    <w:rsid w:val="00ED297C"/>
    <w:rsid w:val="00EE0634"/>
    <w:rsid w:val="00EE1C59"/>
    <w:rsid w:val="00EE3BEE"/>
    <w:rsid w:val="00EE613B"/>
    <w:rsid w:val="00EE7555"/>
    <w:rsid w:val="00EF35ED"/>
    <w:rsid w:val="00F02E3E"/>
    <w:rsid w:val="00F04DAB"/>
    <w:rsid w:val="00F0743A"/>
    <w:rsid w:val="00F105CA"/>
    <w:rsid w:val="00F10660"/>
    <w:rsid w:val="00F133B9"/>
    <w:rsid w:val="00F13429"/>
    <w:rsid w:val="00F15622"/>
    <w:rsid w:val="00F16F48"/>
    <w:rsid w:val="00F17A3B"/>
    <w:rsid w:val="00F20205"/>
    <w:rsid w:val="00F229A7"/>
    <w:rsid w:val="00F308C1"/>
    <w:rsid w:val="00F308DA"/>
    <w:rsid w:val="00F35509"/>
    <w:rsid w:val="00F36671"/>
    <w:rsid w:val="00F40A90"/>
    <w:rsid w:val="00F40B32"/>
    <w:rsid w:val="00F41E71"/>
    <w:rsid w:val="00F424E2"/>
    <w:rsid w:val="00F46ECF"/>
    <w:rsid w:val="00F53272"/>
    <w:rsid w:val="00F558D2"/>
    <w:rsid w:val="00F6156F"/>
    <w:rsid w:val="00F66B95"/>
    <w:rsid w:val="00F672C7"/>
    <w:rsid w:val="00F67493"/>
    <w:rsid w:val="00F6791B"/>
    <w:rsid w:val="00F75BAC"/>
    <w:rsid w:val="00F824D3"/>
    <w:rsid w:val="00F84BE4"/>
    <w:rsid w:val="00F8766D"/>
    <w:rsid w:val="00F91E2B"/>
    <w:rsid w:val="00F92092"/>
    <w:rsid w:val="00F951F3"/>
    <w:rsid w:val="00F95871"/>
    <w:rsid w:val="00FA00A7"/>
    <w:rsid w:val="00FA7030"/>
    <w:rsid w:val="00FA7B48"/>
    <w:rsid w:val="00FB0717"/>
    <w:rsid w:val="00FB09BC"/>
    <w:rsid w:val="00FB4D9B"/>
    <w:rsid w:val="00FB7673"/>
    <w:rsid w:val="00FB7914"/>
    <w:rsid w:val="00FC0031"/>
    <w:rsid w:val="00FC0B30"/>
    <w:rsid w:val="00FC38F8"/>
    <w:rsid w:val="00FD15D6"/>
    <w:rsid w:val="00FD1FD5"/>
    <w:rsid w:val="00FD3AB2"/>
    <w:rsid w:val="00FD71F7"/>
    <w:rsid w:val="00FE392C"/>
    <w:rsid w:val="00FE7FED"/>
    <w:rsid w:val="00FF1134"/>
    <w:rsid w:val="00FF15A2"/>
    <w:rsid w:val="00FF2659"/>
    <w:rsid w:val="00FF7D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D37355B-58DB-4A35-B16E-3173BFAA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v-LV"/>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0"/>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E7FED"/>
    <w:pPr>
      <w:numPr>
        <w:numId w:val="1"/>
      </w:numPr>
    </w:pPr>
    <w:rPr>
      <w:rFonts w:eastAsia="Times New Roman"/>
      <w:lang w:eastAsia="en-GB"/>
    </w:rPr>
  </w:style>
  <w:style w:type="character" w:styleId="Hyperlink">
    <w:name w:val="Hyperlink"/>
    <w:basedOn w:val="DefaultParagraphFont"/>
    <w:rsid w:val="009713B0"/>
    <w:rPr>
      <w:color w:val="2F5773"/>
      <w:u w:val="single"/>
    </w:rPr>
  </w:style>
  <w:style w:type="paragraph" w:styleId="ListBullet2">
    <w:name w:val="List Bullet 2"/>
    <w:basedOn w:val="Normal"/>
    <w:uiPriority w:val="99"/>
    <w:semiHidden/>
    <w:unhideWhenUsed/>
    <w:rsid w:val="009713B0"/>
    <w:pPr>
      <w:numPr>
        <w:numId w:val="4"/>
      </w:numPr>
      <w:contextualSpacing/>
    </w:pPr>
  </w:style>
  <w:style w:type="paragraph" w:styleId="ListNumber2">
    <w:name w:val="List Number 2"/>
    <w:basedOn w:val="Normal"/>
    <w:uiPriority w:val="99"/>
    <w:semiHidden/>
    <w:unhideWhenUsed/>
    <w:rsid w:val="009713B0"/>
    <w:pPr>
      <w:numPr>
        <w:numId w:val="5"/>
      </w:numPr>
      <w:contextualSpacing/>
    </w:pPr>
  </w:style>
  <w:style w:type="paragraph" w:styleId="ListBullet3">
    <w:name w:val="List Bullet 3"/>
    <w:basedOn w:val="Normal"/>
    <w:uiPriority w:val="99"/>
    <w:semiHidden/>
    <w:unhideWhenUsed/>
    <w:rsid w:val="001840A1"/>
    <w:pPr>
      <w:numPr>
        <w:numId w:val="6"/>
      </w:numPr>
      <w:contextualSpacing/>
    </w:pPr>
  </w:style>
  <w:style w:type="paragraph" w:styleId="ListBullet4">
    <w:name w:val="List Bullet 4"/>
    <w:basedOn w:val="Normal"/>
    <w:uiPriority w:val="99"/>
    <w:semiHidden/>
    <w:unhideWhenUsed/>
    <w:rsid w:val="001840A1"/>
    <w:pPr>
      <w:numPr>
        <w:numId w:val="7"/>
      </w:numPr>
      <w:contextualSpacing/>
    </w:pPr>
  </w:style>
  <w:style w:type="character" w:styleId="CommentReference">
    <w:name w:val="annotation reference"/>
    <w:basedOn w:val="DefaultParagraphFont"/>
    <w:uiPriority w:val="99"/>
    <w:semiHidden/>
    <w:unhideWhenUsed/>
    <w:rsid w:val="00F6156F"/>
    <w:rPr>
      <w:sz w:val="16"/>
      <w:szCs w:val="16"/>
    </w:rPr>
  </w:style>
  <w:style w:type="paragraph" w:styleId="CommentText">
    <w:name w:val="annotation text"/>
    <w:basedOn w:val="Normal"/>
    <w:link w:val="CommentTextChar"/>
    <w:uiPriority w:val="99"/>
    <w:unhideWhenUsed/>
    <w:rsid w:val="00F6156F"/>
    <w:rPr>
      <w:sz w:val="20"/>
      <w:szCs w:val="20"/>
    </w:rPr>
  </w:style>
  <w:style w:type="character" w:customStyle="1" w:styleId="CommentTextChar">
    <w:name w:val="Comment Text Char"/>
    <w:basedOn w:val="DefaultParagraphFont"/>
    <w:link w:val="CommentText"/>
    <w:uiPriority w:val="99"/>
    <w:rsid w:val="00F6156F"/>
    <w:rPr>
      <w:rFonts w:ascii="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F6156F"/>
    <w:rPr>
      <w:b/>
      <w:bCs/>
    </w:rPr>
  </w:style>
  <w:style w:type="character" w:customStyle="1" w:styleId="CommentSubjectChar">
    <w:name w:val="Comment Subject Char"/>
    <w:basedOn w:val="CommentTextChar"/>
    <w:link w:val="CommentSubject"/>
    <w:uiPriority w:val="99"/>
    <w:semiHidden/>
    <w:rsid w:val="00F6156F"/>
    <w:rPr>
      <w:rFonts w:ascii="Times New Roman" w:hAnsi="Times New Roman" w:cs="Times New Roman"/>
      <w:b/>
      <w:bCs/>
      <w:sz w:val="20"/>
      <w:szCs w:val="20"/>
      <w:lang w:val="lv-LV"/>
    </w:rPr>
  </w:style>
  <w:style w:type="character" w:customStyle="1" w:styleId="UnresolvedMention">
    <w:name w:val="Unresolved Mention"/>
    <w:basedOn w:val="DefaultParagraphFont"/>
    <w:uiPriority w:val="99"/>
    <w:semiHidden/>
    <w:unhideWhenUsed/>
    <w:rsid w:val="00F6156F"/>
    <w:rPr>
      <w:color w:val="605E5C"/>
      <w:shd w:val="clear" w:color="auto" w:fill="E1DFDD"/>
    </w:rPr>
  </w:style>
  <w:style w:type="paragraph" w:styleId="Revision">
    <w:name w:val="Revision"/>
    <w:hidden/>
    <w:uiPriority w:val="99"/>
    <w:semiHidden/>
    <w:rsid w:val="00F6156F"/>
    <w:pPr>
      <w:spacing w:after="0" w:line="240" w:lineRule="auto"/>
    </w:pPr>
    <w:rPr>
      <w:rFonts w:ascii="Times New Roman" w:hAnsi="Times New Roman" w:cs="Times New Roman"/>
      <w:sz w:val="24"/>
    </w:rPr>
  </w:style>
  <w:style w:type="character" w:customStyle="1" w:styleId="HeaderChar">
    <w:name w:val="Header Char"/>
    <w:basedOn w:val="DefaultParagraphFont"/>
    <w:link w:val="Header"/>
    <w:uiPriority w:val="99"/>
    <w:rsid w:val="00F10660"/>
    <w:rPr>
      <w:rFonts w:ascii="Times New Roman" w:hAnsi="Times New Roman" w:cs="Times New Roman"/>
      <w:sz w:val="24"/>
      <w:lang w:val="lv-LV"/>
    </w:rPr>
  </w:style>
  <w:style w:type="character" w:customStyle="1" w:styleId="FooterChar">
    <w:name w:val="Footer Char"/>
    <w:basedOn w:val="DefaultParagraphFont"/>
    <w:link w:val="Footer"/>
    <w:uiPriority w:val="99"/>
    <w:rsid w:val="00F10660"/>
    <w:rPr>
      <w:rFonts w:ascii="Times New Roman" w:hAnsi="Times New Roman" w:cs="Times New Roman"/>
      <w:sz w:val="24"/>
      <w:lang w:val="lv-LV"/>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F10660"/>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F10660"/>
    <w:pPr>
      <w:spacing w:before="0"/>
      <w:jc w:val="right"/>
    </w:pPr>
    <w:rPr>
      <w:sz w:val="28"/>
    </w:rPr>
  </w:style>
  <w:style w:type="paragraph" w:customStyle="1" w:styleId="FooterSensitivity">
    <w:name w:val="Footer Sensitivity"/>
    <w:basedOn w:val="Normal"/>
    <w:rsid w:val="00F10660"/>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Tiret5">
    <w:name w:val="Tiret 5"/>
    <w:basedOn w:val="Point5"/>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NumPar5">
    <w:name w:val="NumPar 5"/>
    <w:basedOn w:val="Normal"/>
    <w:next w:val="Text2"/>
    <w:pPr>
      <w:numPr>
        <w:ilvl w:val="4"/>
        <w:numId w:val="29"/>
      </w:numPr>
    </w:pPr>
  </w:style>
  <w:style w:type="paragraph" w:customStyle="1" w:styleId="NumPar6">
    <w:name w:val="NumPar 6"/>
    <w:basedOn w:val="Normal"/>
    <w:next w:val="Text2"/>
    <w:pPr>
      <w:numPr>
        <w:ilvl w:val="5"/>
        <w:numId w:val="29"/>
      </w:numPr>
    </w:pPr>
  </w:style>
  <w:style w:type="paragraph" w:customStyle="1" w:styleId="NumPar7">
    <w:name w:val="NumPar 7"/>
    <w:basedOn w:val="Normal"/>
    <w:next w:val="Text2"/>
    <w:pPr>
      <w:numPr>
        <w:ilvl w:val="6"/>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F10660"/>
    <w:pPr>
      <w:tabs>
        <w:tab w:val="center" w:pos="4535"/>
        <w:tab w:val="right" w:pos="9071"/>
      </w:tabs>
      <w:spacing w:before="0"/>
    </w:pPr>
  </w:style>
  <w:style w:type="paragraph" w:customStyle="1" w:styleId="HeaderLandscape">
    <w:name w:val="HeaderLandscape"/>
    <w:basedOn w:val="Normal"/>
    <w:rsid w:val="00F10660"/>
    <w:pPr>
      <w:tabs>
        <w:tab w:val="center" w:pos="7285"/>
        <w:tab w:val="right" w:pos="14003"/>
      </w:tabs>
      <w:spacing w:before="0"/>
    </w:pPr>
  </w:style>
  <w:style w:type="paragraph" w:styleId="Footer">
    <w:name w:val="footer"/>
    <w:basedOn w:val="Normal"/>
    <w:link w:val="FooterChar"/>
    <w:uiPriority w:val="99"/>
    <w:unhideWhenUsed/>
    <w:rsid w:val="00F10660"/>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F10660"/>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00798">
      <w:bodyDiv w:val="1"/>
      <w:marLeft w:val="0"/>
      <w:marRight w:val="0"/>
      <w:marTop w:val="0"/>
      <w:marBottom w:val="0"/>
      <w:divBdr>
        <w:top w:val="none" w:sz="0" w:space="0" w:color="auto"/>
        <w:left w:val="none" w:sz="0" w:space="0" w:color="auto"/>
        <w:bottom w:val="none" w:sz="0" w:space="0" w:color="auto"/>
        <w:right w:val="none" w:sz="0" w:space="0" w:color="auto"/>
      </w:divBdr>
    </w:div>
    <w:div w:id="550653829">
      <w:bodyDiv w:val="1"/>
      <w:marLeft w:val="0"/>
      <w:marRight w:val="0"/>
      <w:marTop w:val="0"/>
      <w:marBottom w:val="0"/>
      <w:divBdr>
        <w:top w:val="none" w:sz="0" w:space="0" w:color="auto"/>
        <w:left w:val="none" w:sz="0" w:space="0" w:color="auto"/>
        <w:bottom w:val="none" w:sz="0" w:space="0" w:color="auto"/>
        <w:right w:val="none" w:sz="0" w:space="0" w:color="auto"/>
      </w:divBdr>
    </w:div>
    <w:div w:id="784278377">
      <w:bodyDiv w:val="1"/>
      <w:marLeft w:val="0"/>
      <w:marRight w:val="0"/>
      <w:marTop w:val="0"/>
      <w:marBottom w:val="0"/>
      <w:divBdr>
        <w:top w:val="none" w:sz="0" w:space="0" w:color="auto"/>
        <w:left w:val="none" w:sz="0" w:space="0" w:color="auto"/>
        <w:bottom w:val="none" w:sz="0" w:space="0" w:color="auto"/>
        <w:right w:val="none" w:sz="0" w:space="0" w:color="auto"/>
      </w:divBdr>
    </w:div>
    <w:div w:id="869949458">
      <w:bodyDiv w:val="1"/>
      <w:marLeft w:val="0"/>
      <w:marRight w:val="0"/>
      <w:marTop w:val="0"/>
      <w:marBottom w:val="0"/>
      <w:divBdr>
        <w:top w:val="none" w:sz="0" w:space="0" w:color="auto"/>
        <w:left w:val="none" w:sz="0" w:space="0" w:color="auto"/>
        <w:bottom w:val="none" w:sz="0" w:space="0" w:color="auto"/>
        <w:right w:val="none" w:sz="0" w:space="0" w:color="auto"/>
      </w:divBdr>
    </w:div>
    <w:div w:id="881015070">
      <w:bodyDiv w:val="1"/>
      <w:marLeft w:val="0"/>
      <w:marRight w:val="0"/>
      <w:marTop w:val="0"/>
      <w:marBottom w:val="0"/>
      <w:divBdr>
        <w:top w:val="none" w:sz="0" w:space="0" w:color="auto"/>
        <w:left w:val="none" w:sz="0" w:space="0" w:color="auto"/>
        <w:bottom w:val="none" w:sz="0" w:space="0" w:color="auto"/>
        <w:right w:val="none" w:sz="0" w:space="0" w:color="auto"/>
      </w:divBdr>
    </w:div>
    <w:div w:id="920212406">
      <w:bodyDiv w:val="1"/>
      <w:marLeft w:val="0"/>
      <w:marRight w:val="0"/>
      <w:marTop w:val="0"/>
      <w:marBottom w:val="0"/>
      <w:divBdr>
        <w:top w:val="none" w:sz="0" w:space="0" w:color="auto"/>
        <w:left w:val="none" w:sz="0" w:space="0" w:color="auto"/>
        <w:bottom w:val="none" w:sz="0" w:space="0" w:color="auto"/>
        <w:right w:val="none" w:sz="0" w:space="0" w:color="auto"/>
      </w:divBdr>
    </w:div>
    <w:div w:id="1095593330">
      <w:bodyDiv w:val="1"/>
      <w:marLeft w:val="0"/>
      <w:marRight w:val="0"/>
      <w:marTop w:val="0"/>
      <w:marBottom w:val="0"/>
      <w:divBdr>
        <w:top w:val="none" w:sz="0" w:space="0" w:color="auto"/>
        <w:left w:val="none" w:sz="0" w:space="0" w:color="auto"/>
        <w:bottom w:val="none" w:sz="0" w:space="0" w:color="auto"/>
        <w:right w:val="none" w:sz="0" w:space="0" w:color="auto"/>
      </w:divBdr>
    </w:div>
    <w:div w:id="1494568034">
      <w:bodyDiv w:val="1"/>
      <w:marLeft w:val="0"/>
      <w:marRight w:val="0"/>
      <w:marTop w:val="0"/>
      <w:marBottom w:val="0"/>
      <w:divBdr>
        <w:top w:val="none" w:sz="0" w:space="0" w:color="auto"/>
        <w:left w:val="none" w:sz="0" w:space="0" w:color="auto"/>
        <w:bottom w:val="none" w:sz="0" w:space="0" w:color="auto"/>
        <w:right w:val="none" w:sz="0" w:space="0" w:color="auto"/>
      </w:divBdr>
    </w:div>
    <w:div w:id="1989820838">
      <w:bodyDiv w:val="1"/>
      <w:marLeft w:val="0"/>
      <w:marRight w:val="0"/>
      <w:marTop w:val="0"/>
      <w:marBottom w:val="0"/>
      <w:divBdr>
        <w:top w:val="none" w:sz="0" w:space="0" w:color="auto"/>
        <w:left w:val="none" w:sz="0" w:space="0" w:color="auto"/>
        <w:bottom w:val="none" w:sz="0" w:space="0" w:color="auto"/>
        <w:right w:val="none" w:sz="0" w:space="0" w:color="auto"/>
      </w:divBdr>
    </w:div>
    <w:div w:id="21305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AE6E2-368D-42B0-9134-B6800FDB77A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B89D5FD2-A6F3-4EB5-A6CF-7867F88AEFD4}">
  <ds:schemaRefs>
    <ds:schemaRef ds:uri="http://schemas.microsoft.com/sharepoint/v3/contenttype/forms"/>
  </ds:schemaRefs>
</ds:datastoreItem>
</file>

<file path=customXml/itemProps3.xml><?xml version="1.0" encoding="utf-8"?>
<ds:datastoreItem xmlns:ds="http://schemas.openxmlformats.org/officeDocument/2006/customXml" ds:itemID="{766AA042-8990-48CF-9F49-CCC060D39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E04989-44DF-44D2-A4EB-D498E22A473D}">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7</TotalTime>
  <Pages>5</Pages>
  <Words>1417</Words>
  <Characters>8082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31</cp:revision>
  <cp:lastPrinted>2025-05-08T07:59:00Z</cp:lastPrinted>
  <dcterms:created xsi:type="dcterms:W3CDTF">2025-09-16T13:52:00Z</dcterms:created>
  <dcterms:modified xsi:type="dcterms:W3CDTF">2025-09-30T15:23:00Z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2025-02-25T08:26:14Z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be3cf09d-66c6-4ba0-8026-31162a6dd493</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ClassificationContentMarkingHeaderShapeIds">
    <vt:lpwstr>20238a3b,33d08159,24cbf427,4ef86fca,5453675e,568b7bab</vt:lpwstr>
  </property>
  <property fmtid="{D5CDD505-2E9C-101B-9397-08002B2CF9AE}" pid="20" name="ClassificationContentMarkingHeaderFontProps">
    <vt:lpwstr>#000000,12,Aptos</vt:lpwstr>
  </property>
  <property fmtid="{D5CDD505-2E9C-101B-9397-08002B2CF9AE}" pid="21" name="ClassificationContentMarkingHeaderText">
    <vt:lpwstr>EBA Regular Use</vt:lpwstr>
  </property>
  <property fmtid="{D5CDD505-2E9C-101B-9397-08002B2CF9AE}" pid="22" name="DQCStatus">
    <vt:lpwstr>Green (DQC version 03)</vt:lpwstr>
  </property>
</Properties>
</file>