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F76557" w:rsidRDefault="000F1262" w:rsidP="000F1262">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E1814ED-0514-4025-B545-97D59664DDEE" style="width:455.25pt;height:369.75pt">
            <v:imagedata r:id="rId11" o:title=""/>
          </v:shape>
        </w:pict>
      </w:r>
    </w:p>
    <w:p w:rsidR="00FE7FED" w:rsidRPr="00F76557" w:rsidRDefault="00FE7FED">
      <w:pPr>
        <w:rPr>
          <w:noProof/>
        </w:rPr>
        <w:sectPr w:rsidR="00FE7FED" w:rsidRPr="00F76557" w:rsidSect="000F1262">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rsidR="009713B0" w:rsidRPr="00F76557" w:rsidRDefault="00F76557" w:rsidP="00F76557">
      <w:pPr>
        <w:pStyle w:val="Typedudocument"/>
        <w:rPr>
          <w:noProof/>
        </w:rPr>
      </w:pPr>
      <w:bookmarkStart w:id="0" w:name="_GoBack"/>
      <w:bookmarkEnd w:id="0"/>
      <w:r w:rsidRPr="00F76557">
        <w:rPr>
          <w:noProof/>
        </w:rPr>
        <w:lastRenderedPageBreak/>
        <w:t>KOMISIJOS ĮGYVENDINIMO REGLAMENTAS (ES) …/...</w:t>
      </w:r>
    </w:p>
    <w:p w:rsidR="009713B0" w:rsidRPr="00F76557" w:rsidRDefault="00DA1CCE" w:rsidP="00F76557">
      <w:pPr>
        <w:pStyle w:val="Datedadoption"/>
        <w:rPr>
          <w:noProof/>
        </w:rPr>
      </w:pPr>
      <w:r>
        <w:rPr>
          <w:noProof/>
        </w:rPr>
        <w:t>2025 10 01</w:t>
      </w:r>
    </w:p>
    <w:p w:rsidR="009713B0" w:rsidRPr="00F76557" w:rsidRDefault="00F76557" w:rsidP="00F76557">
      <w:pPr>
        <w:pStyle w:val="Titreobjet"/>
        <w:rPr>
          <w:noProof/>
        </w:rPr>
      </w:pPr>
      <w:r w:rsidRPr="00F76557">
        <w:rPr>
          <w:noProof/>
        </w:rPr>
        <w:t>kuriuo nustatomi Europos Parlamento ir Tarybos reglamento (ES) Nr. 260/2012 taikymo techniniai įgyvendinimo standartai, susiję su vienodais ataskaitų dėl mokesčių už kredito pervedimus, momentinius kredito pervedimus ir mokėjimo sąskaitas lygio ir atmestų operacijų dalies šablonais, nurodymais ir metodika</w:t>
      </w:r>
    </w:p>
    <w:p w:rsidR="009713B0" w:rsidRPr="00F76557" w:rsidRDefault="009713B0" w:rsidP="009713B0">
      <w:pPr>
        <w:pStyle w:val="Institutionquiagit"/>
        <w:rPr>
          <w:noProof/>
        </w:rPr>
      </w:pPr>
      <w:r w:rsidRPr="00F76557">
        <w:rPr>
          <w:noProof/>
        </w:rPr>
        <w:t>EUROPOS KOMISIJA,</w:t>
      </w:r>
    </w:p>
    <w:p w:rsidR="009713B0" w:rsidRPr="00F76557" w:rsidRDefault="009713B0" w:rsidP="009713B0">
      <w:pPr>
        <w:rPr>
          <w:noProof/>
          <w:color w:val="000000"/>
        </w:rPr>
      </w:pPr>
      <w:r w:rsidRPr="00F76557">
        <w:rPr>
          <w:noProof/>
          <w:color w:val="000000"/>
        </w:rPr>
        <w:t>atsižvelgdama į Sutartį dėl Europos Sąjungos veikimo,</w:t>
      </w:r>
    </w:p>
    <w:p w:rsidR="009713B0" w:rsidRPr="00F76557" w:rsidRDefault="009713B0" w:rsidP="009713B0">
      <w:pPr>
        <w:rPr>
          <w:noProof/>
          <w:color w:val="000000"/>
        </w:rPr>
      </w:pPr>
      <w:r w:rsidRPr="00F76557">
        <w:rPr>
          <w:noProof/>
          <w:color w:val="000000"/>
        </w:rPr>
        <w:t>atsižvelgdama į 2012 m. kovo 14 d. Europos Parlamento ir Tarybos reglamentą (ES) Nr. 260/2012, kuriuo nustatomi kredito pervedimų ir tiesioginio debeto operacijų eurais techniniai ir komerciniai reikalavimai ir iš dalies keičiamas Reglamentas (EB) Nr. 924/2009</w:t>
      </w:r>
      <w:r w:rsidRPr="00F76557">
        <w:rPr>
          <w:rStyle w:val="FootnoteReference"/>
          <w:noProof/>
          <w:color w:val="000000"/>
        </w:rPr>
        <w:footnoteReference w:id="2"/>
      </w:r>
      <w:r w:rsidRPr="00F76557">
        <w:rPr>
          <w:noProof/>
          <w:color w:val="000000"/>
        </w:rPr>
        <w:t xml:space="preserve">, ypač į jo 15 straipsnio 5 dalies trečią pastraipą, </w:t>
      </w:r>
    </w:p>
    <w:p w:rsidR="009713B0" w:rsidRPr="00F76557" w:rsidRDefault="009713B0" w:rsidP="009713B0">
      <w:pPr>
        <w:rPr>
          <w:noProof/>
        </w:rPr>
      </w:pPr>
      <w:r w:rsidRPr="00F76557">
        <w:rPr>
          <w:noProof/>
          <w:color w:val="000000"/>
        </w:rPr>
        <w:t>kadangi</w:t>
      </w:r>
      <w:r w:rsidRPr="00F76557">
        <w:rPr>
          <w:noProof/>
        </w:rPr>
        <w:t>:</w:t>
      </w:r>
    </w:p>
    <w:p w:rsidR="00AC0006" w:rsidRPr="00F76557" w:rsidRDefault="00AC54C7" w:rsidP="00AC54C7">
      <w:pPr>
        <w:pStyle w:val="ManualConsidrant"/>
        <w:rPr>
          <w:noProof/>
        </w:rPr>
      </w:pPr>
      <w:r w:rsidRPr="00AC54C7">
        <w:rPr>
          <w:noProof/>
        </w:rPr>
        <w:t>(1)</w:t>
      </w:r>
      <w:r w:rsidRPr="00AC54C7">
        <w:rPr>
          <w:noProof/>
        </w:rPr>
        <w:tab/>
      </w:r>
      <w:r w:rsidR="00925CEE" w:rsidRPr="00F76557">
        <w:rPr>
          <w:noProof/>
        </w:rPr>
        <w:t xml:space="preserve">pagal Reglamento (ES) Nr. 260/2012 15 straipsnio 3 dalį teikiama informacija apie mokesčių lygį turėtų suteikti Komisijai galimybę įvertinti taisyklės dėl mokesčių, taikomų momentiniams kredito pervedimams, kaip nustatyta to reglamento 5b straipsnio 1 dalyje, poveikį mokesčiams už mokėjimo sąskaitas, už nacionalinius ir tarptautinius kredito pervedimus, taip pat už momentinius kredito pervedimus eurais ir valstybių narių, kurių valiuta nėra euro, nacionaline valiuta. Mokėjimo paslaugų teikėjų (MPT) taikomi mokesčiai už kredito pervedimus, įskaitant momentinius kredito pervedimus, paprastai skiriasi priklausomai nuo atitinkamo kredito pervedimo savybių. Tokios savybės gali būti tai, ar mokėjimo paslaugų vartotojas (MPV) yra mokėtojas ar gavėjas, vartotojas ar ne, arba mokėjimo inicijavimo kanalo rūšis. Todėl duomenys apie siunčiamus kredito pervedimus turėtų būti suskirstyti pagal vidaus ir tarptautinius pervedimus, MPV rūšį ir mokėjimo inicijavimo kanalą; </w:t>
      </w:r>
    </w:p>
    <w:p w:rsidR="00F133B9" w:rsidRPr="00F76557" w:rsidRDefault="00AC54C7" w:rsidP="00AC54C7">
      <w:pPr>
        <w:pStyle w:val="ManualConsidrant"/>
        <w:rPr>
          <w:noProof/>
        </w:rPr>
      </w:pPr>
      <w:r w:rsidRPr="00AC54C7">
        <w:rPr>
          <w:noProof/>
        </w:rPr>
        <w:t>(2)</w:t>
      </w:r>
      <w:r w:rsidRPr="00AC54C7">
        <w:rPr>
          <w:noProof/>
        </w:rPr>
        <w:tab/>
      </w:r>
      <w:r w:rsidR="00914C54" w:rsidRPr="00F76557">
        <w:rPr>
          <w:noProof/>
        </w:rPr>
        <w:t>MPT gali nuspręsti nustatyti mokesčius už kiekvieną operaciją nominaliąja verte arba kaip operacijos vertės procentinę dalį. MPT taip pat gali pasirinkti alternatyvias apmokestinimo struktūras, įskaitant pakopinę kainodarą, pagrįstą skirtingais operacijos vertės intervalais, arba metodus, pagal kuriuos nemokamai atliekamas tam tikras operacijų skaičius per mėnesį, kurį viršijus taikomas mokestis už kiekvieną operaciją. Būtų nepageidautina, kad dėl tokio komercinės veiklos nevienalytiškumo būtų apeinamas taisyklės dėl Reglamento (ES) Nr. 260/2012 5b straipsnio 1 dalyje nustatytų mokesčių už momentinius kredito pervedimus tikslas. Informacijos apie mokesčių už reguliarius ir momentinius kredito pervedimus lygį teikimo metodika turėtų sudaryti sąlygas Komisijai vienodai ir palyginamai įvertinti MPT teikiamą informaciją MPT lygmeniu per tam tikrą laiką ir tarp skirtingų MPT tam tikru momentu, nepaisant skirtingų MPT taikomų apmokestinimo metodų. Todėl duomenys turėtų apimti informaciją apie kredito pervedimų, įskaitant momentinius kredito pervedimus, visus bendrus mokesčius, apimtį ir vertę nacionaline valiuta. Informacijoje apie kredito pervedimus (tiek siunčiamus, tiek gautus) taip pat turėtų būti pateikiamas suskirstymas pagal nemokamus ir mokamus kredito pervedimus;</w:t>
      </w:r>
    </w:p>
    <w:p w:rsidR="009713B0" w:rsidRPr="00F76557" w:rsidRDefault="00AC54C7" w:rsidP="00AC54C7">
      <w:pPr>
        <w:pStyle w:val="ManualConsidrant"/>
        <w:rPr>
          <w:noProof/>
        </w:rPr>
      </w:pPr>
      <w:r w:rsidRPr="00AC54C7">
        <w:rPr>
          <w:noProof/>
        </w:rPr>
        <w:lastRenderedPageBreak/>
        <w:t>(3)</w:t>
      </w:r>
      <w:r w:rsidRPr="00AC54C7">
        <w:rPr>
          <w:noProof/>
        </w:rPr>
        <w:tab/>
      </w:r>
      <w:r w:rsidR="004425F3" w:rsidRPr="00F76557">
        <w:rPr>
          <w:noProof/>
        </w:rPr>
        <w:t>MPT turėtų laikytis Reglamento (ES) Nr. 260/2012 15 straipsnio 3 dalyje nustatytos pareigos teikti ataskaitas subjektų lygmeniu. Siekiant suderinti su mokėjimo statistinių duomenų teikimo ECB metodu, MPT filialai, esantys valstybėse narėse, kurios nėra jų patronuojančiųjų įmonių valstybės narės, turėtų teikti savo duomenis priimančiosios valstybės narės kompetentingai institucijai, o patronuojančiosios įmonės savo informaciją turėtų teikti savo buveinės valstybės narės kompetentingai institucijai;</w:t>
      </w:r>
    </w:p>
    <w:p w:rsidR="009713B0" w:rsidRPr="00F76557" w:rsidRDefault="00AC54C7" w:rsidP="00AC54C7">
      <w:pPr>
        <w:pStyle w:val="ManualConsidrant"/>
        <w:rPr>
          <w:noProof/>
        </w:rPr>
      </w:pPr>
      <w:r w:rsidRPr="00AC54C7">
        <w:rPr>
          <w:noProof/>
        </w:rPr>
        <w:t>(4)</w:t>
      </w:r>
      <w:r w:rsidRPr="00AC54C7">
        <w:rPr>
          <w:noProof/>
        </w:rPr>
        <w:tab/>
      </w:r>
      <w:r w:rsidR="000D1771" w:rsidRPr="00F76557">
        <w:rPr>
          <w:noProof/>
        </w:rPr>
        <w:t>MPT, esantys valstybėse narėse, kurių valiuta nėra euro, ir siūlantys savo MPV mokėjimo paslaugą, susijusią su reguliarių kredito pervedimų eurais gavimu ir siuntimu, privalo ne vėliau kaip 2027 m. sausio 9 d. pasiūlyti savo MPV mokėjimo paslaugą, susijusią su momentinių kredito pervedimų eurais gavimu, o mokėjimo paslaugą, susijusią su momentinių kredito pervedimų eurais siuntimu, ne vėliau kaip 2027 m. liepos 9 d., kaip nustatyta Reglamento (ES) Nr. 260/2012 5a straipsnio 8 dalyje. Tie MPT taip pat turėtų ne vėliau kaip 2027 m. sausio 9 d. įvykdyti pareigas, susijusias su mokesčiais, taikomais mokėtojams ir gavėjams už momentinių kredito pervedimų eurais siuntimą ir gavimą, pagal to reglamento 5b straipsnio 3 dalies antrą pastraipą. Kad Komisija galėtų įvertinti Reglamento (ES) Nr. 260/2012 poveikį mokesčių už kredito pervedimus, įskaitant momentinius kredito pervedimus, išreikštų valstybių narių, kurių valiuta nėra euro, nacionaline valiuta, lygiui pagal to reglamento 15 straipsnio 2 dalies a punktą, tikslinga, kad tose valstybėse narėse esantys MPT, siūlantys savo MPV mokėjimo paslaugą, susijusią su reguliarių kredito pervedimų eurais gavimu ir siuntimu, pateiktų informaciją apie kredito pervedimų, įskaitant momentinius kredito pervedimus, skaičių ir vertes bei mokesčius už juos nacionaline valiuta ir eurais;</w:t>
      </w:r>
    </w:p>
    <w:p w:rsidR="009713B0" w:rsidRPr="00F76557" w:rsidRDefault="00AC54C7" w:rsidP="00AC54C7">
      <w:pPr>
        <w:pStyle w:val="ManualConsidrant"/>
        <w:rPr>
          <w:noProof/>
        </w:rPr>
      </w:pPr>
      <w:r w:rsidRPr="00AC54C7">
        <w:rPr>
          <w:noProof/>
        </w:rPr>
        <w:t>(5)</w:t>
      </w:r>
      <w:r w:rsidRPr="00AC54C7">
        <w:rPr>
          <w:noProof/>
        </w:rPr>
        <w:tab/>
      </w:r>
      <w:r w:rsidR="009713B0" w:rsidRPr="00F76557">
        <w:rPr>
          <w:noProof/>
        </w:rPr>
        <w:t>ataskaitų teikimo pagal Reglamento (ES) Nr. 260/2012 15 straipsnio 3 dalį tikslais MPT savo kompetentingoms institucijoms turėtų pateikti duomenis apie bendrą mokėjimo sąskaitų skaičių ir bendrą visų mokesčių už mokėjimo sąskaitas lygį. Kad Komisija galėtų įvertinti, ar yra ryšys tarp galimų mokesčių už mokėjimo sąskaitas pokyčių ir mokesčių už kredito pervedimus ir momentinius kredito pervedimus pokyčių, į teikiamą informaciją turėtų būti įtrauktas sąskaitos tvarkymo mokesčių suskirstymas;</w:t>
      </w:r>
    </w:p>
    <w:p w:rsidR="009713B0" w:rsidRPr="00F76557" w:rsidRDefault="00AC54C7" w:rsidP="00AC54C7">
      <w:pPr>
        <w:pStyle w:val="ManualConsidrant"/>
        <w:rPr>
          <w:noProof/>
        </w:rPr>
      </w:pPr>
      <w:r w:rsidRPr="00AC54C7">
        <w:rPr>
          <w:noProof/>
        </w:rPr>
        <w:t>(6)</w:t>
      </w:r>
      <w:r w:rsidRPr="00AC54C7">
        <w:rPr>
          <w:noProof/>
        </w:rPr>
        <w:tab/>
      </w:r>
      <w:r w:rsidR="00136075" w:rsidRPr="00F76557">
        <w:rPr>
          <w:noProof/>
        </w:rPr>
        <w:t>kad Komisija galėtų įvertinti dėl tikslinių finansinių ribojamųjų priemonių, priimtų pagal Sutarties dėl Europos Sąjungos veikimo 215 straipsnį, taikymo atmestų momentinių kredito pervedimų dalį ir įvertinti, ar ta dalis pasikeitė pradėjus taikyti Europos Parlamento ir Tarybos reglamentu (ES) 2024/886</w:t>
      </w:r>
      <w:r w:rsidR="00136075" w:rsidRPr="00F76557">
        <w:rPr>
          <w:rStyle w:val="FootnoteReference"/>
          <w:noProof/>
        </w:rPr>
        <w:footnoteReference w:id="3"/>
      </w:r>
      <w:r w:rsidR="00136075" w:rsidRPr="00F76557">
        <w:rPr>
          <w:noProof/>
        </w:rPr>
        <w:t xml:space="preserve"> padarytus Reglamento (ES) Nr. 260/2012 pakeitimus, MPT turėtų pateikti savo kompetentingoms institucijoms duomenis apie tą dalį konkrečiais metais, įskaitant atvejų, kai momentiniai kredito pervedimai nebuvo atlikti arba lėšos buvo įšaldytos mokėtojo ar gavėjo MPT, skaičių; </w:t>
      </w:r>
    </w:p>
    <w:p w:rsidR="0039723A" w:rsidRPr="00F76557" w:rsidRDefault="00AC54C7" w:rsidP="00AC54C7">
      <w:pPr>
        <w:pStyle w:val="ManualConsidrant"/>
        <w:rPr>
          <w:noProof/>
        </w:rPr>
      </w:pPr>
      <w:r w:rsidRPr="00AC54C7">
        <w:rPr>
          <w:noProof/>
        </w:rPr>
        <w:t>(7)</w:t>
      </w:r>
      <w:r w:rsidRPr="00AC54C7">
        <w:rPr>
          <w:noProof/>
        </w:rPr>
        <w:tab/>
      </w:r>
      <w:r w:rsidR="00B17DF1" w:rsidRPr="00F76557">
        <w:rPr>
          <w:noProof/>
        </w:rPr>
        <w:t>siekdami suderinti informacijos teikimą, MPT turėtų naudoti Europos bankininkystės institucijos (EBI) interneto svetainėje pateiktą duomenų vienetų modelį ir patvirtinimo formules. Be to, siekiant sumažinti informacijos teikimo naštą ir išvengti bet kokio dubliavimosi, kompetentingos institucijos turėtų turėti galimybę leisti jų jurisdikcijoje esantiems MPT teikti tik tuos duomenų vienetus, kurie anksčiau nebuvo pateikti;</w:t>
      </w:r>
    </w:p>
    <w:p w:rsidR="009713B0" w:rsidRPr="00F76557" w:rsidRDefault="00AC54C7" w:rsidP="00AC54C7">
      <w:pPr>
        <w:pStyle w:val="ManualConsidrant"/>
        <w:rPr>
          <w:noProof/>
        </w:rPr>
      </w:pPr>
      <w:r w:rsidRPr="00AC54C7">
        <w:rPr>
          <w:noProof/>
        </w:rPr>
        <w:t>(8)</w:t>
      </w:r>
      <w:r w:rsidRPr="00AC54C7">
        <w:rPr>
          <w:noProof/>
        </w:rPr>
        <w:tab/>
      </w:r>
      <w:r w:rsidR="009713B0" w:rsidRPr="00F76557">
        <w:rPr>
          <w:noProof/>
        </w:rPr>
        <w:t>šis reglamentas grindžiamas techninių įgyvendinimo standartų projektais, kuriuos EBI pateikė Komisijai;</w:t>
      </w:r>
    </w:p>
    <w:p w:rsidR="009713B0" w:rsidRPr="00F76557" w:rsidRDefault="00AC54C7" w:rsidP="00AC54C7">
      <w:pPr>
        <w:pStyle w:val="ManualConsidrant"/>
        <w:rPr>
          <w:noProof/>
        </w:rPr>
      </w:pPr>
      <w:r w:rsidRPr="00AC54C7">
        <w:rPr>
          <w:noProof/>
        </w:rPr>
        <w:t>(9)</w:t>
      </w:r>
      <w:r w:rsidRPr="00AC54C7">
        <w:rPr>
          <w:noProof/>
        </w:rPr>
        <w:tab/>
      </w:r>
      <w:r w:rsidR="009713B0" w:rsidRPr="00F76557">
        <w:rPr>
          <w:noProof/>
        </w:rPr>
        <w:t>EBI dėl techninių įgyvendinimo standartų projektų, kuriais pagrįstas šis reglamentas, surengė atviras viešas konsultacijas, išnagrinėjo galimas susijusias sąnaudas ir naudą ir paprašė Bankininkystės suinteresuotųjų subjektų grupės, įsteigtos pagal Europos Parlamento ir Tarybos reglamento (ES) Nr. 1093/2010 37 straipsnį, pateikti savo nuomonę</w:t>
      </w:r>
      <w:r w:rsidR="009713B0" w:rsidRPr="00F76557">
        <w:rPr>
          <w:rStyle w:val="FootnoteReference"/>
          <w:noProof/>
        </w:rPr>
        <w:footnoteReference w:id="4"/>
      </w:r>
      <w:r w:rsidR="009713B0" w:rsidRPr="00F76557">
        <w:rPr>
          <w:noProof/>
        </w:rPr>
        <w:t>,</w:t>
      </w:r>
    </w:p>
    <w:p w:rsidR="009713B0" w:rsidRPr="00F76557" w:rsidRDefault="009713B0" w:rsidP="009713B0">
      <w:pPr>
        <w:pStyle w:val="Formuledadoption"/>
        <w:rPr>
          <w:noProof/>
        </w:rPr>
      </w:pPr>
      <w:r w:rsidRPr="00F76557">
        <w:rPr>
          <w:noProof/>
        </w:rPr>
        <w:t>PRIĖMĖ ŠĮ REGLAMENTĄ:</w:t>
      </w:r>
    </w:p>
    <w:p w:rsidR="009713B0" w:rsidRPr="00F76557" w:rsidRDefault="009713B0" w:rsidP="009713B0">
      <w:pPr>
        <w:pStyle w:val="Titrearticle"/>
        <w:rPr>
          <w:noProof/>
        </w:rPr>
      </w:pPr>
      <w:r w:rsidRPr="00F76557">
        <w:rPr>
          <w:noProof/>
        </w:rPr>
        <w:t>1 straipsnis</w:t>
      </w:r>
    </w:p>
    <w:p w:rsidR="009713B0" w:rsidRPr="00F76557" w:rsidRDefault="009713B0" w:rsidP="009713B0">
      <w:pPr>
        <w:jc w:val="center"/>
        <w:rPr>
          <w:b/>
          <w:bCs/>
          <w:noProof/>
        </w:rPr>
      </w:pPr>
      <w:r w:rsidRPr="00F76557">
        <w:rPr>
          <w:b/>
          <w:noProof/>
        </w:rPr>
        <w:t>Informacijos apie mokesčių lygį teikimas</w:t>
      </w:r>
    </w:p>
    <w:p w:rsidR="009713B0" w:rsidRPr="00F76557" w:rsidRDefault="009713B0" w:rsidP="009713B0">
      <w:pPr>
        <w:pStyle w:val="Point0"/>
        <w:rPr>
          <w:noProof/>
        </w:rPr>
      </w:pPr>
      <w:r w:rsidRPr="00F76557">
        <w:rPr>
          <w:noProof/>
        </w:rPr>
        <w:t>1.</w:t>
      </w:r>
      <w:r w:rsidRPr="00F76557">
        <w:rPr>
          <w:noProof/>
        </w:rPr>
        <w:tab/>
        <w:t>MPT praneša apie mokesčių už kredito pervedimus, momentinius kredito pervedimus ir mokėjimo sąskaitas lygį, pateikdami informaciją, nurodytą I priede pateiktuose 1.1, 1.2, 2.1, 2.2 ir 3 šablonuose, pagal II priede pateiktus nurodymus.</w:t>
      </w:r>
    </w:p>
    <w:p w:rsidR="009713B0" w:rsidRPr="00F76557" w:rsidRDefault="009713B0" w:rsidP="009713B0">
      <w:pPr>
        <w:pStyle w:val="Point0"/>
        <w:rPr>
          <w:noProof/>
        </w:rPr>
      </w:pPr>
      <w:r w:rsidRPr="00F76557">
        <w:rPr>
          <w:noProof/>
        </w:rPr>
        <w:t>2.</w:t>
      </w:r>
      <w:r w:rsidRPr="00F76557">
        <w:rPr>
          <w:noProof/>
        </w:rPr>
        <w:tab/>
        <w:t>MPT pateikia bendrus metinius duomenis už laikotarpį iki kalendorinių metų, einančių prieš metus, kuriais pateikiama ataskaita, gruodžio 31 d.</w:t>
      </w:r>
    </w:p>
    <w:p w:rsidR="009713B0" w:rsidRPr="00F76557" w:rsidRDefault="009713B0" w:rsidP="009713B0">
      <w:pPr>
        <w:pStyle w:val="Point0"/>
        <w:rPr>
          <w:noProof/>
        </w:rPr>
      </w:pPr>
      <w:r w:rsidRPr="00F76557">
        <w:rPr>
          <w:noProof/>
        </w:rPr>
        <w:t>3.</w:t>
      </w:r>
      <w:r w:rsidRPr="00F76557">
        <w:rPr>
          <w:noProof/>
        </w:rPr>
        <w:tab/>
        <w:t>Nukrypstant nuo 2 dalies, pirmoje suderintoje ataskaitoje pateikiami kiekvienų metų, einančių prieš metus, kuriais pateikiama ataskaita, pradedant 2022 m. laikotarpiu nuo 2022 m. spalio 26 d. iki 2022 m. gruodžio 31 d., bendri duomenys.</w:t>
      </w:r>
    </w:p>
    <w:p w:rsidR="009713B0" w:rsidRPr="00F76557" w:rsidRDefault="009713B0" w:rsidP="009713B0">
      <w:pPr>
        <w:pStyle w:val="Titrearticle"/>
        <w:rPr>
          <w:noProof/>
        </w:rPr>
      </w:pPr>
      <w:r w:rsidRPr="00F76557">
        <w:rPr>
          <w:noProof/>
        </w:rPr>
        <w:t>2 straipsnis</w:t>
      </w:r>
    </w:p>
    <w:p w:rsidR="009713B0" w:rsidRPr="00F76557" w:rsidRDefault="009713B0" w:rsidP="009713B0">
      <w:pPr>
        <w:jc w:val="center"/>
        <w:rPr>
          <w:b/>
          <w:bCs/>
          <w:noProof/>
        </w:rPr>
      </w:pPr>
      <w:r w:rsidRPr="00F76557">
        <w:rPr>
          <w:b/>
          <w:noProof/>
        </w:rPr>
        <w:t>Informacijos apie atmestų momentinių kredito pervedimo operacijų dalį teikimas ir ataskaitiniai laikotarpiai</w:t>
      </w:r>
    </w:p>
    <w:p w:rsidR="009713B0" w:rsidRPr="00F76557" w:rsidRDefault="009713B0" w:rsidP="009713B0">
      <w:pPr>
        <w:pStyle w:val="Point0"/>
        <w:rPr>
          <w:noProof/>
        </w:rPr>
      </w:pPr>
      <w:r w:rsidRPr="00F76557">
        <w:rPr>
          <w:noProof/>
        </w:rPr>
        <w:t>1.</w:t>
      </w:r>
      <w:r w:rsidRPr="00F76557">
        <w:rPr>
          <w:noProof/>
        </w:rPr>
        <w:tab/>
        <w:t>MPT teikia informaciją apie momentinių kredito pervedimo operacijų, kurios buvo atmestos dėl tikslinių finansinių ribojamųjų priemonių, kaip nurodyta Reglamento (ES) Nr. 260/2012 15 straipsnio 3 dalyje, dalį, įskaitant atskirus nacionalinių ir tarptautinių operacijų duomenis, pateikdami I priedo 4 šablone nurodytą informaciją ir laikydamiesi II priede pateiktų nurodymų.</w:t>
      </w:r>
    </w:p>
    <w:p w:rsidR="009713B0" w:rsidRPr="00F76557" w:rsidRDefault="009713B0" w:rsidP="009713B0">
      <w:pPr>
        <w:pStyle w:val="Point0"/>
        <w:rPr>
          <w:noProof/>
        </w:rPr>
      </w:pPr>
      <w:r w:rsidRPr="00F76557">
        <w:rPr>
          <w:noProof/>
        </w:rPr>
        <w:t>2.</w:t>
      </w:r>
      <w:r w:rsidRPr="00F76557">
        <w:rPr>
          <w:noProof/>
        </w:rPr>
        <w:tab/>
        <w:t>Ataskaitose nurodomas atmestų operacijų skaičius per kalendorinius metus, einančius prieš metus, kuriais teikiama informacija.</w:t>
      </w:r>
    </w:p>
    <w:p w:rsidR="00AD7B15" w:rsidRPr="00F76557" w:rsidRDefault="009713B0" w:rsidP="009713B0">
      <w:pPr>
        <w:pStyle w:val="Point0"/>
        <w:rPr>
          <w:noProof/>
        </w:rPr>
      </w:pPr>
      <w:r w:rsidRPr="00F76557">
        <w:rPr>
          <w:noProof/>
        </w:rPr>
        <w:t>3.</w:t>
      </w:r>
      <w:r w:rsidRPr="00F76557">
        <w:rPr>
          <w:noProof/>
        </w:rPr>
        <w:tab/>
        <w:t>Nukrypstant nuo 2 dalies, pirmoje suderintoje ataskaitoje pateikiami kiekvienų metų, einančių prieš metus, kuriais pateikiama ataskaita, pradedant 2022 m. laikotarpiu nuo 2022 m. spalio 26 d. iki 2022 m. gruodžio 31 d., užpildyti atmestų operacijų skaičiaus šablonai.</w:t>
      </w:r>
    </w:p>
    <w:p w:rsidR="00AD7B15" w:rsidRPr="00F76557" w:rsidRDefault="00AD7B15">
      <w:pPr>
        <w:spacing w:before="0" w:after="200" w:line="276" w:lineRule="auto"/>
        <w:jc w:val="left"/>
        <w:rPr>
          <w:noProof/>
        </w:rPr>
      </w:pPr>
      <w:r w:rsidRPr="00F76557">
        <w:rPr>
          <w:noProof/>
        </w:rPr>
        <w:br w:type="page"/>
      </w:r>
    </w:p>
    <w:p w:rsidR="009713B0" w:rsidRPr="00F76557" w:rsidRDefault="009713B0" w:rsidP="009713B0">
      <w:pPr>
        <w:pStyle w:val="Titrearticle"/>
        <w:rPr>
          <w:noProof/>
        </w:rPr>
      </w:pPr>
      <w:r w:rsidRPr="00F76557">
        <w:rPr>
          <w:noProof/>
        </w:rPr>
        <w:t>3 straipsnis</w:t>
      </w:r>
    </w:p>
    <w:p w:rsidR="009713B0" w:rsidRPr="00F76557" w:rsidRDefault="009713B0" w:rsidP="009713B0">
      <w:pPr>
        <w:jc w:val="center"/>
        <w:rPr>
          <w:b/>
          <w:bCs/>
          <w:noProof/>
        </w:rPr>
      </w:pPr>
      <w:r w:rsidRPr="00F76557">
        <w:rPr>
          <w:b/>
          <w:noProof/>
        </w:rPr>
        <w:t>Keitimosi duomenimis formatai ir prie teikiamos informacijos pridedami duomenys</w:t>
      </w:r>
    </w:p>
    <w:p w:rsidR="009713B0" w:rsidRPr="00F76557" w:rsidRDefault="009713B0" w:rsidP="009713B0">
      <w:pPr>
        <w:rPr>
          <w:noProof/>
        </w:rPr>
      </w:pPr>
      <w:r w:rsidRPr="00F76557">
        <w:rPr>
          <w:noProof/>
        </w:rPr>
        <w:t>MPT šio reglamento 1 ir 2 straipsniuose nurodytą informaciją pateikia kompetentingų institucijų nustatytais keitimosi duomenimis formatais ir pateikimo būdais, laikydamiesi EBI interneto svetainėje pateiktų duomenų vieneto apibrėžties, įtrauktos į duomenų vienetų modelį, ir patvirtinimo formulių. MPT turi laikytis šių specifikacijų:</w:t>
      </w:r>
    </w:p>
    <w:p w:rsidR="009713B0" w:rsidRPr="00F76557" w:rsidRDefault="00AC54C7" w:rsidP="00AC54C7">
      <w:pPr>
        <w:pStyle w:val="Point0"/>
        <w:rPr>
          <w:noProof/>
        </w:rPr>
      </w:pPr>
      <w:r w:rsidRPr="00AC54C7">
        <w:rPr>
          <w:noProof/>
        </w:rPr>
        <w:t>(a)</w:t>
      </w:r>
      <w:r w:rsidRPr="00AC54C7">
        <w:rPr>
          <w:noProof/>
        </w:rPr>
        <w:tab/>
      </w:r>
      <w:r w:rsidR="009713B0" w:rsidRPr="00F76557">
        <w:rPr>
          <w:noProof/>
        </w:rPr>
        <w:t>nereikalaujama arba netaikoma informacija į pateikiamus duomenis neįtraukiama;</w:t>
      </w:r>
    </w:p>
    <w:p w:rsidR="009713B0" w:rsidRPr="00F76557" w:rsidRDefault="00AC54C7" w:rsidP="00AC54C7">
      <w:pPr>
        <w:pStyle w:val="Point0"/>
        <w:rPr>
          <w:noProof/>
        </w:rPr>
      </w:pPr>
      <w:r w:rsidRPr="00AC54C7">
        <w:rPr>
          <w:noProof/>
        </w:rPr>
        <w:t>(b)</w:t>
      </w:r>
      <w:r w:rsidRPr="00AC54C7">
        <w:rPr>
          <w:noProof/>
        </w:rPr>
        <w:tab/>
      </w:r>
      <w:r w:rsidR="009713B0" w:rsidRPr="00F76557">
        <w:rPr>
          <w:noProof/>
        </w:rPr>
        <w:t>skaitinės reikšmės pateikiamos taip:</w:t>
      </w:r>
    </w:p>
    <w:p w:rsidR="009713B0" w:rsidRPr="00F76557" w:rsidRDefault="0055071E" w:rsidP="009713B0">
      <w:pPr>
        <w:pStyle w:val="Point1"/>
        <w:rPr>
          <w:noProof/>
        </w:rPr>
      </w:pPr>
      <w:r w:rsidRPr="00F76557">
        <w:rPr>
          <w:noProof/>
        </w:rPr>
        <w:t>i)</w:t>
      </w:r>
      <w:r w:rsidRPr="00F76557">
        <w:rPr>
          <w:noProof/>
        </w:rPr>
        <w:tab/>
        <w:t>MPT nurodo duomenų vienetus, kurių duomenų rūšis yra „piniginė vertė“, mažiausiai tūkstančių vienetų tikslumu;</w:t>
      </w:r>
    </w:p>
    <w:p w:rsidR="009713B0" w:rsidRPr="00F76557" w:rsidRDefault="0055071E" w:rsidP="009713B0">
      <w:pPr>
        <w:pStyle w:val="Point1"/>
        <w:rPr>
          <w:noProof/>
        </w:rPr>
      </w:pPr>
      <w:r w:rsidRPr="00F76557">
        <w:rPr>
          <w:noProof/>
        </w:rPr>
        <w:t>ii)</w:t>
      </w:r>
      <w:r w:rsidRPr="00F76557">
        <w:rPr>
          <w:noProof/>
        </w:rPr>
        <w:tab/>
        <w:t>nurodydami duomenų vienetus, kurių duomenų rūšis yra „sveikasis skaičius“, MPT juos pateikia vienetų tikslumu, nenaudodami dešimtainių skaičių.</w:t>
      </w:r>
    </w:p>
    <w:p w:rsidR="009713B0" w:rsidRPr="00F76557" w:rsidRDefault="009713B0" w:rsidP="009713B0">
      <w:pPr>
        <w:pStyle w:val="Titrearticle"/>
        <w:rPr>
          <w:noProof/>
        </w:rPr>
      </w:pPr>
      <w:r w:rsidRPr="00F76557">
        <w:rPr>
          <w:noProof/>
        </w:rPr>
        <w:t>4 straipsnis</w:t>
      </w:r>
    </w:p>
    <w:p w:rsidR="009713B0" w:rsidRPr="00F76557" w:rsidRDefault="009713B0" w:rsidP="009713B0">
      <w:pPr>
        <w:jc w:val="center"/>
        <w:rPr>
          <w:noProof/>
        </w:rPr>
      </w:pPr>
      <w:r w:rsidRPr="00F76557">
        <w:rPr>
          <w:b/>
          <w:noProof/>
        </w:rPr>
        <w:t>Įsigaliojimas</w:t>
      </w:r>
    </w:p>
    <w:p w:rsidR="009713B0" w:rsidRPr="00F76557" w:rsidRDefault="009713B0" w:rsidP="009713B0">
      <w:pPr>
        <w:rPr>
          <w:noProof/>
        </w:rPr>
      </w:pPr>
      <w:r w:rsidRPr="00F76557">
        <w:rPr>
          <w:noProof/>
        </w:rPr>
        <w:t xml:space="preserve">Šis reglamentas įsigalioja dvidešimtą dieną po jo paskelbimo </w:t>
      </w:r>
      <w:r w:rsidRPr="00F76557">
        <w:rPr>
          <w:i/>
          <w:noProof/>
        </w:rPr>
        <w:t>Europos Sąjungos oficialiajame leidinyje</w:t>
      </w:r>
      <w:r w:rsidRPr="00F76557">
        <w:rPr>
          <w:noProof/>
        </w:rPr>
        <w:t>.</w:t>
      </w:r>
    </w:p>
    <w:p w:rsidR="009713B0" w:rsidRPr="00F76557" w:rsidRDefault="009713B0" w:rsidP="009713B0">
      <w:pPr>
        <w:pStyle w:val="Applicationdirecte"/>
        <w:rPr>
          <w:noProof/>
        </w:rPr>
      </w:pPr>
      <w:r w:rsidRPr="00F76557">
        <w:rPr>
          <w:noProof/>
        </w:rPr>
        <w:t>Šis reglamentas privalomas visas ir tiesiogiai taikomas visose valstybėse narėse.</w:t>
      </w:r>
    </w:p>
    <w:p w:rsidR="009713B0" w:rsidRPr="00F76557" w:rsidRDefault="00DA1CCE" w:rsidP="000E24F9">
      <w:pPr>
        <w:pStyle w:val="Fait"/>
        <w:rPr>
          <w:noProof/>
        </w:rPr>
      </w:pPr>
      <w:r>
        <w:rPr>
          <w:noProof/>
        </w:rPr>
        <w:t>Priimta Briuselyje 2025 10 01</w:t>
      </w:r>
    </w:p>
    <w:p w:rsidR="009713B0" w:rsidRPr="00F76557" w:rsidRDefault="009713B0" w:rsidP="000E24F9">
      <w:pPr>
        <w:pStyle w:val="Institutionquisigne"/>
        <w:rPr>
          <w:noProof/>
        </w:rPr>
      </w:pPr>
      <w:r w:rsidRPr="00F76557">
        <w:rPr>
          <w:noProof/>
        </w:rPr>
        <w:tab/>
        <w:t>Komisijos vardu</w:t>
      </w:r>
    </w:p>
    <w:p w:rsidR="00FE7FED" w:rsidRPr="00F76557" w:rsidRDefault="004625AB" w:rsidP="009713B0">
      <w:pPr>
        <w:pStyle w:val="Personnequisigne"/>
        <w:rPr>
          <w:noProof/>
        </w:rPr>
      </w:pPr>
      <w:r>
        <w:rPr>
          <w:noProof/>
        </w:rPr>
        <w:tab/>
        <w:t>Pirmininkė</w:t>
      </w:r>
      <w:r>
        <w:rPr>
          <w:noProof/>
        </w:rPr>
        <w:br/>
      </w:r>
      <w:r>
        <w:rPr>
          <w:noProof/>
        </w:rPr>
        <w:tab/>
        <w:t>Ursula VON DER LEYEN</w:t>
      </w:r>
    </w:p>
    <w:sectPr w:rsidR="00FE7FED" w:rsidRPr="00F76557" w:rsidSect="000F1262">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Pr="000F1262" w:rsidRDefault="000F1262" w:rsidP="000F1262">
    <w:pPr>
      <w:pStyle w:val="Footer"/>
      <w:rPr>
        <w:rFonts w:ascii="Arial" w:hAnsi="Arial" w:cs="Arial"/>
        <w:b/>
        <w:sz w:val="48"/>
      </w:rPr>
    </w:pPr>
    <w:r w:rsidRPr="000F1262">
      <w:rPr>
        <w:rFonts w:ascii="Arial" w:hAnsi="Arial" w:cs="Arial"/>
        <w:b/>
        <w:sz w:val="48"/>
      </w:rPr>
      <w:t>LT</w:t>
    </w:r>
    <w:r w:rsidRPr="000F1262">
      <w:rPr>
        <w:rFonts w:ascii="Arial" w:hAnsi="Arial" w:cs="Arial"/>
        <w:b/>
        <w:sz w:val="48"/>
      </w:rPr>
      <w:tab/>
    </w:r>
    <w:r w:rsidRPr="000F1262">
      <w:rPr>
        <w:rFonts w:ascii="Arial" w:hAnsi="Arial" w:cs="Arial"/>
        <w:b/>
        <w:sz w:val="48"/>
      </w:rPr>
      <w:tab/>
    </w:r>
    <w:r w:rsidRPr="000F1262">
      <w:tab/>
    </w:r>
    <w:r w:rsidRPr="000F1262">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Pr="000F1262" w:rsidRDefault="000F1262" w:rsidP="000F1262">
    <w:pPr>
      <w:pStyle w:val="Footer"/>
      <w:rPr>
        <w:rFonts w:ascii="Arial" w:hAnsi="Arial" w:cs="Arial"/>
        <w:b/>
        <w:sz w:val="48"/>
      </w:rPr>
    </w:pPr>
    <w:r w:rsidRPr="000F1262">
      <w:rPr>
        <w:rFonts w:ascii="Arial" w:hAnsi="Arial" w:cs="Arial"/>
        <w:b/>
        <w:sz w:val="48"/>
      </w:rPr>
      <w:t>LT</w:t>
    </w:r>
    <w:r w:rsidRPr="000F1262">
      <w:rPr>
        <w:rFonts w:ascii="Arial" w:hAnsi="Arial" w:cs="Arial"/>
        <w:b/>
        <w:sz w:val="48"/>
      </w:rPr>
      <w:tab/>
    </w:r>
    <w:r w:rsidRPr="000F1262">
      <w:rPr>
        <w:rFonts w:ascii="Arial" w:hAnsi="Arial" w:cs="Arial"/>
        <w:b/>
        <w:sz w:val="48"/>
      </w:rPr>
      <w:tab/>
    </w:r>
    <w:r w:rsidRPr="000F1262">
      <w:tab/>
    </w:r>
    <w:r w:rsidRPr="000F1262">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Pr="000F1262" w:rsidRDefault="000F1262" w:rsidP="000F12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Default="000F126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Pr="000F1262" w:rsidRDefault="000F1262" w:rsidP="000F1262">
    <w:pPr>
      <w:pStyle w:val="Footer"/>
      <w:rPr>
        <w:rFonts w:ascii="Arial" w:hAnsi="Arial" w:cs="Arial"/>
        <w:b/>
        <w:sz w:val="48"/>
      </w:rPr>
    </w:pPr>
    <w:r w:rsidRPr="000F1262">
      <w:rPr>
        <w:rFonts w:ascii="Arial" w:hAnsi="Arial" w:cs="Arial"/>
        <w:b/>
        <w:sz w:val="48"/>
      </w:rPr>
      <w:t>LT</w:t>
    </w:r>
    <w:r w:rsidRPr="000F1262">
      <w:rPr>
        <w:rFonts w:ascii="Arial" w:hAnsi="Arial" w:cs="Arial"/>
        <w:b/>
        <w:sz w:val="48"/>
      </w:rPr>
      <w:tab/>
    </w:r>
    <w:r>
      <w:fldChar w:fldCharType="begin"/>
    </w:r>
    <w:r>
      <w:instrText xml:space="preserve"> PAGE  \* MERGEFORMAT </w:instrText>
    </w:r>
    <w:r>
      <w:fldChar w:fldCharType="separate"/>
    </w:r>
    <w:r w:rsidR="000E24F9">
      <w:rPr>
        <w:noProof/>
      </w:rPr>
      <w:t>4</w:t>
    </w:r>
    <w:r>
      <w:fldChar w:fldCharType="end"/>
    </w:r>
    <w:r>
      <w:tab/>
    </w:r>
    <w:r w:rsidRPr="000F1262">
      <w:tab/>
    </w:r>
    <w:r w:rsidRPr="000F1262">
      <w:rPr>
        <w:rFonts w:ascii="Arial" w:hAnsi="Arial" w:cs="Arial"/>
        <w:b/>
        <w:sz w:val="48"/>
      </w:rPr>
      <w:t>LT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Default="000F1262" w:rsidP="000F12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OL L 94, 2012 3 30, p. 22, ELI: http://data.europa.eu/eli/reg/2012/260/oj. </w:t>
      </w:r>
    </w:p>
  </w:footnote>
  <w:footnote w:id="3">
    <w:p w:rsidR="00AD7B15" w:rsidRPr="00AD7B15" w:rsidRDefault="00AD7B15" w:rsidP="00D05942">
      <w:pPr>
        <w:pStyle w:val="FootnoteText"/>
        <w:ind w:left="0" w:firstLine="0"/>
      </w:pPr>
      <w:r>
        <w:rPr>
          <w:rStyle w:val="FootnoteReference"/>
        </w:rPr>
        <w:footnoteRef/>
      </w:r>
      <w:r>
        <w:tab/>
        <w:t>2024 m. kovo 13 d. Europos Parlamento ir Tarybos reglamentas (ES) 2024/886, kuriuo iš dalies keičiami reglamentai (ES) Nr. 260/2012 bei (ES) 2021/1230 ir direktyvos 98/26/EB bei (ES) 2015/2366, kiek tai susiję su momentiniais kredito pervedimais eurais, (OL L, 2024/886, 2024 3 19, ELI: http://data.europa.eu/eli/reg/2024/886/oj).</w:t>
      </w:r>
    </w:p>
  </w:footnote>
  <w:footnote w:id="4">
    <w:p w:rsidR="009713B0" w:rsidRPr="00AD7B15" w:rsidRDefault="009713B0" w:rsidP="009713B0">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Pr="000F1262" w:rsidRDefault="000F1262" w:rsidP="000F12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Pr="000F1262" w:rsidRDefault="000F1262" w:rsidP="000F12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Pr="000F1262" w:rsidRDefault="000F1262" w:rsidP="000F126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Default="000F126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262" w:rsidRDefault="000F12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3:1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E1814ED-0514-4025-B545-97D59664DDEE"/>
    <w:docVar w:name="LW_COVERPAGE_TYPE" w:val="1"/>
    <w:docVar w:name="LW_CreatedUtc" w:val="2025-02-25T08:25:43.0388982Z"/>
    <w:docVar w:name="LW_CROSSREFERENCE" w:val="&lt;UNUSED&gt;"/>
    <w:docVar w:name="LW_DATE.ADOPT.CP" w:val="2025 10 01"/>
    <w:docVar w:name="LW_DATE.ADOPT.CP_DATEFORMAT" w:val="%DATE%"/>
    <w:docVar w:name="LW_DATE.ADOPT.CP_ISODATE" w:val="2025-10-01"/>
    <w:docVar w:name="LW_DocType" w:val="COM"/>
    <w:docVar w:name="LW_EMISSION" w:val="2025 10 01"/>
    <w:docVar w:name="LW_EMISSION_ISODATE" w:val="2025-10-01"/>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CP" w:val="&lt;UNUSED&gt;"/>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uriuo nustatomi Europos Parlamento ir Tarybos reglamento (ES) Nr. 260/2012 taikymo techniniai \u303?gyvendinimo standartai, susij\u281? su vienodais ataskait\u371? d\u279?l mokes\u269?i\u371? u\u382? kredito pervedimus, momentinius kredito pervedimus ir mok\u279?jimo s\u261?skaitas lygio ir atmest\u371? operacij\u371? dalies \u353?ablonais, nurodymais ir metodika"/>
    <w:docVar w:name="LW_TYPE.DOC.CP" w:val="KOMISIJOS \u302?GYVENDINIMO REGLAMENTAS (ES) \u8230?/..."/>
    <w:docVar w:name="LwApiVersions" w:val="LW4CoDe 1.24.5.0; LW 9.0, Build 20240221"/>
  </w:docVars>
  <w:rsids>
    <w:rsidRoot w:val="00FE7FED"/>
    <w:rsid w:val="00001BC7"/>
    <w:rsid w:val="000066ED"/>
    <w:rsid w:val="000068B4"/>
    <w:rsid w:val="000079A5"/>
    <w:rsid w:val="00014C12"/>
    <w:rsid w:val="00016168"/>
    <w:rsid w:val="00022E4F"/>
    <w:rsid w:val="00025818"/>
    <w:rsid w:val="0002592C"/>
    <w:rsid w:val="0002598B"/>
    <w:rsid w:val="00033F48"/>
    <w:rsid w:val="000373AB"/>
    <w:rsid w:val="000421B5"/>
    <w:rsid w:val="00042488"/>
    <w:rsid w:val="0004347B"/>
    <w:rsid w:val="0004692E"/>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24F9"/>
    <w:rsid w:val="000E50E2"/>
    <w:rsid w:val="000E7CB2"/>
    <w:rsid w:val="000F0AA0"/>
    <w:rsid w:val="000F1262"/>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5BDE"/>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2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3199"/>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552F"/>
    <w:rsid w:val="0042648E"/>
    <w:rsid w:val="00427029"/>
    <w:rsid w:val="00427E22"/>
    <w:rsid w:val="00431B0E"/>
    <w:rsid w:val="00432F41"/>
    <w:rsid w:val="0043372F"/>
    <w:rsid w:val="004425F3"/>
    <w:rsid w:val="004442AF"/>
    <w:rsid w:val="00444B3C"/>
    <w:rsid w:val="0045254B"/>
    <w:rsid w:val="00452C9A"/>
    <w:rsid w:val="00455F8A"/>
    <w:rsid w:val="00456126"/>
    <w:rsid w:val="00460097"/>
    <w:rsid w:val="00461F43"/>
    <w:rsid w:val="004625AB"/>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C67AB"/>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DD4"/>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2ECD"/>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30EF"/>
    <w:rsid w:val="00847508"/>
    <w:rsid w:val="008525C0"/>
    <w:rsid w:val="008539B4"/>
    <w:rsid w:val="008553FF"/>
    <w:rsid w:val="00863777"/>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B94"/>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557"/>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A36E7"/>
    <w:rsid w:val="009B28D4"/>
    <w:rsid w:val="009C1173"/>
    <w:rsid w:val="009C6440"/>
    <w:rsid w:val="009C69FE"/>
    <w:rsid w:val="009D1DF0"/>
    <w:rsid w:val="009D60FA"/>
    <w:rsid w:val="009D7A56"/>
    <w:rsid w:val="009E1471"/>
    <w:rsid w:val="009E14C2"/>
    <w:rsid w:val="009E1AC1"/>
    <w:rsid w:val="009E4560"/>
    <w:rsid w:val="009F1CCA"/>
    <w:rsid w:val="009F2458"/>
    <w:rsid w:val="009F4AC9"/>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54C7"/>
    <w:rsid w:val="00AC67B2"/>
    <w:rsid w:val="00AD6EF4"/>
    <w:rsid w:val="00AD7992"/>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0F8"/>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6EE"/>
    <w:rsid w:val="00D6777E"/>
    <w:rsid w:val="00D70B60"/>
    <w:rsid w:val="00D7463F"/>
    <w:rsid w:val="00D76A56"/>
    <w:rsid w:val="00D825B6"/>
    <w:rsid w:val="00D82CC1"/>
    <w:rsid w:val="00D87245"/>
    <w:rsid w:val="00D87300"/>
    <w:rsid w:val="00D90E08"/>
    <w:rsid w:val="00DA1CCE"/>
    <w:rsid w:val="00DB0501"/>
    <w:rsid w:val="00DB250A"/>
    <w:rsid w:val="00DB3C35"/>
    <w:rsid w:val="00DB3D14"/>
    <w:rsid w:val="00DB6B05"/>
    <w:rsid w:val="00DC04AA"/>
    <w:rsid w:val="00DC24AC"/>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423D"/>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5CB0"/>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76557"/>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lt-LT"/>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0F1262"/>
    <w:rPr>
      <w:rFonts w:ascii="Times New Roman" w:hAnsi="Times New Roman" w:cs="Times New Roman"/>
      <w:sz w:val="24"/>
      <w:lang w:val="lt-LT"/>
    </w:rPr>
  </w:style>
  <w:style w:type="character" w:customStyle="1" w:styleId="FooterChar">
    <w:name w:val="Footer Char"/>
    <w:basedOn w:val="DefaultParagraphFont"/>
    <w:link w:val="Footer"/>
    <w:uiPriority w:val="99"/>
    <w:rsid w:val="000F1262"/>
    <w:rPr>
      <w:rFonts w:ascii="Times New Roman" w:hAnsi="Times New Roman" w:cs="Times New Roman"/>
      <w:sz w:val="24"/>
      <w:lang w:val="lt-L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0F126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F1262"/>
    <w:pPr>
      <w:spacing w:before="0"/>
      <w:jc w:val="right"/>
    </w:pPr>
    <w:rPr>
      <w:sz w:val="28"/>
    </w:rPr>
  </w:style>
  <w:style w:type="paragraph" w:customStyle="1" w:styleId="FooterSensitivity">
    <w:name w:val="Footer Sensitivity"/>
    <w:basedOn w:val="Normal"/>
    <w:rsid w:val="000F126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0F1262"/>
    <w:pPr>
      <w:tabs>
        <w:tab w:val="center" w:pos="4535"/>
        <w:tab w:val="right" w:pos="9071"/>
      </w:tabs>
      <w:spacing w:before="0"/>
    </w:pPr>
  </w:style>
  <w:style w:type="paragraph" w:customStyle="1" w:styleId="HeaderLandscape">
    <w:name w:val="HeaderLandscape"/>
    <w:basedOn w:val="Normal"/>
    <w:rsid w:val="000F1262"/>
    <w:pPr>
      <w:tabs>
        <w:tab w:val="center" w:pos="7285"/>
        <w:tab w:val="right" w:pos="14003"/>
      </w:tabs>
      <w:spacing w:before="0"/>
    </w:pPr>
  </w:style>
  <w:style w:type="paragraph" w:styleId="Footer">
    <w:name w:val="footer"/>
    <w:basedOn w:val="Normal"/>
    <w:link w:val="FooterChar"/>
    <w:uiPriority w:val="99"/>
    <w:unhideWhenUsed/>
    <w:rsid w:val="000F1262"/>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0F1262"/>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4.xml><?xml version="1.0" encoding="utf-8"?>
<ds:datastoreItem xmlns:ds="http://schemas.openxmlformats.org/officeDocument/2006/customXml" ds:itemID="{ABAD05EF-416F-4CF4-A5AB-5215A4CEA5D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7</TotalTime>
  <Pages>5</Pages>
  <Words>1426</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34</cp:revision>
  <cp:lastPrinted>2025-05-08T07:59:00Z</cp:lastPrinted>
  <dcterms:created xsi:type="dcterms:W3CDTF">2025-09-16T13:52:00Z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