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7215A1" w:rsidRDefault="00C63D9D" w:rsidP="00C63D9D">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CD65B4CF-1A10-498E-9FB4-F59F28E0B6DA" style="width:455.25pt;height:383.25pt">
            <v:imagedata r:id="rId11" o:title=""/>
          </v:shape>
        </w:pict>
      </w:r>
    </w:p>
    <w:p w:rsidR="00FE7FED" w:rsidRPr="007215A1" w:rsidRDefault="00FE7FED">
      <w:pPr>
        <w:rPr>
          <w:noProof/>
        </w:rPr>
        <w:sectPr w:rsidR="00FE7FED" w:rsidRPr="007215A1" w:rsidSect="00C63D9D">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7215A1" w:rsidRDefault="00774206" w:rsidP="00774206">
      <w:pPr>
        <w:pStyle w:val="Typedudocument"/>
        <w:rPr>
          <w:noProof/>
        </w:rPr>
      </w:pPr>
      <w:bookmarkStart w:id="0" w:name="_GoBack"/>
      <w:bookmarkEnd w:id="0"/>
      <w:r w:rsidRPr="00774206">
        <w:rPr>
          <w:noProof/>
        </w:rPr>
        <w:lastRenderedPageBreak/>
        <w:t>A BIZOTTSÁG (EU) .../... VÉGREHAJTÁSI RENDELETE</w:t>
      </w:r>
    </w:p>
    <w:p w:rsidR="009713B0" w:rsidRPr="007215A1" w:rsidRDefault="006B0269" w:rsidP="00774206">
      <w:pPr>
        <w:pStyle w:val="Datedadoption"/>
        <w:rPr>
          <w:noProof/>
        </w:rPr>
      </w:pPr>
      <w:r>
        <w:rPr>
          <w:noProof/>
        </w:rPr>
        <w:t>(2025.10.1.)</w:t>
      </w:r>
    </w:p>
    <w:p w:rsidR="009713B0" w:rsidRPr="007215A1" w:rsidRDefault="00774206" w:rsidP="00774206">
      <w:pPr>
        <w:pStyle w:val="Titreobjet"/>
        <w:rPr>
          <w:noProof/>
        </w:rPr>
      </w:pPr>
      <w:r w:rsidRPr="00774206">
        <w:rPr>
          <w:noProof/>
        </w:rPr>
        <w:t>a 260/2012/EU európai parlamenti és tanácsi rendeletnek az átutalások, az azonnali átutalások és a fizetési számlák díjának mértékére, valamint az elutasított ügyletek arányára vonatkozó egységes adatszolgáltatási táblák, utasítások és módszertan tekintetében történő alkalmazására vonatkozó végrehajtás-technikai standardok megállapításáról</w:t>
      </w:r>
    </w:p>
    <w:p w:rsidR="009713B0" w:rsidRPr="007215A1" w:rsidRDefault="009713B0" w:rsidP="009713B0">
      <w:pPr>
        <w:pStyle w:val="Institutionquiagit"/>
        <w:rPr>
          <w:noProof/>
        </w:rPr>
      </w:pPr>
      <w:r w:rsidRPr="007215A1">
        <w:rPr>
          <w:noProof/>
        </w:rPr>
        <w:t>AZ EURÓPAI BIZOTTSÁG,</w:t>
      </w:r>
    </w:p>
    <w:p w:rsidR="009713B0" w:rsidRPr="007215A1" w:rsidRDefault="009713B0" w:rsidP="009713B0">
      <w:pPr>
        <w:rPr>
          <w:noProof/>
          <w:color w:val="000000"/>
        </w:rPr>
      </w:pPr>
      <w:r w:rsidRPr="007215A1">
        <w:rPr>
          <w:noProof/>
          <w:color w:val="000000"/>
        </w:rPr>
        <w:t>tekintettel az Európai Unió működéséről szóló szerződésre,</w:t>
      </w:r>
    </w:p>
    <w:p w:rsidR="009713B0" w:rsidRPr="007215A1" w:rsidRDefault="009713B0" w:rsidP="009713B0">
      <w:pPr>
        <w:rPr>
          <w:noProof/>
          <w:color w:val="000000"/>
        </w:rPr>
      </w:pPr>
      <w:r w:rsidRPr="007215A1">
        <w:rPr>
          <w:noProof/>
          <w:color w:val="000000"/>
        </w:rPr>
        <w:t>tekintettel az euroátutalások és -beszedések technikai és üzleti követelményeinek megállapításáról és a 924/2009/EK rendelet módosításáról szóló, 2012. március 14-i 260/2012/EU európai parlamenti és tanácsi rendeletre</w:t>
      </w:r>
      <w:r w:rsidRPr="007215A1">
        <w:rPr>
          <w:rStyle w:val="FootnoteReference"/>
          <w:noProof/>
          <w:color w:val="000000"/>
        </w:rPr>
        <w:footnoteReference w:id="2"/>
      </w:r>
      <w:r w:rsidRPr="007215A1">
        <w:rPr>
          <w:noProof/>
          <w:color w:val="000000"/>
        </w:rPr>
        <w:t xml:space="preserve"> és különösen annak 15. cikke (5) bekezdésének harmadik albekezdésére,</w:t>
      </w:r>
    </w:p>
    <w:p w:rsidR="009713B0" w:rsidRPr="007215A1" w:rsidRDefault="009713B0" w:rsidP="009713B0">
      <w:pPr>
        <w:rPr>
          <w:noProof/>
        </w:rPr>
      </w:pPr>
      <w:r w:rsidRPr="007215A1">
        <w:rPr>
          <w:noProof/>
        </w:rPr>
        <w:t>mivel:</w:t>
      </w:r>
    </w:p>
    <w:p w:rsidR="00AC0006" w:rsidRPr="007215A1" w:rsidRDefault="00095F77" w:rsidP="00095F77">
      <w:pPr>
        <w:pStyle w:val="ManualConsidrant"/>
        <w:rPr>
          <w:noProof/>
        </w:rPr>
      </w:pPr>
      <w:r w:rsidRPr="00095F77">
        <w:rPr>
          <w:noProof/>
        </w:rPr>
        <w:t>(1)</w:t>
      </w:r>
      <w:r w:rsidRPr="00095F77">
        <w:rPr>
          <w:noProof/>
        </w:rPr>
        <w:tab/>
      </w:r>
      <w:r w:rsidR="00925CEE" w:rsidRPr="007215A1">
        <w:rPr>
          <w:noProof/>
        </w:rPr>
        <w:t>A 260/2012/EU rendelet 15. cikkének (3) bekezdése szerinti, a díjak mértékre vonatkozó adatszolgáltatásnak lehetővé kell tennie a Bizottság számára, hogy felmérje az említett rendelet 5b. cikkének (1) bekezdésében meghatározott, az azonnali átutalásokért felszámított díjakra, a fizetési számlák, a belföldi és a határokon átnyúló átutalások, valamint az euróban és a pénznemként nem az eurót használó tagállamok nemzeti pénznemében történő azonnali átutalások díjaira vonatkozó szabály hatását. A pénzforgalmi szolgáltatók (a továbbiakban: PSZ-k) által az átutalásokért – beleértve az azonnali átutalásokat is – felszámított díjak általában az érintett átutalás jellemzőitől függően eltérőek. Ilyen jellemző lehet a fizetéskezdeményezési csatorna típusa vagy az, hogy a pénzforgalmi szolgáltatást igénybe vevő (a továbbiakban: PIV), a fizető fél vagy a kedvezményezett fogyasztó-e vagy sem. Az indított átutalásokra vonatkozó adatszolgáltatásnak ezért tartalmaznia kell a belföldi és a határokon átnyúló átutalások, a PIV típusa és a fizetéskezdeményezési csatorna szerinti bontást.</w:t>
      </w:r>
    </w:p>
    <w:p w:rsidR="00F133B9" w:rsidRPr="007215A1" w:rsidRDefault="00095F77" w:rsidP="00095F77">
      <w:pPr>
        <w:pStyle w:val="ManualConsidrant"/>
        <w:rPr>
          <w:noProof/>
        </w:rPr>
      </w:pPr>
      <w:r w:rsidRPr="00095F77">
        <w:rPr>
          <w:noProof/>
        </w:rPr>
        <w:t>(2)</w:t>
      </w:r>
      <w:r w:rsidRPr="00095F77">
        <w:rPr>
          <w:noProof/>
        </w:rPr>
        <w:tab/>
      </w:r>
      <w:r w:rsidR="00914C54" w:rsidRPr="007215A1">
        <w:rPr>
          <w:noProof/>
        </w:rPr>
        <w:t xml:space="preserve">A PSZ-k dönthetnek úgy, hogy a díjakat az egyes ügyletekre határozzák meg, akár névértéken, akár az ügylet értékének százalékában kifejezve. A PSZ-k alternatív díjszabási struktúrákat is választhatnak, beleértve a különböző ügyletiérték-sávokon alapuló többszintű árképzést, vagy olyan megközelítéseket, amelyek szerint havonta bizonyos számú ügylet ingyenes, afelett pedig ügyletenként díjat alkalmaznak. Nem kívánatos, hogy a kereskedelmi gyakorlatok ilyen heterogenitása a 260/2012/EU rendelet 5b. cikkének (1) bekezdésében meghatározott, az azonnali átutalások díjaira vonatkozó szabály céljának megkerülését eredményezze. A rendszeres és azonnali átutalások díjainak mértékére vonatkozó adatszolgáltatásra szolgáló módszertannak lehetővé kell tennie a Bizottság számára, hogy a PSZ-k által szolgáltatott információkat egységes és összehasonlítható módon értékelje egy adott PSZ szintjén különböző időszakok között, valamint különböző PSZ-k között egy adott időpontban, annak ellenére, hogy a PSZ-k eltérő díjszabási módszereket alkalmaznak. Az adatszolgáltatásnak ezért tartalmaznia kell az átutalások – köztük az azonnali átutalások – nemzeti pénznemben meghatározott, összesített díjaira, volumenére és </w:t>
      </w:r>
      <w:r w:rsidR="00914C54" w:rsidRPr="007215A1">
        <w:rPr>
          <w:noProof/>
        </w:rPr>
        <w:lastRenderedPageBreak/>
        <w:t>értékére vonatkozó információkat. Az indított és fogadott átutalásokra vonatkozó adatszolgáltatásnak tartalmaznia kell a díjmentes és díjköteles átutalások szerinti bontást is.</w:t>
      </w:r>
    </w:p>
    <w:p w:rsidR="009713B0" w:rsidRPr="007215A1" w:rsidRDefault="00095F77" w:rsidP="00095F77">
      <w:pPr>
        <w:pStyle w:val="ManualConsidrant"/>
        <w:rPr>
          <w:noProof/>
        </w:rPr>
      </w:pPr>
      <w:r w:rsidRPr="00095F77">
        <w:rPr>
          <w:noProof/>
        </w:rPr>
        <w:t>(3)</w:t>
      </w:r>
      <w:r w:rsidRPr="00095F77">
        <w:rPr>
          <w:noProof/>
        </w:rPr>
        <w:tab/>
      </w:r>
      <w:r w:rsidR="004425F3" w:rsidRPr="007215A1">
        <w:rPr>
          <w:noProof/>
        </w:rPr>
        <w:t>A PSZ-knak a 260/2012/EU rendelet 15. cikkének (3) bekezdésében meghatározott adatszolgáltatási kötelezettségüknek a szervezet szintjén kell eleget tenniük. A pénzforgalmi statisztikák EKB-nak történő jelentésére vonatkozó megközelítéssel való összehangolás érdekében az anyavállalat tagállamától eltérő tagállamokban található PSZP fióktelepeknek saját adataikat a fogadó tagállam illetékes hatóságának kell benyújtaniuk, az anyavállalatoknak pedig a rájuk vonatkozó adatokat a székhelyük szerinti tagállam illetékes hatóságának kell jelenteniük.</w:t>
      </w:r>
    </w:p>
    <w:p w:rsidR="009713B0" w:rsidRPr="007215A1" w:rsidRDefault="00095F77" w:rsidP="00095F77">
      <w:pPr>
        <w:pStyle w:val="ManualConsidrant"/>
        <w:rPr>
          <w:noProof/>
        </w:rPr>
      </w:pPr>
      <w:r w:rsidRPr="00095F77">
        <w:rPr>
          <w:noProof/>
        </w:rPr>
        <w:t>(4)</w:t>
      </w:r>
      <w:r w:rsidRPr="00095F77">
        <w:rPr>
          <w:noProof/>
        </w:rPr>
        <w:tab/>
      </w:r>
      <w:r w:rsidR="000D1771" w:rsidRPr="007215A1">
        <w:rPr>
          <w:noProof/>
        </w:rPr>
        <w:t>A pénznemként nem az eurót használó tagállamokban található és PIV-ik számára rendszeres euroátutalások fogadására és indítására irányuló pénzforgalmi szolgáltatást kínáló PSZ-ek azonnali euroátutalások fogadására irányuló pénzforgalmi szolgáltatást legkésőbb 2027. január 9-től, azonnali euroátutalások indítására irányuló pénzforgalmi szolgáltatást pedig legkésőbb 2027. július 9-től kötelesek kínálni PIV-ik számára, a 260/2012/EU rendelet 5a. cikkének (8) bekezdésében meghatározottak szerint. Ezeknek a PSZ-knak az említett rendelet 5b. cikke (3) bekezdésének második albekezdésével összhangban 2027. január 9-ig meg kell felelniük a fizető feleknek és a kedvezményezetteknek az azonnali euróátutalások indításáért és fogadásáért felszámított díjakkal kapcsolatos kötelezettségeknek is. Annak érdekében, hogy a Bizottság a 260/2012/EU rendelet 15. cikke (2) bekezdésének a) pontja értelmében értékelni tudja az említett rendeletnek a pénznemként nem az eurót használó tagállamok nemzeti pénznemében denominált átutalások – beleértve az azonnali átutalásokat is – díjaira gyakorolt hatását, helyénvaló, hogy az említett tagállamokban található és a PIV-ik számára rendszeres euroátutalások fogadására és küldésére irányuló pénzforgalmi szolgáltatást kínáló PSZ-knak jelentést kell tenniük a nemzeti valutájukban és euróban denominált átutalások – köztük az azonnali átutalások – számáról, értékéről és díjairól.</w:t>
      </w:r>
    </w:p>
    <w:p w:rsidR="009713B0" w:rsidRPr="007215A1" w:rsidRDefault="00095F77" w:rsidP="00095F77">
      <w:pPr>
        <w:pStyle w:val="ManualConsidrant"/>
        <w:rPr>
          <w:noProof/>
        </w:rPr>
      </w:pPr>
      <w:r w:rsidRPr="00095F77">
        <w:rPr>
          <w:noProof/>
        </w:rPr>
        <w:t>(5)</w:t>
      </w:r>
      <w:r w:rsidRPr="00095F77">
        <w:rPr>
          <w:noProof/>
        </w:rPr>
        <w:tab/>
      </w:r>
      <w:r w:rsidR="009713B0" w:rsidRPr="007215A1">
        <w:rPr>
          <w:noProof/>
        </w:rPr>
        <w:t>A 260/2012/EU rendelet 15. cikkének (3) bekezdése szerinti adatszolgáltatás céljából a PSZ-knak az illetékes hatóságaik rendelkezésére kell bocsátaniuk a fizetési számlák teljes számára és a fizetési számlák valamennyi díjának összesített mértékére vonatkozó adatokat. Annak érdekében, hogy a Bizottság meg tudja ítélni, hogy kapcsolat áll-e fenn a fizetési számlák díjainak esetleges változásai, valamint az átutalások és az azonnali átutalások díjainak változásai között, az adatszolgáltatásnak tartalmaznia kell az éves számlavezetési díjak szerinti bontást.</w:t>
      </w:r>
    </w:p>
    <w:p w:rsidR="009713B0" w:rsidRPr="007215A1" w:rsidRDefault="00095F77" w:rsidP="00095F77">
      <w:pPr>
        <w:pStyle w:val="ManualConsidrant"/>
        <w:rPr>
          <w:noProof/>
        </w:rPr>
      </w:pPr>
      <w:r w:rsidRPr="00095F77">
        <w:rPr>
          <w:noProof/>
        </w:rPr>
        <w:t>(6)</w:t>
      </w:r>
      <w:r w:rsidRPr="00095F77">
        <w:rPr>
          <w:noProof/>
        </w:rPr>
        <w:tab/>
      </w:r>
      <w:r w:rsidR="00136075" w:rsidRPr="007215A1">
        <w:rPr>
          <w:noProof/>
        </w:rPr>
        <w:t>Annak érdekében, hogy a Bizottság fel tudja mérni az Európai Unió működéséről szóló szerződés 215. cikkével összhangban elfogadott, célzott pénzügyi korlátozó intézkedések alkalmazása miatt elutasított azonnali átutalások arányát, és meg tudja ítélni, hogy ez az arány változott-e azt követően, hogy a 260/2012/EU rendeletnek az (EU) 2024/886 európai parlamenti és tanácsi rendelettel</w:t>
      </w:r>
      <w:r w:rsidR="00136075" w:rsidRPr="007215A1">
        <w:rPr>
          <w:rStyle w:val="FootnoteReference"/>
          <w:noProof/>
        </w:rPr>
        <w:footnoteReference w:id="3"/>
      </w:r>
      <w:r w:rsidR="00136075" w:rsidRPr="007215A1">
        <w:rPr>
          <w:noProof/>
        </w:rPr>
        <w:t xml:space="preserve"> bevezetett módosításai alkalmazandóvá váltak, a PSZ-knak meg kell adniuk illetékes hatóságaik számára az adott évi arányra vonatkozó adatokat, beleértve azon esetek számát is, amikor az azonnali átutalásokat nem hajtották végre vagy a pénzeszközöket befagyasztották a fizető fél vagy a kedvezményezett PSZ-jának oldalán.</w:t>
      </w:r>
    </w:p>
    <w:p w:rsidR="0039723A" w:rsidRPr="007215A1" w:rsidRDefault="00095F77" w:rsidP="00095F77">
      <w:pPr>
        <w:pStyle w:val="ManualConsidrant"/>
        <w:rPr>
          <w:noProof/>
        </w:rPr>
      </w:pPr>
      <w:r w:rsidRPr="00095F77">
        <w:rPr>
          <w:noProof/>
        </w:rPr>
        <w:t>(7)</w:t>
      </w:r>
      <w:r w:rsidRPr="00095F77">
        <w:rPr>
          <w:noProof/>
        </w:rPr>
        <w:tab/>
      </w:r>
      <w:r w:rsidR="00B17DF1" w:rsidRPr="007215A1">
        <w:rPr>
          <w:noProof/>
        </w:rPr>
        <w:t>Az adatszolgáltatás harmonizálása érdekében a pénzforgalmi szolgáltatóknak az Európai Bankhatóság (EBH) honlapján közzétett egységes adatmodellt és ellenőrzési szabályokat kell használniuk. Emellett az adatszolgáltatási teher csökkentése és az átfedések elkerülése érdekében az illetékes hatóságok számára lehetővé kell tenni annak engedélyezését a joghatóságukon belül található PSZ-k számára, hogy az adatszolgáltatást azokra az adatpontokra korlátozzák, amelyeket korábban nem nyújtottak be.</w:t>
      </w:r>
    </w:p>
    <w:p w:rsidR="009713B0" w:rsidRPr="007215A1" w:rsidRDefault="00095F77" w:rsidP="00095F77">
      <w:pPr>
        <w:pStyle w:val="ManualConsidrant"/>
        <w:rPr>
          <w:noProof/>
        </w:rPr>
      </w:pPr>
      <w:r w:rsidRPr="00095F77">
        <w:rPr>
          <w:noProof/>
        </w:rPr>
        <w:t>(8)</w:t>
      </w:r>
      <w:r w:rsidRPr="00095F77">
        <w:rPr>
          <w:noProof/>
        </w:rPr>
        <w:tab/>
      </w:r>
      <w:r w:rsidR="009713B0" w:rsidRPr="007215A1">
        <w:rPr>
          <w:noProof/>
        </w:rPr>
        <w:t>Ez a rendelet az EBH által a Bizottságnak benyújtott végrehajtás-technikai standardtervezeten alapul.</w:t>
      </w:r>
    </w:p>
    <w:p w:rsidR="009713B0" w:rsidRPr="007215A1" w:rsidRDefault="00095F77" w:rsidP="00095F77">
      <w:pPr>
        <w:pStyle w:val="ManualConsidrant"/>
        <w:rPr>
          <w:noProof/>
        </w:rPr>
      </w:pPr>
      <w:r w:rsidRPr="00095F77">
        <w:rPr>
          <w:noProof/>
        </w:rPr>
        <w:t>(9)</w:t>
      </w:r>
      <w:r w:rsidRPr="00095F77">
        <w:rPr>
          <w:noProof/>
        </w:rPr>
        <w:tab/>
      </w:r>
      <w:r w:rsidR="009713B0" w:rsidRPr="007215A1">
        <w:rPr>
          <w:noProof/>
        </w:rPr>
        <w:t>Az EBH nyilvános konzultációt folytatott az e rendelet alapját képező végrehajtás-technikai standardtervezetekről, elemezte az esetlegesen kapcsolódó költségeket és hasznot, továbbá kikérte az 1093/2010/EU európai parlamenti és tanácsi rendelet</w:t>
      </w:r>
      <w:r w:rsidR="009713B0" w:rsidRPr="007215A1">
        <w:rPr>
          <w:rStyle w:val="FootnoteReference"/>
          <w:noProof/>
        </w:rPr>
        <w:footnoteReference w:id="4"/>
      </w:r>
      <w:r w:rsidR="009713B0" w:rsidRPr="007215A1">
        <w:rPr>
          <w:noProof/>
        </w:rPr>
        <w:t xml:space="preserve"> 37. cikkével összhangban létrehozott Banki Érdekképviseleti Csoport tanácsát,</w:t>
      </w:r>
    </w:p>
    <w:p w:rsidR="009713B0" w:rsidRPr="007215A1" w:rsidRDefault="009713B0" w:rsidP="009713B0">
      <w:pPr>
        <w:pStyle w:val="Formuledadoption"/>
        <w:rPr>
          <w:noProof/>
        </w:rPr>
      </w:pPr>
      <w:r w:rsidRPr="007215A1">
        <w:rPr>
          <w:noProof/>
        </w:rPr>
        <w:t>ELFOGADTA EZT A RENDELETET:</w:t>
      </w:r>
    </w:p>
    <w:p w:rsidR="009713B0" w:rsidRPr="007215A1" w:rsidRDefault="009713B0" w:rsidP="009713B0">
      <w:pPr>
        <w:pStyle w:val="Titrearticle"/>
        <w:rPr>
          <w:noProof/>
        </w:rPr>
      </w:pPr>
      <w:r w:rsidRPr="007215A1">
        <w:rPr>
          <w:noProof/>
        </w:rPr>
        <w:t>1. cikk</w:t>
      </w:r>
    </w:p>
    <w:p w:rsidR="009713B0" w:rsidRPr="007215A1" w:rsidRDefault="009713B0" w:rsidP="009713B0">
      <w:pPr>
        <w:jc w:val="center"/>
        <w:rPr>
          <w:b/>
          <w:bCs/>
          <w:noProof/>
        </w:rPr>
      </w:pPr>
      <w:r w:rsidRPr="007215A1">
        <w:rPr>
          <w:b/>
          <w:noProof/>
        </w:rPr>
        <w:t>Adatszolgáltatás a díjak mértékéről</w:t>
      </w:r>
    </w:p>
    <w:p w:rsidR="009713B0" w:rsidRPr="007215A1" w:rsidRDefault="009713B0" w:rsidP="009713B0">
      <w:pPr>
        <w:pStyle w:val="Point0"/>
        <w:rPr>
          <w:noProof/>
        </w:rPr>
      </w:pPr>
      <w:r w:rsidRPr="007215A1">
        <w:rPr>
          <w:noProof/>
        </w:rPr>
        <w:t>(1)</w:t>
      </w:r>
      <w:r w:rsidRPr="007215A1">
        <w:rPr>
          <w:noProof/>
        </w:rPr>
        <w:tab/>
        <w:t>A PSZ-k az átutalások, az azonnali átutalások és a fizetési számlák díjainak mértékéről az I. mellékletben szereplő 1.1., 1.2., 2.1., 2.2. és 3. táblában meghatározott információk benyújtásával és a II. mellékletben foglalt utasításoknak megfelelően számolnak be.</w:t>
      </w:r>
    </w:p>
    <w:p w:rsidR="009713B0" w:rsidRPr="007215A1" w:rsidRDefault="009713B0" w:rsidP="009713B0">
      <w:pPr>
        <w:pStyle w:val="Point0"/>
        <w:rPr>
          <w:noProof/>
        </w:rPr>
      </w:pPr>
      <w:r w:rsidRPr="007215A1">
        <w:rPr>
          <w:noProof/>
        </w:rPr>
        <w:t>(2)</w:t>
      </w:r>
      <w:r w:rsidRPr="007215A1">
        <w:rPr>
          <w:noProof/>
        </w:rPr>
        <w:tab/>
        <w:t>A PSZ-k a jelentés benyújtásának évét megelőző naptári év december 31-ig számolnak be az éves összesített adatokról.</w:t>
      </w:r>
    </w:p>
    <w:p w:rsidR="009713B0" w:rsidRPr="007215A1" w:rsidRDefault="009713B0" w:rsidP="009713B0">
      <w:pPr>
        <w:pStyle w:val="Point0"/>
        <w:rPr>
          <w:noProof/>
        </w:rPr>
      </w:pPr>
      <w:r w:rsidRPr="007215A1">
        <w:rPr>
          <w:noProof/>
        </w:rPr>
        <w:t>(3)</w:t>
      </w:r>
      <w:r w:rsidRPr="007215A1">
        <w:rPr>
          <w:noProof/>
        </w:rPr>
        <w:tab/>
        <w:t>A (2) bekezdéstől eltérve, az első harmonizált adatszolgáltatásnak a jelentés benyújtásának évét megelőző minden egyes év tekintetében összesített adatokat kell tartalmaznia, a 2022. évre vonatkozó 2022. október 26. és 2022. december 31. közötti időszaktól kezdődően.</w:t>
      </w:r>
    </w:p>
    <w:p w:rsidR="009713B0" w:rsidRPr="007215A1" w:rsidRDefault="009713B0" w:rsidP="009713B0">
      <w:pPr>
        <w:pStyle w:val="Titrearticle"/>
        <w:rPr>
          <w:noProof/>
        </w:rPr>
      </w:pPr>
      <w:r w:rsidRPr="007215A1">
        <w:rPr>
          <w:noProof/>
        </w:rPr>
        <w:t>2. cikk</w:t>
      </w:r>
    </w:p>
    <w:p w:rsidR="009713B0" w:rsidRPr="007215A1" w:rsidRDefault="009713B0" w:rsidP="009713B0">
      <w:pPr>
        <w:jc w:val="center"/>
        <w:rPr>
          <w:b/>
          <w:bCs/>
          <w:noProof/>
        </w:rPr>
      </w:pPr>
      <w:r w:rsidRPr="007215A1">
        <w:rPr>
          <w:b/>
          <w:noProof/>
        </w:rPr>
        <w:t>Adatszolgáltatás az elutasított azonnali átutalási ügyletek arányáról és referencia-időszakok</w:t>
      </w:r>
    </w:p>
    <w:p w:rsidR="009713B0" w:rsidRPr="007215A1" w:rsidRDefault="009713B0" w:rsidP="009713B0">
      <w:pPr>
        <w:pStyle w:val="Point0"/>
        <w:rPr>
          <w:noProof/>
        </w:rPr>
      </w:pPr>
      <w:r w:rsidRPr="007215A1">
        <w:rPr>
          <w:noProof/>
        </w:rPr>
        <w:t>(1)</w:t>
      </w:r>
      <w:r w:rsidRPr="007215A1">
        <w:rPr>
          <w:noProof/>
        </w:rPr>
        <w:tab/>
        <w:t>A PSZ-k a 260/2012/EU rendelet 15. cikkének (3) bekezdésében említett célzott pénzügyi korlátozó intézkedések miatt elutasított azonnali átutalási ügyletek arányáról – beleértve a nemzeti és a határokon átnyúló ügyletekre vonatkozó külön adatokat is – az I. mellékletben szereplő 4. táblában meghatározott információk benyújtásával és a II. mellékletben foglalt utasításoknak megfelelően számolnak be.</w:t>
      </w:r>
    </w:p>
    <w:p w:rsidR="009713B0" w:rsidRPr="007215A1" w:rsidRDefault="009713B0" w:rsidP="009713B0">
      <w:pPr>
        <w:pStyle w:val="Point0"/>
        <w:rPr>
          <w:noProof/>
        </w:rPr>
      </w:pPr>
      <w:r w:rsidRPr="007215A1">
        <w:rPr>
          <w:noProof/>
        </w:rPr>
        <w:t>(2)</w:t>
      </w:r>
      <w:r w:rsidRPr="007215A1">
        <w:rPr>
          <w:noProof/>
        </w:rPr>
        <w:tab/>
        <w:t>Az adatszolgáltatásoknak tartalmazniuk kell az elutasítások számát a jelentés benyújtásának évét megelőző naptári évre vonatkozóan.</w:t>
      </w:r>
    </w:p>
    <w:p w:rsidR="00AD7B15" w:rsidRPr="007215A1" w:rsidRDefault="009713B0" w:rsidP="00361ABB">
      <w:pPr>
        <w:pStyle w:val="Point0"/>
        <w:rPr>
          <w:noProof/>
        </w:rPr>
      </w:pPr>
      <w:r w:rsidRPr="007215A1">
        <w:rPr>
          <w:noProof/>
        </w:rPr>
        <w:t>(3)</w:t>
      </w:r>
      <w:r w:rsidRPr="007215A1">
        <w:rPr>
          <w:noProof/>
        </w:rPr>
        <w:tab/>
        <w:t>A (2) bekezdéstől eltérve, az első harmonizált adatszolgáltatásnak a jelentés benyújtásának évét megelőző minden egyes év tekintetében az elutasítások számának feltüntetésével kitöltött táblát kell tartalmaznia, a 2022. évre vonatkozó 2022. október 26. és 2022. december 31. közötti időszaktól kezdődően.</w:t>
      </w:r>
    </w:p>
    <w:p w:rsidR="009713B0" w:rsidRPr="007215A1" w:rsidRDefault="009713B0" w:rsidP="009713B0">
      <w:pPr>
        <w:pStyle w:val="Titrearticle"/>
        <w:rPr>
          <w:noProof/>
        </w:rPr>
      </w:pPr>
      <w:r w:rsidRPr="007215A1">
        <w:rPr>
          <w:noProof/>
        </w:rPr>
        <w:t>3. cikk</w:t>
      </w:r>
    </w:p>
    <w:p w:rsidR="009713B0" w:rsidRPr="007215A1" w:rsidRDefault="009713B0" w:rsidP="009713B0">
      <w:pPr>
        <w:jc w:val="center"/>
        <w:rPr>
          <w:b/>
          <w:bCs/>
          <w:noProof/>
        </w:rPr>
      </w:pPr>
      <w:r w:rsidRPr="007215A1">
        <w:rPr>
          <w:b/>
          <w:noProof/>
        </w:rPr>
        <w:t>Adatcsere-formátumok és adatszolgáltatást kísérő információk</w:t>
      </w:r>
    </w:p>
    <w:p w:rsidR="009713B0" w:rsidRPr="007215A1" w:rsidRDefault="009713B0" w:rsidP="009713B0">
      <w:pPr>
        <w:rPr>
          <w:noProof/>
        </w:rPr>
      </w:pPr>
      <w:r w:rsidRPr="007215A1">
        <w:rPr>
          <w:noProof/>
        </w:rPr>
        <w:t>A PSZ-k az e rendelet 1. és 2. cikkében említett adatokat az illetékes hatóságok által meghatározott adatcsere-formátumban és megjelenítési formában nyújtják be, és betartják az adatpontoknak az EBH weboldalán közzétett egységes adatmodellben szereplő fogalommeghatározását, valamint az ellenőrzési szabályokat. A PSZ-k betartják a következő előírásokat:</w:t>
      </w:r>
    </w:p>
    <w:p w:rsidR="009713B0" w:rsidRPr="007215A1" w:rsidRDefault="00361ABB" w:rsidP="00361ABB">
      <w:pPr>
        <w:pStyle w:val="Point0"/>
        <w:rPr>
          <w:noProof/>
        </w:rPr>
      </w:pPr>
      <w:r>
        <w:rPr>
          <w:noProof/>
        </w:rPr>
        <w:t>a)</w:t>
      </w:r>
      <w:r w:rsidRPr="00361ABB">
        <w:rPr>
          <w:noProof/>
        </w:rPr>
        <w:tab/>
      </w:r>
      <w:r w:rsidR="009713B0" w:rsidRPr="007215A1">
        <w:rPr>
          <w:noProof/>
        </w:rPr>
        <w:t>a nem előírt vagy nem alkalmazandó információk nem tüntethetők fel az adatszolgáltatásban;</w:t>
      </w:r>
    </w:p>
    <w:p w:rsidR="009713B0" w:rsidRPr="007215A1" w:rsidRDefault="00361ABB" w:rsidP="00361ABB">
      <w:pPr>
        <w:pStyle w:val="Point0"/>
        <w:rPr>
          <w:noProof/>
        </w:rPr>
      </w:pPr>
      <w:r>
        <w:rPr>
          <w:noProof/>
        </w:rPr>
        <w:t>b)</w:t>
      </w:r>
      <w:r w:rsidRPr="00361ABB">
        <w:rPr>
          <w:noProof/>
        </w:rPr>
        <w:tab/>
      </w:r>
      <w:r w:rsidR="009713B0" w:rsidRPr="007215A1">
        <w:rPr>
          <w:noProof/>
        </w:rPr>
        <w:t>a numerikus értékeket a következőképpen kell megadni:</w:t>
      </w:r>
    </w:p>
    <w:p w:rsidR="009713B0" w:rsidRPr="007215A1" w:rsidRDefault="0055071E" w:rsidP="009713B0">
      <w:pPr>
        <w:pStyle w:val="Point1"/>
        <w:rPr>
          <w:noProof/>
        </w:rPr>
      </w:pPr>
      <w:r w:rsidRPr="007215A1">
        <w:rPr>
          <w:noProof/>
        </w:rPr>
        <w:t>i.</w:t>
      </w:r>
      <w:r w:rsidRPr="007215A1">
        <w:rPr>
          <w:noProof/>
        </w:rPr>
        <w:tab/>
        <w:t>a PSZ-k a „monetáris” típusú adatokat minimum tízezres nagyságrendű pontossággal adják meg;</w:t>
      </w:r>
    </w:p>
    <w:p w:rsidR="009713B0" w:rsidRPr="007215A1" w:rsidRDefault="0055071E" w:rsidP="009713B0">
      <w:pPr>
        <w:pStyle w:val="Point1"/>
        <w:rPr>
          <w:noProof/>
        </w:rPr>
      </w:pPr>
      <w:r w:rsidRPr="007215A1">
        <w:rPr>
          <w:noProof/>
        </w:rPr>
        <w:t>ii.</w:t>
      </w:r>
      <w:r w:rsidRPr="007215A1">
        <w:rPr>
          <w:noProof/>
        </w:rPr>
        <w:tab/>
        <w:t>a PSZ-k az „egész szám” típusú adatokat tizedesjegyek alkalmazása nélkül, egész számnak megfelelő pontossággal adják meg.</w:t>
      </w:r>
    </w:p>
    <w:p w:rsidR="009713B0" w:rsidRPr="007215A1" w:rsidRDefault="009713B0" w:rsidP="009713B0">
      <w:pPr>
        <w:pStyle w:val="Titrearticle"/>
        <w:rPr>
          <w:noProof/>
        </w:rPr>
      </w:pPr>
      <w:r w:rsidRPr="007215A1">
        <w:rPr>
          <w:noProof/>
        </w:rPr>
        <w:t>4. cikk</w:t>
      </w:r>
    </w:p>
    <w:p w:rsidR="009713B0" w:rsidRPr="007215A1" w:rsidRDefault="009713B0" w:rsidP="009713B0">
      <w:pPr>
        <w:jc w:val="center"/>
        <w:rPr>
          <w:noProof/>
        </w:rPr>
      </w:pPr>
      <w:r w:rsidRPr="007215A1">
        <w:rPr>
          <w:b/>
          <w:noProof/>
        </w:rPr>
        <w:t>Hatálybalépés</w:t>
      </w:r>
    </w:p>
    <w:p w:rsidR="009713B0" w:rsidRPr="007215A1" w:rsidRDefault="009713B0" w:rsidP="009713B0">
      <w:pPr>
        <w:rPr>
          <w:noProof/>
        </w:rPr>
      </w:pPr>
      <w:r w:rsidRPr="007215A1">
        <w:rPr>
          <w:noProof/>
        </w:rPr>
        <w:t xml:space="preserve">Ez a rendelet az </w:t>
      </w:r>
      <w:r w:rsidRPr="007215A1">
        <w:rPr>
          <w:i/>
          <w:noProof/>
        </w:rPr>
        <w:t>Európai Unió Hivatalos Lapjában</w:t>
      </w:r>
      <w:r w:rsidRPr="007215A1">
        <w:rPr>
          <w:noProof/>
        </w:rPr>
        <w:t xml:space="preserve"> való kihirdetését követő huszadik napon lép hatályba.</w:t>
      </w:r>
    </w:p>
    <w:p w:rsidR="009713B0" w:rsidRPr="007215A1" w:rsidRDefault="009713B0" w:rsidP="009713B0">
      <w:pPr>
        <w:pStyle w:val="Applicationdirecte"/>
        <w:rPr>
          <w:noProof/>
        </w:rPr>
      </w:pPr>
      <w:r w:rsidRPr="007215A1">
        <w:rPr>
          <w:noProof/>
        </w:rPr>
        <w:t>Ez a rendelet teljes egészében kötelező és közvetlenül alkalmazandó valamennyi tagállamban.</w:t>
      </w:r>
    </w:p>
    <w:p w:rsidR="009713B0" w:rsidRPr="007215A1" w:rsidRDefault="006B0269" w:rsidP="00866E81">
      <w:pPr>
        <w:pStyle w:val="Fait"/>
        <w:rPr>
          <w:noProof/>
        </w:rPr>
      </w:pPr>
      <w:r>
        <w:rPr>
          <w:noProof/>
        </w:rPr>
        <w:t>Kelt Brüsszelben, -án/-én. 2025.10.1.</w:t>
      </w:r>
    </w:p>
    <w:p w:rsidR="009713B0" w:rsidRPr="007215A1" w:rsidRDefault="009713B0" w:rsidP="00866E81">
      <w:pPr>
        <w:pStyle w:val="Institutionquisigne"/>
        <w:rPr>
          <w:noProof/>
        </w:rPr>
      </w:pPr>
      <w:r w:rsidRPr="007215A1">
        <w:rPr>
          <w:noProof/>
        </w:rPr>
        <w:tab/>
        <w:t>a Bizottság részéről</w:t>
      </w:r>
    </w:p>
    <w:p w:rsidR="00FE7FED" w:rsidRPr="007215A1" w:rsidRDefault="004A55ED" w:rsidP="009713B0">
      <w:pPr>
        <w:pStyle w:val="Personnequisigne"/>
        <w:rPr>
          <w:noProof/>
        </w:rPr>
      </w:pPr>
      <w:r>
        <w:rPr>
          <w:noProof/>
        </w:rPr>
        <w:tab/>
        <w:t>elnök</w:t>
      </w:r>
      <w:r>
        <w:rPr>
          <w:noProof/>
        </w:rPr>
        <w:br/>
      </w:r>
      <w:r>
        <w:rPr>
          <w:noProof/>
        </w:rPr>
        <w:tab/>
        <w:t>Ursula VON DER LEYEN</w:t>
      </w:r>
    </w:p>
    <w:sectPr w:rsidR="00FE7FED" w:rsidRPr="007215A1" w:rsidSect="00C63D9D">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D9D" w:rsidRPr="00C63D9D" w:rsidRDefault="00C63D9D" w:rsidP="00C63D9D">
    <w:pPr>
      <w:pStyle w:val="Footer"/>
      <w:rPr>
        <w:rFonts w:ascii="Arial" w:hAnsi="Arial" w:cs="Arial"/>
        <w:b/>
        <w:sz w:val="48"/>
      </w:rPr>
    </w:pPr>
    <w:r w:rsidRPr="00C63D9D">
      <w:rPr>
        <w:rFonts w:ascii="Arial" w:hAnsi="Arial" w:cs="Arial"/>
        <w:b/>
        <w:sz w:val="48"/>
      </w:rPr>
      <w:t>HU</w:t>
    </w:r>
    <w:r w:rsidRPr="00C63D9D">
      <w:rPr>
        <w:rFonts w:ascii="Arial" w:hAnsi="Arial" w:cs="Arial"/>
        <w:b/>
        <w:sz w:val="48"/>
      </w:rPr>
      <w:tab/>
    </w:r>
    <w:r w:rsidRPr="00C63D9D">
      <w:rPr>
        <w:rFonts w:ascii="Arial" w:hAnsi="Arial" w:cs="Arial"/>
        <w:b/>
        <w:sz w:val="48"/>
      </w:rPr>
      <w:tab/>
    </w:r>
    <w:r w:rsidRPr="00C63D9D">
      <w:tab/>
    </w:r>
    <w:r w:rsidRPr="00C63D9D">
      <w:rPr>
        <w:rFonts w:ascii="Arial" w:hAnsi="Arial" w:cs="Arial"/>
        <w:b/>
        <w:sz w:val="48"/>
      </w:rPr>
      <w:t>HU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D9D" w:rsidRPr="00C63D9D" w:rsidRDefault="00C63D9D" w:rsidP="00C63D9D">
    <w:pPr>
      <w:pStyle w:val="Footer"/>
      <w:rPr>
        <w:rFonts w:ascii="Arial" w:hAnsi="Arial" w:cs="Arial"/>
        <w:b/>
        <w:sz w:val="48"/>
      </w:rPr>
    </w:pPr>
    <w:r w:rsidRPr="00C63D9D">
      <w:rPr>
        <w:rFonts w:ascii="Arial" w:hAnsi="Arial" w:cs="Arial"/>
        <w:b/>
        <w:sz w:val="48"/>
      </w:rPr>
      <w:t>HU</w:t>
    </w:r>
    <w:r w:rsidRPr="00C63D9D">
      <w:rPr>
        <w:rFonts w:ascii="Arial" w:hAnsi="Arial" w:cs="Arial"/>
        <w:b/>
        <w:sz w:val="48"/>
      </w:rPr>
      <w:tab/>
    </w:r>
    <w:r w:rsidRPr="00C63D9D">
      <w:rPr>
        <w:rFonts w:ascii="Arial" w:hAnsi="Arial" w:cs="Arial"/>
        <w:b/>
        <w:sz w:val="48"/>
      </w:rPr>
      <w:tab/>
    </w:r>
    <w:r w:rsidRPr="00C63D9D">
      <w:tab/>
    </w:r>
    <w:r w:rsidRPr="00C63D9D">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D9D" w:rsidRDefault="00C63D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D9D" w:rsidRPr="00C63D9D" w:rsidRDefault="00C63D9D" w:rsidP="00C63D9D">
    <w:pPr>
      <w:pStyle w:val="Footer"/>
      <w:rPr>
        <w:rFonts w:ascii="Arial" w:hAnsi="Arial" w:cs="Arial"/>
        <w:b/>
        <w:sz w:val="48"/>
      </w:rPr>
    </w:pPr>
    <w:r w:rsidRPr="00C63D9D">
      <w:rPr>
        <w:rFonts w:ascii="Arial" w:hAnsi="Arial" w:cs="Arial"/>
        <w:b/>
        <w:sz w:val="48"/>
      </w:rPr>
      <w:t>HU</w:t>
    </w:r>
    <w:r w:rsidRPr="00C63D9D">
      <w:rPr>
        <w:rFonts w:ascii="Arial" w:hAnsi="Arial" w:cs="Arial"/>
        <w:b/>
        <w:sz w:val="48"/>
      </w:rPr>
      <w:tab/>
    </w:r>
    <w:r>
      <w:fldChar w:fldCharType="begin"/>
    </w:r>
    <w:r>
      <w:instrText xml:space="preserve"> PAGE  \* MERGEFORMAT </w:instrText>
    </w:r>
    <w:r>
      <w:fldChar w:fldCharType="separate"/>
    </w:r>
    <w:r w:rsidR="00866E81">
      <w:rPr>
        <w:noProof/>
      </w:rPr>
      <w:t>4</w:t>
    </w:r>
    <w:r>
      <w:fldChar w:fldCharType="end"/>
    </w:r>
    <w:r>
      <w:tab/>
    </w:r>
    <w:r w:rsidRPr="00C63D9D">
      <w:tab/>
    </w:r>
    <w:r w:rsidRPr="00C63D9D">
      <w:rPr>
        <w:rFonts w:ascii="Arial" w:hAnsi="Arial" w:cs="Arial"/>
        <w:b/>
        <w:sz w:val="48"/>
      </w:rPr>
      <w:t>HU</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D9D" w:rsidRDefault="00C63D9D" w:rsidP="00C63D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pPr>
      <w:r>
        <w:rPr>
          <w:rStyle w:val="FootnoteReference"/>
        </w:rPr>
        <w:footnoteRef/>
      </w:r>
      <w:r>
        <w:tab/>
        <w:t>HL L 94., 2012.3.30., 22. o., ELI: http://data.europa.eu/eli/reg/2012/260/oj.</w:t>
      </w:r>
    </w:p>
  </w:footnote>
  <w:footnote w:id="3">
    <w:p w:rsidR="00AD7B15" w:rsidRPr="00AD7B15" w:rsidRDefault="00AD7B15" w:rsidP="00D05942">
      <w:pPr>
        <w:pStyle w:val="FootnoteText"/>
        <w:ind w:left="0" w:firstLine="0"/>
      </w:pPr>
      <w:r>
        <w:rPr>
          <w:rStyle w:val="FootnoteReference"/>
        </w:rPr>
        <w:footnoteRef/>
      </w:r>
      <w:r>
        <w:tab/>
        <w:t>Az Európai Parlament és a Tanács (EU) 2024/886 rendelete (2024. március 13.) a 260/2012/EU és az (EU) 2021/1230 rendeletnek, valamint a 98/26/EK és az (EU) 2015/2366 irányelvnek az azonnali euroátutalások tekintetében történő módosításáról (HL L, 2024/886, 2024.3.19., ELI: http://data.europa.eu/eli/reg/2024/886/oj).</w:t>
      </w:r>
    </w:p>
  </w:footnote>
  <w:footnote w:id="4">
    <w:p w:rsidR="009713B0" w:rsidRPr="00AD7B15" w:rsidRDefault="009713B0" w:rsidP="009713B0">
      <w:pPr>
        <w:pStyle w:val="FootnoteText"/>
      </w:pPr>
      <w:r>
        <w:rPr>
          <w:rStyle w:val="FootnoteReference"/>
        </w:rPr>
        <w:footnoteRef/>
      </w:r>
      <w:r>
        <w:tab/>
        <w:t>Az Európai Parlament és a Tanács 1093/2010/EU rendelete (2010. november 24.) az európai felügyeleti hatóság (Európai Bankhatóság) létrehozásáról, a 716/2009/EK határozat módosításáról és a 2009/78/EK bizottsági határozat hatályon kívül helyezéséről (HL L 331., 2010.12.15., 12. o.,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D9D" w:rsidRDefault="00C63D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D9D" w:rsidRDefault="00C63D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3"/>
  </w:num>
  <w:num w:numId="4">
    <w:abstractNumId w:val="0"/>
  </w:num>
  <w:num w:numId="5">
    <w:abstractNumId w:val="2"/>
  </w:num>
  <w:num w:numId="6">
    <w:abstractNumId w:val="1"/>
  </w:num>
  <w:num w:numId="7">
    <w:abstractNumId w:val="16"/>
  </w:num>
  <w:num w:numId="8">
    <w:abstractNumId w:val="9"/>
  </w:num>
  <w:num w:numId="9">
    <w:abstractNumId w:val="18"/>
  </w:num>
  <w:num w:numId="10">
    <w:abstractNumId w:val="8"/>
  </w:num>
  <w:num w:numId="11">
    <w:abstractNumId w:val="10"/>
  </w:num>
  <w:num w:numId="12">
    <w:abstractNumId w:val="11"/>
  </w:num>
  <w:num w:numId="13">
    <w:abstractNumId w:val="6"/>
  </w:num>
  <w:num w:numId="14">
    <w:abstractNumId w:val="17"/>
  </w:num>
  <w:num w:numId="15">
    <w:abstractNumId w:val="5"/>
  </w:num>
  <w:num w:numId="16">
    <w:abstractNumId w:val="12"/>
  </w:num>
  <w:num w:numId="17">
    <w:abstractNumId w:val="14"/>
  </w:num>
  <w:num w:numId="18">
    <w:abstractNumId w:val="15"/>
  </w:num>
  <w:num w:numId="19">
    <w:abstractNumId w:val="7"/>
  </w:num>
  <w:num w:numId="20">
    <w:abstractNumId w:val="13"/>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3:1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CD65B4CF-1A10-498E-9FB4-F59F28E0B6DA"/>
    <w:docVar w:name="LW_COVERPAGE_TYPE" w:val="1"/>
    <w:docVar w:name="LW_CreatedUtc" w:val="2025-02-25T08:25:43.0388982Z"/>
    <w:docVar w:name="LW_CROSSREFERENCE" w:val="&lt;UNUSED&gt;"/>
    <w:docVar w:name="LW_DATE.ADOPT.CP" w:val="(2025.10.1.)"/>
    <w:docVar w:name="LW_DATE.ADOPT.CP_DATEFORMAT" w:val="(%DATE%)"/>
    <w:docVar w:name="LW_DATE.ADOPT.CP_ISODATE" w:val="2025-10-01"/>
    <w:docVar w:name="LW_DocType" w:val="COM"/>
    <w:docVar w:name="LW_EMISSION" w:val="2025.10.1."/>
    <w:docVar w:name="LW_EMISSION_ISODATE" w:val="2025-10-01"/>
    <w:docVar w:name="LW_EMISSION_LOCATION" w:val="BRX"/>
    <w:docVar w:name="LW_EMISSION_PREFIX" w:val="Brüsszel, "/>
    <w:docVar w:name="LW_EMISSION_SUFFIX" w:val=" "/>
    <w:docVar w:name="LW_ID_DOCMODEL" w:val="SJ-004"/>
    <w:docVar w:name="LW_ID_DOCSIGNATURE" w:val="SJ-004"/>
    <w:docVar w:name="LW_ID_DOCSTRUCTURE" w:val="COM/AA"/>
    <w:docVar w:name="LW_ID_DOCTYPE" w:val="SJ-004"/>
    <w:docVar w:name="LW_INTERETEEE.CP" w:val="&lt;UNUSED&gt;"/>
    <w:docVar w:name="LW_LANGUE" w:val="HU"/>
    <w:docVar w:name="LW_LANGUESFAISANTFOI.CP" w:val="&lt;UNUSED&gt;"/>
    <w:docVar w:name="LW_LEVEL_OF_SENSITIVITY" w:val="Standard treatment"/>
    <w:docVar w:name="LW_NOM.INST" w:val="EURÓPAI BIZOTTSÁG"/>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 260/2012/EU európai parlamenti és tanácsi rendeletnek az átutalások, az azonnali átutalások és a fizetési számlák díjának mértékére, valamint az elutasított ügyletek arányára vonatkozó egységes adatszolgáltatási táblák, utasítások és módszertan tekintetében történ\u337? alkalmazására vonatkozó végrehajtás-technikai standardok megállapításáról"/>
    <w:docVar w:name="LW_TYPE.DOC.CP" w:val="A BIZOTTSÁG (EU) .../... VÉGREHAJTÁSI RENDELETE"/>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5F77"/>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843F0"/>
    <w:rsid w:val="001913B0"/>
    <w:rsid w:val="00191CEA"/>
    <w:rsid w:val="00197613"/>
    <w:rsid w:val="001A1FA1"/>
    <w:rsid w:val="001A4A70"/>
    <w:rsid w:val="001A5381"/>
    <w:rsid w:val="001A6744"/>
    <w:rsid w:val="001A7B61"/>
    <w:rsid w:val="001B081E"/>
    <w:rsid w:val="001B556E"/>
    <w:rsid w:val="001C0071"/>
    <w:rsid w:val="001C0950"/>
    <w:rsid w:val="001C3C75"/>
    <w:rsid w:val="001C6408"/>
    <w:rsid w:val="001C7C6B"/>
    <w:rsid w:val="001D08D6"/>
    <w:rsid w:val="001D2764"/>
    <w:rsid w:val="001D6BB7"/>
    <w:rsid w:val="001E0062"/>
    <w:rsid w:val="001F30B1"/>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37332"/>
    <w:rsid w:val="00240C3D"/>
    <w:rsid w:val="00243BF1"/>
    <w:rsid w:val="00244629"/>
    <w:rsid w:val="00244E9B"/>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48FA"/>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1ABB"/>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3F5DE5"/>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55ED"/>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F15B9"/>
    <w:rsid w:val="00501867"/>
    <w:rsid w:val="0050376F"/>
    <w:rsid w:val="00503AAA"/>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790"/>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16C0"/>
    <w:rsid w:val="006728E9"/>
    <w:rsid w:val="00672EFA"/>
    <w:rsid w:val="00674252"/>
    <w:rsid w:val="00674AAE"/>
    <w:rsid w:val="00676C8D"/>
    <w:rsid w:val="0067704C"/>
    <w:rsid w:val="00677FED"/>
    <w:rsid w:val="00680CD0"/>
    <w:rsid w:val="0068377C"/>
    <w:rsid w:val="00683FCE"/>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0269"/>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15A1"/>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206"/>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D68A9"/>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66E81"/>
    <w:rsid w:val="0087059E"/>
    <w:rsid w:val="00874D22"/>
    <w:rsid w:val="00876380"/>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2339"/>
    <w:rsid w:val="009850E8"/>
    <w:rsid w:val="00986335"/>
    <w:rsid w:val="00986892"/>
    <w:rsid w:val="009927FD"/>
    <w:rsid w:val="00994CA3"/>
    <w:rsid w:val="00996030"/>
    <w:rsid w:val="0099612E"/>
    <w:rsid w:val="0099719C"/>
    <w:rsid w:val="009A2B3E"/>
    <w:rsid w:val="009B28D4"/>
    <w:rsid w:val="009C0BC7"/>
    <w:rsid w:val="009C1173"/>
    <w:rsid w:val="009C6440"/>
    <w:rsid w:val="009C69FE"/>
    <w:rsid w:val="009D1DF0"/>
    <w:rsid w:val="009D60FA"/>
    <w:rsid w:val="009D7530"/>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48AE"/>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17BF"/>
    <w:rsid w:val="00B838B2"/>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2301"/>
    <w:rsid w:val="00C263CE"/>
    <w:rsid w:val="00C272D0"/>
    <w:rsid w:val="00C27DF8"/>
    <w:rsid w:val="00C3410B"/>
    <w:rsid w:val="00C411B0"/>
    <w:rsid w:val="00C43AAE"/>
    <w:rsid w:val="00C44190"/>
    <w:rsid w:val="00C442F9"/>
    <w:rsid w:val="00C50BFD"/>
    <w:rsid w:val="00C60F19"/>
    <w:rsid w:val="00C63D9D"/>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5160"/>
    <w:rsid w:val="00D665C4"/>
    <w:rsid w:val="00D674F4"/>
    <w:rsid w:val="00D6777E"/>
    <w:rsid w:val="00D70B60"/>
    <w:rsid w:val="00D7463F"/>
    <w:rsid w:val="00D76A56"/>
    <w:rsid w:val="00D825B6"/>
    <w:rsid w:val="00D82CC1"/>
    <w:rsid w:val="00D87245"/>
    <w:rsid w:val="00D87300"/>
    <w:rsid w:val="00D90E08"/>
    <w:rsid w:val="00D9652E"/>
    <w:rsid w:val="00DB0501"/>
    <w:rsid w:val="00DB250A"/>
    <w:rsid w:val="00DB3C35"/>
    <w:rsid w:val="00DB3D14"/>
    <w:rsid w:val="00DB492F"/>
    <w:rsid w:val="00DB6B05"/>
    <w:rsid w:val="00DC04AA"/>
    <w:rsid w:val="00DC32EC"/>
    <w:rsid w:val="00DC551D"/>
    <w:rsid w:val="00DC60AA"/>
    <w:rsid w:val="00DD50D0"/>
    <w:rsid w:val="00DD57BC"/>
    <w:rsid w:val="00DE0B07"/>
    <w:rsid w:val="00DE2ADF"/>
    <w:rsid w:val="00DE6A09"/>
    <w:rsid w:val="00DF1A15"/>
    <w:rsid w:val="00DF1CB4"/>
    <w:rsid w:val="00DF324D"/>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45AD0"/>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81D24"/>
    <w:rsid w:val="00F824D3"/>
    <w:rsid w:val="00F84BE4"/>
    <w:rsid w:val="00F8766D"/>
    <w:rsid w:val="00F91E2B"/>
    <w:rsid w:val="00F92092"/>
    <w:rsid w:val="00F951F3"/>
    <w:rsid w:val="00F95871"/>
    <w:rsid w:val="00FA00A7"/>
    <w:rsid w:val="00FA7030"/>
    <w:rsid w:val="00FA7B48"/>
    <w:rsid w:val="00FB0717"/>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pPr>
      <w:keepNext/>
      <w:numPr>
        <w:numId w:val="1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3"/>
      </w:numPr>
      <w:contextualSpacing/>
    </w:pPr>
  </w:style>
  <w:style w:type="paragraph" w:styleId="ListNumber2">
    <w:name w:val="List Number 2"/>
    <w:basedOn w:val="Normal"/>
    <w:uiPriority w:val="99"/>
    <w:semiHidden/>
    <w:unhideWhenUsed/>
    <w:rsid w:val="009713B0"/>
    <w:pPr>
      <w:numPr>
        <w:numId w:val="4"/>
      </w:numPr>
      <w:contextualSpacing/>
    </w:pPr>
  </w:style>
  <w:style w:type="paragraph" w:styleId="ListBullet3">
    <w:name w:val="List Bullet 3"/>
    <w:basedOn w:val="Normal"/>
    <w:uiPriority w:val="99"/>
    <w:semiHidden/>
    <w:unhideWhenUsed/>
    <w:rsid w:val="001840A1"/>
    <w:pPr>
      <w:numPr>
        <w:numId w:val="5"/>
      </w:numPr>
      <w:contextualSpacing/>
    </w:pPr>
  </w:style>
  <w:style w:type="paragraph" w:styleId="ListBullet4">
    <w:name w:val="List Bullet 4"/>
    <w:basedOn w:val="Normal"/>
    <w:uiPriority w:val="99"/>
    <w:semiHidden/>
    <w:unhideWhenUsed/>
    <w:rsid w:val="001840A1"/>
    <w:pPr>
      <w:numPr>
        <w:numId w:val="6"/>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hu-HU"/>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C63D9D"/>
    <w:rPr>
      <w:rFonts w:ascii="Times New Roman" w:hAnsi="Times New Roman" w:cs="Times New Roman"/>
      <w:sz w:val="24"/>
      <w:lang w:val="hu-HU"/>
    </w:rPr>
  </w:style>
  <w:style w:type="character" w:customStyle="1" w:styleId="FooterChar">
    <w:name w:val="Footer Char"/>
    <w:basedOn w:val="DefaultParagraphFont"/>
    <w:link w:val="Footer"/>
    <w:uiPriority w:val="99"/>
    <w:rsid w:val="00C63D9D"/>
    <w:rPr>
      <w:rFonts w:ascii="Times New Roman" w:hAnsi="Times New Roman" w:cs="Times New Roman"/>
      <w:sz w:val="24"/>
      <w:lang w:val="hu-HU"/>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hu-HU"/>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hu-HU"/>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hu-HU"/>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hu-HU"/>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hu-HU"/>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hu-HU"/>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hu-HU"/>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C63D9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C63D9D"/>
    <w:pPr>
      <w:spacing w:before="0"/>
      <w:jc w:val="right"/>
    </w:pPr>
    <w:rPr>
      <w:sz w:val="28"/>
    </w:rPr>
  </w:style>
  <w:style w:type="paragraph" w:customStyle="1" w:styleId="FooterSensitivity">
    <w:name w:val="Footer Sensitivity"/>
    <w:basedOn w:val="Normal"/>
    <w:rsid w:val="00C63D9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7"/>
      </w:numPr>
    </w:pPr>
  </w:style>
  <w:style w:type="paragraph" w:customStyle="1" w:styleId="Tiret1">
    <w:name w:val="Tiret 1"/>
    <w:basedOn w:val="Point1"/>
    <w:pPr>
      <w:numPr>
        <w:numId w:val="8"/>
      </w:numPr>
    </w:pPr>
  </w:style>
  <w:style w:type="paragraph" w:customStyle="1" w:styleId="Tiret2">
    <w:name w:val="Tiret 2"/>
    <w:basedOn w:val="Point2"/>
    <w:pPr>
      <w:numPr>
        <w:numId w:val="9"/>
      </w:numPr>
    </w:pPr>
  </w:style>
  <w:style w:type="paragraph" w:customStyle="1" w:styleId="Tiret3">
    <w:name w:val="Tiret 3"/>
    <w:basedOn w:val="Point3"/>
    <w:pPr>
      <w:numPr>
        <w:numId w:val="10"/>
      </w:numPr>
    </w:pPr>
  </w:style>
  <w:style w:type="paragraph" w:customStyle="1" w:styleId="Tiret4">
    <w:name w:val="Tiret 4"/>
    <w:basedOn w:val="Point4"/>
    <w:pPr>
      <w:numPr>
        <w:numId w:val="11"/>
      </w:numPr>
    </w:pPr>
  </w:style>
  <w:style w:type="paragraph" w:customStyle="1" w:styleId="Tiret5">
    <w:name w:val="Tiret 5"/>
    <w:basedOn w:val="Point5"/>
    <w:pPr>
      <w:numPr>
        <w:numId w:val="1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3"/>
      </w:numPr>
    </w:pPr>
  </w:style>
  <w:style w:type="paragraph" w:customStyle="1" w:styleId="NumPar2">
    <w:name w:val="NumPar 2"/>
    <w:basedOn w:val="Normal"/>
    <w:next w:val="Text1"/>
    <w:pPr>
      <w:numPr>
        <w:ilvl w:val="1"/>
        <w:numId w:val="13"/>
      </w:numPr>
    </w:pPr>
  </w:style>
  <w:style w:type="paragraph" w:customStyle="1" w:styleId="NumPar3">
    <w:name w:val="NumPar 3"/>
    <w:basedOn w:val="Normal"/>
    <w:next w:val="Text1"/>
    <w:pPr>
      <w:numPr>
        <w:ilvl w:val="2"/>
        <w:numId w:val="13"/>
      </w:numPr>
    </w:pPr>
  </w:style>
  <w:style w:type="paragraph" w:customStyle="1" w:styleId="NumPar4">
    <w:name w:val="NumPar 4"/>
    <w:basedOn w:val="Normal"/>
    <w:next w:val="Text1"/>
    <w:pPr>
      <w:numPr>
        <w:ilvl w:val="3"/>
        <w:numId w:val="13"/>
      </w:numPr>
    </w:pPr>
  </w:style>
  <w:style w:type="paragraph" w:customStyle="1" w:styleId="NumPar5">
    <w:name w:val="NumPar 5"/>
    <w:basedOn w:val="Normal"/>
    <w:next w:val="Text2"/>
    <w:pPr>
      <w:numPr>
        <w:ilvl w:val="4"/>
        <w:numId w:val="13"/>
      </w:numPr>
    </w:pPr>
  </w:style>
  <w:style w:type="paragraph" w:customStyle="1" w:styleId="NumPar6">
    <w:name w:val="NumPar 6"/>
    <w:basedOn w:val="Normal"/>
    <w:next w:val="Text2"/>
    <w:pPr>
      <w:numPr>
        <w:ilvl w:val="5"/>
        <w:numId w:val="13"/>
      </w:numPr>
    </w:pPr>
  </w:style>
  <w:style w:type="paragraph" w:customStyle="1" w:styleId="NumPar7">
    <w:name w:val="NumPar 7"/>
    <w:basedOn w:val="Normal"/>
    <w:next w:val="Text2"/>
    <w:pPr>
      <w:numPr>
        <w:ilvl w:val="6"/>
        <w:numId w:val="1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5"/>
      </w:numPr>
    </w:pPr>
  </w:style>
  <w:style w:type="paragraph" w:customStyle="1" w:styleId="Point1number">
    <w:name w:val="Point 1 (number)"/>
    <w:basedOn w:val="Normal"/>
    <w:pPr>
      <w:numPr>
        <w:ilvl w:val="2"/>
        <w:numId w:val="15"/>
      </w:numPr>
    </w:pPr>
  </w:style>
  <w:style w:type="paragraph" w:customStyle="1" w:styleId="Point2number">
    <w:name w:val="Point 2 (number)"/>
    <w:basedOn w:val="Normal"/>
    <w:pPr>
      <w:numPr>
        <w:ilvl w:val="4"/>
        <w:numId w:val="15"/>
      </w:numPr>
    </w:pPr>
  </w:style>
  <w:style w:type="paragraph" w:customStyle="1" w:styleId="Point3number">
    <w:name w:val="Point 3 (number)"/>
    <w:basedOn w:val="Normal"/>
    <w:pPr>
      <w:numPr>
        <w:ilvl w:val="6"/>
        <w:numId w:val="15"/>
      </w:numPr>
    </w:pPr>
  </w:style>
  <w:style w:type="paragraph" w:customStyle="1" w:styleId="Point0letter">
    <w:name w:val="Point 0 (letter)"/>
    <w:basedOn w:val="Normal"/>
    <w:pPr>
      <w:numPr>
        <w:ilvl w:val="1"/>
        <w:numId w:val="15"/>
      </w:numPr>
    </w:pPr>
  </w:style>
  <w:style w:type="paragraph" w:customStyle="1" w:styleId="Point1letter">
    <w:name w:val="Point 1 (letter)"/>
    <w:basedOn w:val="Normal"/>
    <w:pPr>
      <w:numPr>
        <w:ilvl w:val="3"/>
        <w:numId w:val="15"/>
      </w:numPr>
    </w:pPr>
  </w:style>
  <w:style w:type="paragraph" w:customStyle="1" w:styleId="Point2letter">
    <w:name w:val="Point 2 (letter)"/>
    <w:basedOn w:val="Normal"/>
    <w:pPr>
      <w:numPr>
        <w:ilvl w:val="5"/>
        <w:numId w:val="15"/>
      </w:numPr>
    </w:pPr>
  </w:style>
  <w:style w:type="paragraph" w:customStyle="1" w:styleId="Point3letter">
    <w:name w:val="Point 3 (letter)"/>
    <w:basedOn w:val="Normal"/>
    <w:pPr>
      <w:numPr>
        <w:ilvl w:val="7"/>
        <w:numId w:val="15"/>
      </w:numPr>
    </w:pPr>
  </w:style>
  <w:style w:type="paragraph" w:customStyle="1" w:styleId="Point4letter">
    <w:name w:val="Point 4 (letter)"/>
    <w:basedOn w:val="Normal"/>
    <w:pPr>
      <w:numPr>
        <w:ilvl w:val="8"/>
        <w:numId w:val="15"/>
      </w:numPr>
    </w:pPr>
  </w:style>
  <w:style w:type="paragraph" w:customStyle="1" w:styleId="Bullet0">
    <w:name w:val="Bullet 0"/>
    <w:basedOn w:val="Normal"/>
    <w:pPr>
      <w:numPr>
        <w:numId w:val="16"/>
      </w:numPr>
    </w:pPr>
  </w:style>
  <w:style w:type="paragraph" w:customStyle="1" w:styleId="Bullet1">
    <w:name w:val="Bullet 1"/>
    <w:basedOn w:val="Normal"/>
    <w:pPr>
      <w:numPr>
        <w:numId w:val="17"/>
      </w:numPr>
    </w:pPr>
  </w:style>
  <w:style w:type="paragraph" w:customStyle="1" w:styleId="Bullet2">
    <w:name w:val="Bullet 2"/>
    <w:basedOn w:val="Normal"/>
    <w:pPr>
      <w:numPr>
        <w:numId w:val="18"/>
      </w:numPr>
    </w:pPr>
  </w:style>
  <w:style w:type="paragraph" w:customStyle="1" w:styleId="Bullet3">
    <w:name w:val="Bullet 3"/>
    <w:basedOn w:val="Normal"/>
    <w:pPr>
      <w:numPr>
        <w:numId w:val="19"/>
      </w:numPr>
    </w:pPr>
  </w:style>
  <w:style w:type="paragraph" w:customStyle="1" w:styleId="Bullet4">
    <w:name w:val="Bullet 4"/>
    <w:basedOn w:val="Normal"/>
    <w:pPr>
      <w:numPr>
        <w:numId w:val="2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C63D9D"/>
    <w:pPr>
      <w:tabs>
        <w:tab w:val="center" w:pos="4535"/>
        <w:tab w:val="right" w:pos="9071"/>
      </w:tabs>
      <w:spacing w:before="0"/>
    </w:pPr>
  </w:style>
  <w:style w:type="paragraph" w:customStyle="1" w:styleId="HeaderLandscape">
    <w:name w:val="HeaderLandscape"/>
    <w:basedOn w:val="Normal"/>
    <w:rsid w:val="00C63D9D"/>
    <w:pPr>
      <w:tabs>
        <w:tab w:val="center" w:pos="7285"/>
        <w:tab w:val="right" w:pos="14003"/>
      </w:tabs>
      <w:spacing w:before="0"/>
    </w:pPr>
  </w:style>
  <w:style w:type="paragraph" w:styleId="Footer">
    <w:name w:val="footer"/>
    <w:basedOn w:val="Normal"/>
    <w:link w:val="FooterChar"/>
    <w:uiPriority w:val="99"/>
    <w:unhideWhenUsed/>
    <w:rsid w:val="00C63D9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C63D9D"/>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2.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4F2223-C5F1-427E-8B1C-C8130F323603}">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18</TotalTime>
  <Pages>5</Pages>
  <Words>1527</Words>
  <Characters>8705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37</cp:revision>
  <cp:lastPrinted>2025-05-08T07:59:00Z</cp:lastPrinted>
  <dcterms:created xsi:type="dcterms:W3CDTF">2025-09-16T13:52:00Z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