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95122F" w:rsidRDefault="00FE75FF" w:rsidP="00FE75FF">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3BDFC4EA-B214-4085-8BC9-893AD56DBBA3" style="width:455.25pt;height:369.75pt">
            <v:imagedata r:id="rId11" o:title=""/>
          </v:shape>
        </w:pict>
      </w:r>
    </w:p>
    <w:p w:rsidR="00FE7FED" w:rsidRPr="0095122F" w:rsidRDefault="00FE7FED">
      <w:pPr>
        <w:rPr>
          <w:noProof/>
        </w:rPr>
        <w:sectPr w:rsidR="00FE7FED" w:rsidRPr="0095122F" w:rsidSect="00FE75FF">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95122F" w:rsidRDefault="0095122F" w:rsidP="0095122F">
      <w:pPr>
        <w:pStyle w:val="Typedudocument"/>
        <w:rPr>
          <w:noProof/>
        </w:rPr>
      </w:pPr>
      <w:bookmarkStart w:id="0" w:name="_GoBack"/>
      <w:bookmarkEnd w:id="0"/>
      <w:r w:rsidRPr="0095122F">
        <w:rPr>
          <w:noProof/>
        </w:rPr>
        <w:lastRenderedPageBreak/>
        <w:t>PROVEDBENA UREDBA KOMISIJE (EU) …/...</w:t>
      </w:r>
    </w:p>
    <w:p w:rsidR="009713B0" w:rsidRPr="0095122F" w:rsidRDefault="00CC5E4E" w:rsidP="0095122F">
      <w:pPr>
        <w:pStyle w:val="Datedadoption"/>
        <w:rPr>
          <w:noProof/>
        </w:rPr>
      </w:pPr>
      <w:r>
        <w:rPr>
          <w:noProof/>
        </w:rPr>
        <w:t>оd 1.10.2025.</w:t>
      </w:r>
    </w:p>
    <w:p w:rsidR="009713B0" w:rsidRPr="0095122F" w:rsidRDefault="0095122F" w:rsidP="0095122F">
      <w:pPr>
        <w:pStyle w:val="Titreobjet"/>
        <w:rPr>
          <w:noProof/>
        </w:rPr>
      </w:pPr>
      <w:r w:rsidRPr="0095122F">
        <w:rPr>
          <w:noProof/>
        </w:rPr>
        <w:t>o utvrđivanju provedbenih tehničkih standarda za primjenu Uredbe (EU) br. 260/2012 Europskog parlamenta i Vijeća u pogledu jedinstvenih obrazaca za izvješćivanje, uputa i metodologije za izvješćivanje o visini naknada za kreditne transfere, instant kreditne transfere i račune za plaćanje te o udjelu odbijenih transakcija</w:t>
      </w:r>
    </w:p>
    <w:p w:rsidR="009713B0" w:rsidRPr="0095122F" w:rsidRDefault="009713B0" w:rsidP="009713B0">
      <w:pPr>
        <w:pStyle w:val="Institutionquiagit"/>
        <w:rPr>
          <w:noProof/>
        </w:rPr>
      </w:pPr>
      <w:r w:rsidRPr="0095122F">
        <w:rPr>
          <w:noProof/>
        </w:rPr>
        <w:t>EUROPSKA KOMISIJA,</w:t>
      </w:r>
    </w:p>
    <w:p w:rsidR="009713B0" w:rsidRPr="0095122F" w:rsidRDefault="009713B0" w:rsidP="009713B0">
      <w:pPr>
        <w:rPr>
          <w:noProof/>
          <w:color w:val="000000"/>
        </w:rPr>
      </w:pPr>
      <w:r w:rsidRPr="0095122F">
        <w:rPr>
          <w:noProof/>
          <w:color w:val="000000"/>
        </w:rPr>
        <w:t>uzimajući u obzir Ugovor o funkcioniranju Europske unije,</w:t>
      </w:r>
    </w:p>
    <w:p w:rsidR="009713B0" w:rsidRPr="0095122F" w:rsidRDefault="009713B0" w:rsidP="009713B0">
      <w:pPr>
        <w:rPr>
          <w:noProof/>
          <w:color w:val="000000"/>
        </w:rPr>
      </w:pPr>
      <w:r w:rsidRPr="0095122F">
        <w:rPr>
          <w:noProof/>
          <w:color w:val="000000"/>
        </w:rPr>
        <w:t>uzimajući u obzir Uredbu (EU) br. 260/2012 Europskog parlamenta i Vijeća od 14. ožujka 2012. o utvrđivanju tehničkih i poslovnih zahtjeva za kreditne transfere i izravna terećenja u eurima i o izmjeni Uredbe (EZ) br. 924/2009</w:t>
      </w:r>
      <w:r w:rsidRPr="0095122F">
        <w:rPr>
          <w:rStyle w:val="FootnoteReference"/>
          <w:noProof/>
          <w:color w:val="000000"/>
        </w:rPr>
        <w:footnoteReference w:id="2"/>
      </w:r>
      <w:r w:rsidRPr="0095122F">
        <w:rPr>
          <w:noProof/>
          <w:color w:val="000000"/>
        </w:rPr>
        <w:t xml:space="preserve">, a posebno njezin članak 15. stavak 5. treći podstavak, </w:t>
      </w:r>
    </w:p>
    <w:p w:rsidR="009713B0" w:rsidRPr="0095122F" w:rsidRDefault="009713B0" w:rsidP="009713B0">
      <w:pPr>
        <w:rPr>
          <w:noProof/>
        </w:rPr>
      </w:pPr>
      <w:r w:rsidRPr="0095122F">
        <w:rPr>
          <w:noProof/>
          <w:color w:val="000000"/>
        </w:rPr>
        <w:t>budući da</w:t>
      </w:r>
      <w:r w:rsidRPr="0095122F">
        <w:rPr>
          <w:noProof/>
        </w:rPr>
        <w:t>:</w:t>
      </w:r>
    </w:p>
    <w:p w:rsidR="00AC0006" w:rsidRPr="0095122F" w:rsidRDefault="0020591B" w:rsidP="0020591B">
      <w:pPr>
        <w:pStyle w:val="ManualConsidrant"/>
        <w:rPr>
          <w:noProof/>
        </w:rPr>
      </w:pPr>
      <w:r w:rsidRPr="0020591B">
        <w:rPr>
          <w:noProof/>
        </w:rPr>
        <w:t>(1)</w:t>
      </w:r>
      <w:r w:rsidRPr="0020591B">
        <w:rPr>
          <w:noProof/>
        </w:rPr>
        <w:tab/>
      </w:r>
      <w:r w:rsidR="00925CEE" w:rsidRPr="0095122F">
        <w:rPr>
          <w:noProof/>
        </w:rPr>
        <w:t xml:space="preserve">Izvješćivanje o visini naknada na temelju članka 15. stavka 3. Uredbe (EU) br. 260/2012 trebalo bi Komisiji omogućiti da procijeni učinak pravila o naknadama koje se obračunavaju za instant kreditne transfere, utvrđenog u članku 5.b stavku 1. te uredbe, na naknade za račune za plaćanje, naknade za nacionalne i prekogranične kreditne transfere i naknade za instant kreditne transfere u eurima i nacionalnoj valuti država članica čija valuta nije euro. Naknade koje pružatelji platnih usluga obračunavaju za kreditne transfere, uključujući instant kreditne transfere, obično variraju ovisno o obilježjima konkretnog kreditnog transfera, na primjer o tome je li korisnik platnih usluga platitelj ili primatelj plaćanja, je li potrošač ili nije odnosno o vrsti kanala za iniciranje plaćanja. Zato bi poslano izvješće o kreditnim transferima trebalo sadržavati raščlambe na domaće i prekogranične transfere, vrstu korisnika platnih usluga i kanala za iniciranje plaćanja. </w:t>
      </w:r>
    </w:p>
    <w:p w:rsidR="00F133B9" w:rsidRPr="0095122F" w:rsidRDefault="0020591B" w:rsidP="0020591B">
      <w:pPr>
        <w:pStyle w:val="ManualConsidrant"/>
        <w:rPr>
          <w:noProof/>
        </w:rPr>
      </w:pPr>
      <w:r w:rsidRPr="0020591B">
        <w:rPr>
          <w:noProof/>
        </w:rPr>
        <w:t>(2)</w:t>
      </w:r>
      <w:r w:rsidRPr="0020591B">
        <w:rPr>
          <w:noProof/>
        </w:rPr>
        <w:tab/>
      </w:r>
      <w:r w:rsidR="00914C54" w:rsidRPr="0095122F">
        <w:rPr>
          <w:noProof/>
        </w:rPr>
        <w:t>Pružatelji platnih usluga mogu naknade po transakcijama utvrditi u nominalnom iznosu ili u postotku vrijednosti transakcije. Pružatelji platnih usluga mogu primjenjivati alternativne strukture naknada, kao što su diferencirano određivanje cijena na temelju različitih razreda vrijednosti transakcija ili pristupi u kojima se naknada obračunava tek nakon određenog broja mjesečnih transakcija koje se provode bez naknade. Ne bi bilo dobro da heterogenost poslovnih praksi dovede do zaobilaženja cilja koji se želi ostvariti pravilom o naknadama za instant kreditne transfere utvrđenim u članku 5.b stavku 1. Uredbe (EU) br. 260/2012. Metodologija dostave informacija o visini naknada za redovne i instant kreditne transfere trebala bi Komisiji omogućiti ujednačenu i usporedivu evaluaciju informacija koje dostavljaju pružatelji platnih usluga, na razini pojedinačnog pružatelja platnih usluga tijekom vremena i među različitim pružateljima platnih usluga u određenom trenutku, unatoč njihovim različitim metodama obračuna. Izvješće bi stoga trebalo sadržavati informacije o ukupnim agregiranim naknadama, količini i vrijednosti kreditnih transfera, uključujući instant kreditne transfere, u nacionalnoj valuti. Izvješće o poslanim i primljenim kreditnim transferima trebalo bi sadržavati i raščlambu na kreditne transfere bez naknade i s naknadom.</w:t>
      </w:r>
    </w:p>
    <w:p w:rsidR="009713B0" w:rsidRPr="0095122F" w:rsidRDefault="0020591B" w:rsidP="0020591B">
      <w:pPr>
        <w:pStyle w:val="ManualConsidrant"/>
        <w:rPr>
          <w:noProof/>
        </w:rPr>
      </w:pPr>
      <w:r w:rsidRPr="0020591B">
        <w:rPr>
          <w:noProof/>
        </w:rPr>
        <w:t>(3)</w:t>
      </w:r>
      <w:r w:rsidRPr="0020591B">
        <w:rPr>
          <w:noProof/>
        </w:rPr>
        <w:tab/>
      </w:r>
      <w:r w:rsidR="004425F3" w:rsidRPr="0095122F">
        <w:rPr>
          <w:noProof/>
        </w:rPr>
        <w:t>Pružatelji platnih usluga trebali bi svoju obvezu izvješćivanja iz članka 15. stavka 3. Uredbe (EU) br. 260/2012 izvršavati na razini subjekta. Radi usklađenosti s načinom dostave statističkih podataka ESB-u, podružnice pružatelja platnih usluga koje se ne nalaze u istoj državi članici kao njihova matična društva trebale bi svoje podatke dostavljati nadležnom tijelu u državi članici domaćinu, a matična društva svoje podatke nadležnom tijelu u svojoj matičnoj državi članici.</w:t>
      </w:r>
    </w:p>
    <w:p w:rsidR="009713B0" w:rsidRPr="0095122F" w:rsidRDefault="0020591B" w:rsidP="0020591B">
      <w:pPr>
        <w:pStyle w:val="ManualConsidrant"/>
        <w:rPr>
          <w:noProof/>
        </w:rPr>
      </w:pPr>
      <w:r w:rsidRPr="0020591B">
        <w:rPr>
          <w:noProof/>
        </w:rPr>
        <w:t>(4)</w:t>
      </w:r>
      <w:r w:rsidRPr="0020591B">
        <w:rPr>
          <w:noProof/>
        </w:rPr>
        <w:tab/>
      </w:r>
      <w:r w:rsidR="000D1771" w:rsidRPr="0095122F">
        <w:rPr>
          <w:noProof/>
        </w:rPr>
        <w:t>Pružatelji platnih usluga u državama članicama čija valuta nije euro koji svojim korisnicima platnih usluga nude uslugu slanja i primanja redovnih kreditnih transfera u eurima obvezni su do 9. siječnja 2027. svojim korisnicima platnih usluga ponuditi uslugu primanja instant kreditnih transfera u eurima, a do 9. srpnja 2027. uslugu slanja instant kreditnih transfera u eurima, kako je utvrđeno u članku 5.a stavku 8. Uredbe (EU) br. 260/2012. Ti pružatelji platnih usluga trebali bi u skladu s člankom 5.b stavkom 3. drugim podstavkom te uredbe do 9. siječnja 2027. početi ispunjavati i obveze o naknadama koje se platiteljima i primateljima plaćanja obračunavaju za slanje i primanje instant kreditnih transfera u eurima. Kako bi se Komisiji omogućilo da ocijeni učinak Uredbe (EU) br. 260/2012 na visinu naknada za kreditne transfere, uključujući instant kreditne transfere, u nacionalnoj valuti država članica čija valuta nije euro, na temelju članka 15. stavka 2. točke (a) te uredbe, primjereno je da pružatelji platnih usluga u tim državama članicama koji svojim korisnicima platnih usluga nude usluge primanja i slanja redovnih kreditnih transfera u eurima izvješćuju o broju i vrijednostima kreditnih transfera, uključujući instant kreditne transfere, i naknadama za te transfere u svojoj nacionalnoj valuti i u eurima.</w:t>
      </w:r>
    </w:p>
    <w:p w:rsidR="009713B0" w:rsidRPr="0095122F" w:rsidRDefault="0020591B" w:rsidP="0020591B">
      <w:pPr>
        <w:pStyle w:val="ManualConsidrant"/>
        <w:rPr>
          <w:noProof/>
        </w:rPr>
      </w:pPr>
      <w:r w:rsidRPr="0020591B">
        <w:rPr>
          <w:noProof/>
        </w:rPr>
        <w:t>(5)</w:t>
      </w:r>
      <w:r w:rsidRPr="0020591B">
        <w:rPr>
          <w:noProof/>
        </w:rPr>
        <w:tab/>
      </w:r>
      <w:r w:rsidR="009713B0" w:rsidRPr="0095122F">
        <w:rPr>
          <w:noProof/>
        </w:rPr>
        <w:t>Pružatelji platnih usluga bi za potrebe izvješćivanja u skladu s člankom 15. stavkom 3. Uredbe (EU) br. 260/2012 trebali svojim nadležnim tijelima dostavljati podatke o ukupnom broju računa za plaćanje i ukupnim agregiranim naknadama za te račune. Da bi Komisija mogla utvrditi jesu li potencijalne promjene naknada za račune za plaćanje povezane s promjenama naknada za kreditne transfere i instant kreditne transfere, u izvješćima bi trebalo zasebno iskazati naknade za vođenje računa.</w:t>
      </w:r>
    </w:p>
    <w:p w:rsidR="009713B0" w:rsidRPr="0095122F" w:rsidRDefault="0020591B" w:rsidP="0020591B">
      <w:pPr>
        <w:pStyle w:val="ManualConsidrant"/>
        <w:rPr>
          <w:noProof/>
        </w:rPr>
      </w:pPr>
      <w:r w:rsidRPr="0020591B">
        <w:rPr>
          <w:noProof/>
        </w:rPr>
        <w:t>(6)</w:t>
      </w:r>
      <w:r w:rsidRPr="0020591B">
        <w:rPr>
          <w:noProof/>
        </w:rPr>
        <w:tab/>
      </w:r>
      <w:r w:rsidR="00136075" w:rsidRPr="0095122F">
        <w:rPr>
          <w:noProof/>
        </w:rPr>
        <w:t>Da bi Komisija mogla procijeniti udio instant kreditnih transfera odbijenih zbog primjene ciljanih financijskih mjera ograničavanja donesenih u skladu s člankom 215. Ugovora o funkcioniranju Europske unije i utvrditi je li se taj udio mijenjao nakon početka primjene izmjena Uredbe (EU) br. 260/2012 uvedenih Uredbom (EU) 2024/886 Europskog parlamenta i Vijeća</w:t>
      </w:r>
      <w:r w:rsidR="00136075" w:rsidRPr="0095122F">
        <w:rPr>
          <w:rStyle w:val="FootnoteReference"/>
          <w:noProof/>
        </w:rPr>
        <w:footnoteReference w:id="3"/>
      </w:r>
      <w:r w:rsidR="00136075" w:rsidRPr="0095122F">
        <w:rPr>
          <w:noProof/>
        </w:rPr>
        <w:t xml:space="preserve">, pružatelji platnih usluga trebali bi svojim nadležnim tijelima dostaviti podatak o tom udjelu u toj godini i broj slučajeva neizvršenih instant kreditnih transfera ili zamrzavanja sredstava na strani platitelja ili primatelja plaćanja pružatelja platnih usluga. </w:t>
      </w:r>
    </w:p>
    <w:p w:rsidR="0039723A" w:rsidRPr="0095122F" w:rsidRDefault="0020591B" w:rsidP="0020591B">
      <w:pPr>
        <w:pStyle w:val="ManualConsidrant"/>
        <w:rPr>
          <w:noProof/>
        </w:rPr>
      </w:pPr>
      <w:r w:rsidRPr="0020591B">
        <w:rPr>
          <w:noProof/>
        </w:rPr>
        <w:t>(7)</w:t>
      </w:r>
      <w:r w:rsidRPr="0020591B">
        <w:rPr>
          <w:noProof/>
        </w:rPr>
        <w:tab/>
      </w:r>
      <w:r w:rsidR="00B17DF1" w:rsidRPr="0095122F">
        <w:rPr>
          <w:noProof/>
        </w:rPr>
        <w:t>Pružatelji platnih usluga bi radi usklađivanja izvješćivanja trebali koristiti model podataka i formule za validaciju koji su dostupni na internetskim stranicama Europskog nadzornog tijela za bankarstvo (EBA). Osim toga, da bi se smanjilo izvještajno opterećenje i izbjeglo udvostručavanje, nadležna tijela trebala bi moći pružateljima platnih usluga u svojoj jurisdikciji dopustiti da izvješća ograniče na podatke koji već nisu dostavljeni.</w:t>
      </w:r>
    </w:p>
    <w:p w:rsidR="009713B0" w:rsidRPr="0095122F" w:rsidRDefault="0020591B" w:rsidP="0020591B">
      <w:pPr>
        <w:pStyle w:val="ManualConsidrant"/>
        <w:rPr>
          <w:noProof/>
        </w:rPr>
      </w:pPr>
      <w:r w:rsidRPr="0020591B">
        <w:rPr>
          <w:noProof/>
        </w:rPr>
        <w:t>(8)</w:t>
      </w:r>
      <w:r w:rsidRPr="0020591B">
        <w:rPr>
          <w:noProof/>
        </w:rPr>
        <w:tab/>
      </w:r>
      <w:r w:rsidR="009713B0" w:rsidRPr="0095122F">
        <w:rPr>
          <w:noProof/>
        </w:rPr>
        <w:t>Ova se Uredba temelji na nacrtu provedbenih tehničkih standarda koji je EBA dostavila Komisiji.</w:t>
      </w:r>
    </w:p>
    <w:p w:rsidR="009713B0" w:rsidRPr="0095122F" w:rsidRDefault="0020591B" w:rsidP="0020591B">
      <w:pPr>
        <w:pStyle w:val="ManualConsidrant"/>
        <w:rPr>
          <w:noProof/>
        </w:rPr>
      </w:pPr>
      <w:r w:rsidRPr="0020591B">
        <w:rPr>
          <w:noProof/>
        </w:rPr>
        <w:t>(9)</w:t>
      </w:r>
      <w:r w:rsidRPr="0020591B">
        <w:rPr>
          <w:noProof/>
        </w:rPr>
        <w:tab/>
      </w:r>
      <w:r w:rsidR="009713B0" w:rsidRPr="0095122F">
        <w:rPr>
          <w:noProof/>
        </w:rPr>
        <w:t>EBA je provela otvoreno javno savjetovanje o nacrtu provedbenih tehničkih standarda na kojem se temelji ova Uredba, analizirala moguće povezane troškove i koristi te zatražila savjet Interesne skupine za bankarstvo osnovane u skladu s člankom 37. Uredbe (EU) br. 1093/2010 Europskog parlamenta i Vijeća</w:t>
      </w:r>
      <w:r w:rsidR="009713B0" w:rsidRPr="0095122F">
        <w:rPr>
          <w:rStyle w:val="FootnoteReference"/>
          <w:noProof/>
        </w:rPr>
        <w:footnoteReference w:id="4"/>
      </w:r>
      <w:r w:rsidR="009713B0" w:rsidRPr="0095122F">
        <w:rPr>
          <w:noProof/>
        </w:rPr>
        <w:t>,</w:t>
      </w:r>
    </w:p>
    <w:p w:rsidR="009713B0" w:rsidRPr="0095122F" w:rsidRDefault="009713B0" w:rsidP="009713B0">
      <w:pPr>
        <w:pStyle w:val="Formuledadoption"/>
        <w:rPr>
          <w:noProof/>
        </w:rPr>
      </w:pPr>
      <w:r w:rsidRPr="0095122F">
        <w:rPr>
          <w:noProof/>
        </w:rPr>
        <w:t>DONIJELA JE OVU UREDBU:</w:t>
      </w:r>
    </w:p>
    <w:p w:rsidR="009713B0" w:rsidRPr="0095122F" w:rsidRDefault="009713B0" w:rsidP="009713B0">
      <w:pPr>
        <w:pStyle w:val="Titrearticle"/>
        <w:rPr>
          <w:noProof/>
        </w:rPr>
      </w:pPr>
      <w:r w:rsidRPr="0095122F">
        <w:rPr>
          <w:noProof/>
        </w:rPr>
        <w:t>Članak 1.</w:t>
      </w:r>
    </w:p>
    <w:p w:rsidR="009713B0" w:rsidRPr="0095122F" w:rsidRDefault="009713B0" w:rsidP="009713B0">
      <w:pPr>
        <w:jc w:val="center"/>
        <w:rPr>
          <w:b/>
          <w:bCs/>
          <w:noProof/>
        </w:rPr>
      </w:pPr>
      <w:r w:rsidRPr="0095122F">
        <w:rPr>
          <w:b/>
          <w:noProof/>
        </w:rPr>
        <w:t>Izvješćivanje o visini naknada</w:t>
      </w:r>
    </w:p>
    <w:p w:rsidR="009713B0" w:rsidRPr="0095122F" w:rsidRDefault="009713B0" w:rsidP="009713B0">
      <w:pPr>
        <w:pStyle w:val="Point0"/>
        <w:rPr>
          <w:noProof/>
        </w:rPr>
      </w:pPr>
      <w:r w:rsidRPr="0095122F">
        <w:rPr>
          <w:noProof/>
        </w:rPr>
        <w:t>1.</w:t>
      </w:r>
      <w:r w:rsidRPr="0095122F">
        <w:rPr>
          <w:noProof/>
        </w:rPr>
        <w:tab/>
        <w:t>Pružatelji platnih usluga izvješćuju o visini naknada za kreditne transfere, instant kreditne transfere i račune za plaćanje dostavom informacija navedenih u obrascima 1.1, 1.2, 2.1, 2.2 i 3 iz Priloga I. i u skladu s uputama iz Priloga II.</w:t>
      </w:r>
    </w:p>
    <w:p w:rsidR="009713B0" w:rsidRPr="0095122F" w:rsidRDefault="009713B0" w:rsidP="009713B0">
      <w:pPr>
        <w:pStyle w:val="Point0"/>
        <w:rPr>
          <w:noProof/>
        </w:rPr>
      </w:pPr>
      <w:r w:rsidRPr="0095122F">
        <w:rPr>
          <w:noProof/>
        </w:rPr>
        <w:t>2.</w:t>
      </w:r>
      <w:r w:rsidRPr="0095122F">
        <w:rPr>
          <w:noProof/>
        </w:rPr>
        <w:tab/>
        <w:t>Pružatelji platnih usluga u izvješćima navode godišnje agregirane vrijednosti za razdoblje do 31. prosinca kalendarske godine koja prethodi godini dostave izvješća.</w:t>
      </w:r>
    </w:p>
    <w:p w:rsidR="009713B0" w:rsidRPr="0095122F" w:rsidRDefault="009713B0" w:rsidP="009713B0">
      <w:pPr>
        <w:pStyle w:val="Point0"/>
        <w:rPr>
          <w:noProof/>
        </w:rPr>
      </w:pPr>
      <w:r w:rsidRPr="0095122F">
        <w:rPr>
          <w:noProof/>
        </w:rPr>
        <w:t>3.</w:t>
      </w:r>
      <w:r w:rsidRPr="0095122F">
        <w:rPr>
          <w:noProof/>
        </w:rPr>
        <w:tab/>
        <w:t>Odstupajući od stavka 2., prvo usklađeno izvješće sadržava agregirane vrijednosti za svaku godinu koja prethodi godini dostave izvješća, počevši s razdobljem od 26. listopada do 31. prosinca 2022.</w:t>
      </w:r>
    </w:p>
    <w:p w:rsidR="009713B0" w:rsidRPr="0095122F" w:rsidRDefault="009713B0" w:rsidP="009713B0">
      <w:pPr>
        <w:pStyle w:val="Titrearticle"/>
        <w:rPr>
          <w:noProof/>
        </w:rPr>
      </w:pPr>
      <w:r w:rsidRPr="0095122F">
        <w:rPr>
          <w:noProof/>
        </w:rPr>
        <w:t>Članak 2.</w:t>
      </w:r>
    </w:p>
    <w:p w:rsidR="009713B0" w:rsidRPr="0095122F" w:rsidRDefault="009713B0" w:rsidP="009713B0">
      <w:pPr>
        <w:jc w:val="center"/>
        <w:rPr>
          <w:b/>
          <w:bCs/>
          <w:noProof/>
        </w:rPr>
      </w:pPr>
      <w:r w:rsidRPr="0095122F">
        <w:rPr>
          <w:b/>
          <w:noProof/>
        </w:rPr>
        <w:t>Izvješćivanje o udjelu odbijenih transakcija instant kreditnih transfera i referentna razdoblja</w:t>
      </w:r>
    </w:p>
    <w:p w:rsidR="009713B0" w:rsidRPr="0095122F" w:rsidRDefault="009713B0" w:rsidP="009713B0">
      <w:pPr>
        <w:pStyle w:val="Point0"/>
        <w:rPr>
          <w:noProof/>
        </w:rPr>
      </w:pPr>
      <w:r w:rsidRPr="0095122F">
        <w:rPr>
          <w:noProof/>
        </w:rPr>
        <w:t>1.</w:t>
      </w:r>
      <w:r w:rsidRPr="0095122F">
        <w:rPr>
          <w:noProof/>
        </w:rPr>
        <w:tab/>
        <w:t>Pružatelji platnih usluga izvješćuju o udjelu transakcija instant kreditnih transfera koje su odbijene zbog primjene ciljanih financijskih mjera ograničavanja iz članka 15. stavka 3. Uredbe (EU) br. 260/2012, što uključuje zasebne podatke o domaćim i prekograničnim transakcijama, dostavom informacija navedenih u obrascu 4 iz Priloga I. i u skladu s uputama iz Priloga II.</w:t>
      </w:r>
    </w:p>
    <w:p w:rsidR="009713B0" w:rsidRPr="0095122F" w:rsidRDefault="009713B0" w:rsidP="009713B0">
      <w:pPr>
        <w:pStyle w:val="Point0"/>
        <w:rPr>
          <w:noProof/>
        </w:rPr>
      </w:pPr>
      <w:r w:rsidRPr="0095122F">
        <w:rPr>
          <w:noProof/>
        </w:rPr>
        <w:t>2.</w:t>
      </w:r>
      <w:r w:rsidRPr="0095122F">
        <w:rPr>
          <w:noProof/>
        </w:rPr>
        <w:tab/>
        <w:t>Izvješća sadržavaju broj odbijenih transakcija u kalendarskoj godini koja prethodi godini dostave izvješća.</w:t>
      </w:r>
    </w:p>
    <w:p w:rsidR="00AD7B15" w:rsidRPr="0095122F" w:rsidRDefault="009713B0" w:rsidP="009713B0">
      <w:pPr>
        <w:pStyle w:val="Point0"/>
        <w:rPr>
          <w:noProof/>
        </w:rPr>
      </w:pPr>
      <w:r w:rsidRPr="0095122F">
        <w:rPr>
          <w:noProof/>
        </w:rPr>
        <w:t>3.</w:t>
      </w:r>
      <w:r w:rsidRPr="0095122F">
        <w:rPr>
          <w:noProof/>
        </w:rPr>
        <w:tab/>
        <w:t>Odstupajući od stavka 2., prvo usklađeno izvješće sadržava ispunjene obrasce s brojem odbijenih transakcija za svaku godinu koja prethodi godini dostave izvješća, počevši s razdobljem od 26. listopada do 31. prosinca 2022.</w:t>
      </w:r>
    </w:p>
    <w:p w:rsidR="00AD7B15" w:rsidRPr="0095122F" w:rsidRDefault="00AD7B15">
      <w:pPr>
        <w:spacing w:before="0" w:after="200" w:line="276" w:lineRule="auto"/>
        <w:jc w:val="left"/>
        <w:rPr>
          <w:noProof/>
        </w:rPr>
      </w:pPr>
      <w:r w:rsidRPr="0095122F">
        <w:rPr>
          <w:noProof/>
        </w:rPr>
        <w:br w:type="page"/>
      </w:r>
    </w:p>
    <w:p w:rsidR="009713B0" w:rsidRPr="0095122F" w:rsidRDefault="009713B0" w:rsidP="009713B0">
      <w:pPr>
        <w:pStyle w:val="Titrearticle"/>
        <w:rPr>
          <w:noProof/>
        </w:rPr>
      </w:pPr>
      <w:r w:rsidRPr="0095122F">
        <w:rPr>
          <w:noProof/>
        </w:rPr>
        <w:t>Članak 3.</w:t>
      </w:r>
    </w:p>
    <w:p w:rsidR="009713B0" w:rsidRPr="0095122F" w:rsidRDefault="009713B0" w:rsidP="009713B0">
      <w:pPr>
        <w:jc w:val="center"/>
        <w:rPr>
          <w:b/>
          <w:bCs/>
          <w:noProof/>
        </w:rPr>
      </w:pPr>
      <w:r w:rsidRPr="0095122F">
        <w:rPr>
          <w:b/>
          <w:noProof/>
        </w:rPr>
        <w:t>Formati za razmjenu podataka i dodatne informacije</w:t>
      </w:r>
    </w:p>
    <w:p w:rsidR="009713B0" w:rsidRPr="0095122F" w:rsidRDefault="009713B0" w:rsidP="009713B0">
      <w:pPr>
        <w:rPr>
          <w:noProof/>
        </w:rPr>
      </w:pPr>
      <w:r w:rsidRPr="0095122F">
        <w:rPr>
          <w:noProof/>
        </w:rPr>
        <w:t>Pružatelji platnih usluga informacije iz članaka 1. i 2. ove Uredbe dostavljaju u formatima za razmjenu podataka i prikazima koje odrede nadležna tijela i obvezni su poštovati definiciju podatka iz modela podataka i formule za validaciju koji su dostupni na internetskim stranicama EBA-e. Pružatelji platnih usluga obvezni su ispuniti sljedeće uvjete:</w:t>
      </w:r>
    </w:p>
    <w:p w:rsidR="009713B0" w:rsidRPr="0095122F" w:rsidRDefault="0020591B" w:rsidP="0020591B">
      <w:pPr>
        <w:pStyle w:val="Point0"/>
        <w:rPr>
          <w:noProof/>
        </w:rPr>
      </w:pPr>
      <w:r w:rsidRPr="0020591B">
        <w:rPr>
          <w:noProof/>
        </w:rPr>
        <w:t>(a)</w:t>
      </w:r>
      <w:r w:rsidRPr="0020591B">
        <w:rPr>
          <w:noProof/>
        </w:rPr>
        <w:tab/>
      </w:r>
      <w:r w:rsidR="009713B0" w:rsidRPr="0095122F">
        <w:rPr>
          <w:noProof/>
        </w:rPr>
        <w:t>informacije koje nisu potrebne ili primjenjive ne navode se pri dostavi podataka;</w:t>
      </w:r>
    </w:p>
    <w:p w:rsidR="009713B0" w:rsidRPr="0095122F" w:rsidRDefault="0020591B" w:rsidP="0020591B">
      <w:pPr>
        <w:pStyle w:val="Point0"/>
        <w:rPr>
          <w:noProof/>
        </w:rPr>
      </w:pPr>
      <w:r w:rsidRPr="0020591B">
        <w:rPr>
          <w:noProof/>
        </w:rPr>
        <w:t>(b)</w:t>
      </w:r>
      <w:r w:rsidRPr="0020591B">
        <w:rPr>
          <w:noProof/>
        </w:rPr>
        <w:tab/>
      </w:r>
      <w:r w:rsidR="009713B0" w:rsidRPr="0095122F">
        <w:rPr>
          <w:noProof/>
        </w:rPr>
        <w:t>numeričke vrijednosti dostavljaju se kako slijedi:</w:t>
      </w:r>
    </w:p>
    <w:p w:rsidR="009713B0" w:rsidRPr="0095122F" w:rsidRDefault="0055071E" w:rsidP="009713B0">
      <w:pPr>
        <w:pStyle w:val="Point1"/>
        <w:rPr>
          <w:noProof/>
        </w:rPr>
      </w:pPr>
      <w:r w:rsidRPr="0095122F">
        <w:rPr>
          <w:noProof/>
        </w:rPr>
        <w:t>i.</w:t>
      </w:r>
      <w:r w:rsidRPr="0095122F">
        <w:rPr>
          <w:noProof/>
        </w:rPr>
        <w:tab/>
        <w:t>podatke vrste „monetarni” iskazuju minimalno na razini tisućica;</w:t>
      </w:r>
    </w:p>
    <w:p w:rsidR="009713B0" w:rsidRPr="0095122F" w:rsidRDefault="0055071E" w:rsidP="009713B0">
      <w:pPr>
        <w:pStyle w:val="Point1"/>
        <w:rPr>
          <w:noProof/>
        </w:rPr>
      </w:pPr>
      <w:r w:rsidRPr="0095122F">
        <w:rPr>
          <w:noProof/>
        </w:rPr>
        <w:t>ii.</w:t>
      </w:r>
      <w:r w:rsidRPr="0095122F">
        <w:rPr>
          <w:noProof/>
        </w:rPr>
        <w:tab/>
        <w:t>podatke vrste „cijeli broj” iskazuju bez decimalnih mjesta, minimalno na razini jedinica.</w:t>
      </w:r>
    </w:p>
    <w:p w:rsidR="009713B0" w:rsidRPr="0095122F" w:rsidRDefault="009713B0" w:rsidP="009713B0">
      <w:pPr>
        <w:pStyle w:val="Titrearticle"/>
        <w:rPr>
          <w:noProof/>
        </w:rPr>
      </w:pPr>
      <w:r w:rsidRPr="0095122F">
        <w:rPr>
          <w:noProof/>
        </w:rPr>
        <w:t>Članak 4.</w:t>
      </w:r>
    </w:p>
    <w:p w:rsidR="009713B0" w:rsidRPr="0095122F" w:rsidRDefault="009713B0" w:rsidP="009713B0">
      <w:pPr>
        <w:jc w:val="center"/>
        <w:rPr>
          <w:noProof/>
        </w:rPr>
      </w:pPr>
      <w:r w:rsidRPr="0095122F">
        <w:rPr>
          <w:b/>
          <w:noProof/>
        </w:rPr>
        <w:t>Stupanje na snagu</w:t>
      </w:r>
    </w:p>
    <w:p w:rsidR="009713B0" w:rsidRPr="0095122F" w:rsidRDefault="009713B0" w:rsidP="009713B0">
      <w:pPr>
        <w:rPr>
          <w:noProof/>
        </w:rPr>
      </w:pPr>
      <w:r w:rsidRPr="0095122F">
        <w:rPr>
          <w:noProof/>
        </w:rPr>
        <w:t xml:space="preserve">Ova Uredba stupa na snagu dvadesetog dana od dana objave u </w:t>
      </w:r>
      <w:r w:rsidRPr="0095122F">
        <w:rPr>
          <w:i/>
          <w:noProof/>
        </w:rPr>
        <w:t>Službenom listu Europske unije</w:t>
      </w:r>
      <w:r w:rsidRPr="0095122F">
        <w:rPr>
          <w:noProof/>
        </w:rPr>
        <w:t>.</w:t>
      </w:r>
    </w:p>
    <w:p w:rsidR="009713B0" w:rsidRPr="0095122F" w:rsidRDefault="009713B0" w:rsidP="009713B0">
      <w:pPr>
        <w:pStyle w:val="Applicationdirecte"/>
        <w:rPr>
          <w:noProof/>
        </w:rPr>
      </w:pPr>
      <w:r w:rsidRPr="0095122F">
        <w:rPr>
          <w:noProof/>
        </w:rPr>
        <w:t>Ova je Uredba u cijelosti obvezujuća i izravno se primjenjuje u svim državama članicama.</w:t>
      </w:r>
    </w:p>
    <w:p w:rsidR="009713B0" w:rsidRPr="0095122F" w:rsidRDefault="00CC5E4E" w:rsidP="00FD28DF">
      <w:pPr>
        <w:pStyle w:val="Fait"/>
        <w:rPr>
          <w:noProof/>
        </w:rPr>
      </w:pPr>
      <w:r>
        <w:rPr>
          <w:noProof/>
        </w:rPr>
        <w:t>Sastavljeno u Bruxellesu 1.10.2025.</w:t>
      </w:r>
    </w:p>
    <w:p w:rsidR="009713B0" w:rsidRPr="0095122F" w:rsidRDefault="009713B0" w:rsidP="00FD28DF">
      <w:pPr>
        <w:pStyle w:val="Institutionquisigne"/>
        <w:rPr>
          <w:noProof/>
        </w:rPr>
      </w:pPr>
      <w:r w:rsidRPr="0095122F">
        <w:rPr>
          <w:noProof/>
        </w:rPr>
        <w:tab/>
        <w:t>Za Komisiju</w:t>
      </w:r>
    </w:p>
    <w:p w:rsidR="00FE7FED" w:rsidRPr="0095122F" w:rsidRDefault="00C71F09" w:rsidP="009713B0">
      <w:pPr>
        <w:pStyle w:val="Personnequisigne"/>
        <w:rPr>
          <w:noProof/>
        </w:rPr>
      </w:pPr>
      <w:r>
        <w:rPr>
          <w:noProof/>
        </w:rPr>
        <w:tab/>
        <w:t>Predsjednica</w:t>
      </w:r>
      <w:r>
        <w:rPr>
          <w:noProof/>
        </w:rPr>
        <w:br/>
      </w:r>
      <w:r>
        <w:rPr>
          <w:noProof/>
        </w:rPr>
        <w:tab/>
        <w:t>Ursula VON DER LEYEN</w:t>
      </w:r>
    </w:p>
    <w:sectPr w:rsidR="00FE7FED" w:rsidRPr="0095122F" w:rsidSect="00FE75FF">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5FF" w:rsidRPr="00FE75FF" w:rsidRDefault="00FE75FF" w:rsidP="00FE75FF">
    <w:pPr>
      <w:pStyle w:val="Footer"/>
      <w:rPr>
        <w:rFonts w:ascii="Arial" w:hAnsi="Arial" w:cs="Arial"/>
        <w:b/>
        <w:sz w:val="48"/>
      </w:rPr>
    </w:pPr>
    <w:r w:rsidRPr="00FE75FF">
      <w:rPr>
        <w:rFonts w:ascii="Arial" w:hAnsi="Arial" w:cs="Arial"/>
        <w:b/>
        <w:sz w:val="48"/>
      </w:rPr>
      <w:t>HR</w:t>
    </w:r>
    <w:r w:rsidRPr="00FE75FF">
      <w:rPr>
        <w:rFonts w:ascii="Arial" w:hAnsi="Arial" w:cs="Arial"/>
        <w:b/>
        <w:sz w:val="48"/>
      </w:rPr>
      <w:tab/>
    </w:r>
    <w:r w:rsidRPr="00FE75FF">
      <w:rPr>
        <w:rFonts w:ascii="Arial" w:hAnsi="Arial" w:cs="Arial"/>
        <w:b/>
        <w:sz w:val="48"/>
      </w:rPr>
      <w:tab/>
    </w:r>
    <w:r w:rsidRPr="00FE75FF">
      <w:tab/>
    </w:r>
    <w:r w:rsidRPr="00FE75FF">
      <w:rPr>
        <w:rFonts w:ascii="Arial" w:hAnsi="Arial" w:cs="Arial"/>
        <w:b/>
        <w:sz w:val="48"/>
      </w:rPr>
      <w:t>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5FF" w:rsidRPr="00FE75FF" w:rsidRDefault="00FE75FF" w:rsidP="00FE75FF">
    <w:pPr>
      <w:pStyle w:val="Footer"/>
      <w:rPr>
        <w:rFonts w:ascii="Arial" w:hAnsi="Arial" w:cs="Arial"/>
        <w:b/>
        <w:sz w:val="48"/>
      </w:rPr>
    </w:pPr>
    <w:r w:rsidRPr="00FE75FF">
      <w:rPr>
        <w:rFonts w:ascii="Arial" w:hAnsi="Arial" w:cs="Arial"/>
        <w:b/>
        <w:sz w:val="48"/>
      </w:rPr>
      <w:t>HR</w:t>
    </w:r>
    <w:r w:rsidRPr="00FE75FF">
      <w:rPr>
        <w:rFonts w:ascii="Arial" w:hAnsi="Arial" w:cs="Arial"/>
        <w:b/>
        <w:sz w:val="48"/>
      </w:rPr>
      <w:tab/>
    </w:r>
    <w:r w:rsidRPr="00FE75FF">
      <w:rPr>
        <w:rFonts w:ascii="Arial" w:hAnsi="Arial" w:cs="Arial"/>
        <w:b/>
        <w:sz w:val="48"/>
      </w:rPr>
      <w:tab/>
    </w:r>
    <w:r w:rsidRPr="00FE75FF">
      <w:tab/>
    </w:r>
    <w:r w:rsidRPr="00FE75FF">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5FF" w:rsidRDefault="00FE75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5FF" w:rsidRPr="00FE75FF" w:rsidRDefault="00FE75FF" w:rsidP="00FE75FF">
    <w:pPr>
      <w:pStyle w:val="Footer"/>
      <w:rPr>
        <w:rFonts w:ascii="Arial" w:hAnsi="Arial" w:cs="Arial"/>
        <w:b/>
        <w:sz w:val="48"/>
      </w:rPr>
    </w:pPr>
    <w:r w:rsidRPr="00FE75FF">
      <w:rPr>
        <w:rFonts w:ascii="Arial" w:hAnsi="Arial" w:cs="Arial"/>
        <w:b/>
        <w:sz w:val="48"/>
      </w:rPr>
      <w:t>HR</w:t>
    </w:r>
    <w:r w:rsidRPr="00FE75FF">
      <w:rPr>
        <w:rFonts w:ascii="Arial" w:hAnsi="Arial" w:cs="Arial"/>
        <w:b/>
        <w:sz w:val="48"/>
      </w:rPr>
      <w:tab/>
    </w:r>
    <w:r>
      <w:fldChar w:fldCharType="begin"/>
    </w:r>
    <w:r>
      <w:instrText xml:space="preserve"> PAGE  \* MERGEFORMAT </w:instrText>
    </w:r>
    <w:r>
      <w:fldChar w:fldCharType="separate"/>
    </w:r>
    <w:r w:rsidR="00FD28DF">
      <w:rPr>
        <w:noProof/>
      </w:rPr>
      <w:t>4</w:t>
    </w:r>
    <w:r>
      <w:fldChar w:fldCharType="end"/>
    </w:r>
    <w:r>
      <w:tab/>
    </w:r>
    <w:r w:rsidRPr="00FE75FF">
      <w:tab/>
    </w:r>
    <w:r w:rsidRPr="00FE75FF">
      <w:rPr>
        <w:rFonts w:ascii="Arial" w:hAnsi="Arial" w:cs="Arial"/>
        <w:b/>
        <w:sz w:val="48"/>
      </w:rPr>
      <w:t>HR</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5FF" w:rsidRDefault="00FE75FF" w:rsidP="00FE75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SL L 94, 30.3.2012., str. 22., ELI: http://data.europa.eu/eli/reg/2012/260/oj. </w:t>
      </w:r>
    </w:p>
  </w:footnote>
  <w:footnote w:id="3">
    <w:p w:rsidR="00AD7B15" w:rsidRPr="00AD7B15" w:rsidRDefault="00AD7B15" w:rsidP="00D05942">
      <w:pPr>
        <w:pStyle w:val="FootnoteText"/>
        <w:ind w:left="0" w:firstLine="0"/>
      </w:pPr>
      <w:r>
        <w:rPr>
          <w:rStyle w:val="FootnoteReference"/>
        </w:rPr>
        <w:footnoteRef/>
      </w:r>
      <w:r>
        <w:tab/>
        <w:t>Uredba (EU) 2024/886 Europskog parlamenta i Vijeća od 13. ožujka 2024. o izmjeni uredaba (EU) br. 260/2012 i (EU) 2021/1230 i direktiva 98/26/EZ i (EU) 2015/2366 u pogledu instant kreditnih transfera u eurima (SL L, 2024/886, 19.3.2024., ELI: http://data.europa.eu/eli/reg/2024/886/oj).</w:t>
      </w:r>
    </w:p>
  </w:footnote>
  <w:footnote w:id="4">
    <w:p w:rsidR="009713B0" w:rsidRPr="00AD7B15" w:rsidRDefault="009713B0" w:rsidP="009713B0">
      <w:pPr>
        <w:pStyle w:val="FootnoteText"/>
      </w:pPr>
      <w:r>
        <w:rPr>
          <w:rStyle w:val="FootnoteReference"/>
        </w:rPr>
        <w:footnoteRef/>
      </w:r>
      <w:r>
        <w:tab/>
        <w:t>Uredba (EU) br. 1093/2010 Europskog parlamenta i Vijeća od 24. studenog 2010. o osnivanju europskog nadzornog tijela (Europskog nadzornog tijela za bankarstvo), kojom se izmjenjuje Odluka br. 716/2009/EZ i stavlja izvan snage Odluka Komisije 2009/78/EZ (SL L 331, 15.12.2010., str.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5FF" w:rsidRDefault="00FE75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5FF" w:rsidRDefault="00FE75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3:2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BDFC4EA-B214-4085-8BC9-893AD56DBBA3"/>
    <w:docVar w:name="LW_COVERPAGE_TYPE" w:val="1"/>
    <w:docVar w:name="LW_CreatedUtc" w:val="2025-02-25T08:25:43.0388982Z"/>
    <w:docVar w:name="LW_CROSSREFERENCE" w:val="&lt;UNUSED&gt;"/>
    <w:docVar w:name="LW_DATE.ADOPT.CP" w:val="\u1086?d 1.10.2025."/>
    <w:docVar w:name="LW_DATE.ADOPT.CP_DATEFORMAT" w:val="\u1086?d %DATE%"/>
    <w:docVar w:name="LW_DATE.ADOPT.CP_ISODATE" w:val="2025-10-01"/>
    <w:docVar w:name="LW_DocType" w:val="COM"/>
    <w:docVar w:name="LW_EMISSION" w:val="1.10.2025."/>
    <w:docVar w:name="LW_EMISSION_ISODATE" w:val="2025-10-01"/>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lt;UNUSED&gt;"/>
    <w:docVar w:name="LW_LANGUE" w:val="HR"/>
    <w:docVar w:name="LW_LANGUESFAISANTFOI.CP" w:val="&lt;UNUSED&gt;"/>
    <w:docVar w:name="LW_LEVEL_OF_SENSITIVITY" w:val="Standard treatment"/>
    <w:docVar w:name="LW_NOM.INST" w:val="EUROPSKA KOMISIJA"/>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utvr\u273?ivanju provedbenih tehni\u269?kih standarda za primjenu Uredbe (EU) br. 260/2012 Europskog parlamenta i Vije\u263?a u pogledu jedinstvenih obrazaca za izvje\u353?\u263?ivanje, uputa i metodologije za izvje\u353?\u263?ivanje o visini naknada za kreditne transfere, instant kreditne transfere i ra\u269?une za pla\u263?anje te o udjelu odbijenih transakcija"/>
    <w:docVar w:name="LW_TYPE.DOC.CP" w:val="PROVEDBENA UREDBA KOMISIJE (EU) \u8230?/..."/>
    <w:docVar w:name="LwApiVersions" w:val="LW4CoDe 1.24.5.0; LW 9.0, Build 20240221"/>
  </w:docVars>
  <w:rsids>
    <w:rsidRoot w:val="00FE7FED"/>
    <w:rsid w:val="00001BC7"/>
    <w:rsid w:val="00005CA9"/>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E759D"/>
    <w:rsid w:val="001F78E3"/>
    <w:rsid w:val="00203CF1"/>
    <w:rsid w:val="0020591B"/>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13507"/>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191C"/>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5C0D"/>
    <w:rsid w:val="00736120"/>
    <w:rsid w:val="00737F09"/>
    <w:rsid w:val="007406AE"/>
    <w:rsid w:val="007412FD"/>
    <w:rsid w:val="00743ADA"/>
    <w:rsid w:val="00743E70"/>
    <w:rsid w:val="00745A56"/>
    <w:rsid w:val="007464B1"/>
    <w:rsid w:val="00750F39"/>
    <w:rsid w:val="00752C41"/>
    <w:rsid w:val="00755584"/>
    <w:rsid w:val="0075651E"/>
    <w:rsid w:val="007605D9"/>
    <w:rsid w:val="00761345"/>
    <w:rsid w:val="00764A2C"/>
    <w:rsid w:val="00765055"/>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2F3A"/>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620B"/>
    <w:rsid w:val="00827C4D"/>
    <w:rsid w:val="0083038A"/>
    <w:rsid w:val="0083128A"/>
    <w:rsid w:val="0083272F"/>
    <w:rsid w:val="00835D9A"/>
    <w:rsid w:val="0083730D"/>
    <w:rsid w:val="00840128"/>
    <w:rsid w:val="008413EA"/>
    <w:rsid w:val="00841AE1"/>
    <w:rsid w:val="00847508"/>
    <w:rsid w:val="008525C0"/>
    <w:rsid w:val="008546F9"/>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122F"/>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5721"/>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1F09"/>
    <w:rsid w:val="00C7687B"/>
    <w:rsid w:val="00C85915"/>
    <w:rsid w:val="00C90983"/>
    <w:rsid w:val="00C91E13"/>
    <w:rsid w:val="00C9233E"/>
    <w:rsid w:val="00C92E04"/>
    <w:rsid w:val="00C9347C"/>
    <w:rsid w:val="00C93B85"/>
    <w:rsid w:val="00CA0E7E"/>
    <w:rsid w:val="00CA37F7"/>
    <w:rsid w:val="00CA4EC5"/>
    <w:rsid w:val="00CA5FB6"/>
    <w:rsid w:val="00CA7160"/>
    <w:rsid w:val="00CB0889"/>
    <w:rsid w:val="00CB64E4"/>
    <w:rsid w:val="00CC16BC"/>
    <w:rsid w:val="00CC3F90"/>
    <w:rsid w:val="00CC4458"/>
    <w:rsid w:val="00CC499B"/>
    <w:rsid w:val="00CC5E4E"/>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07F5"/>
    <w:rsid w:val="00E54884"/>
    <w:rsid w:val="00E57015"/>
    <w:rsid w:val="00E60348"/>
    <w:rsid w:val="00E6043D"/>
    <w:rsid w:val="00E60C11"/>
    <w:rsid w:val="00E61C60"/>
    <w:rsid w:val="00E73351"/>
    <w:rsid w:val="00E74596"/>
    <w:rsid w:val="00E80981"/>
    <w:rsid w:val="00E80B77"/>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1B2F"/>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1EF"/>
    <w:rsid w:val="00FB4D9B"/>
    <w:rsid w:val="00FB7673"/>
    <w:rsid w:val="00FB7914"/>
    <w:rsid w:val="00FC0031"/>
    <w:rsid w:val="00FC0B30"/>
    <w:rsid w:val="00FC38F8"/>
    <w:rsid w:val="00FD15D6"/>
    <w:rsid w:val="00FD1FD5"/>
    <w:rsid w:val="00FD28DF"/>
    <w:rsid w:val="00FD3AB2"/>
    <w:rsid w:val="00FD71F7"/>
    <w:rsid w:val="00FE392C"/>
    <w:rsid w:val="00FE75FF"/>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hr-HR"/>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FE75FF"/>
    <w:rPr>
      <w:rFonts w:ascii="Times New Roman" w:hAnsi="Times New Roman" w:cs="Times New Roman"/>
      <w:sz w:val="24"/>
      <w:lang w:val="hr-HR"/>
    </w:rPr>
  </w:style>
  <w:style w:type="character" w:customStyle="1" w:styleId="FooterChar">
    <w:name w:val="Footer Char"/>
    <w:basedOn w:val="DefaultParagraphFont"/>
    <w:link w:val="Footer"/>
    <w:uiPriority w:val="99"/>
    <w:rsid w:val="00FE75FF"/>
    <w:rPr>
      <w:rFonts w:ascii="Times New Roman" w:hAnsi="Times New Roman" w:cs="Times New Roman"/>
      <w:sz w:val="24"/>
      <w:lang w:val="hr-H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E75FF"/>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E75FF"/>
    <w:pPr>
      <w:spacing w:before="0"/>
      <w:jc w:val="right"/>
    </w:pPr>
    <w:rPr>
      <w:sz w:val="28"/>
    </w:rPr>
  </w:style>
  <w:style w:type="paragraph" w:customStyle="1" w:styleId="FooterSensitivity">
    <w:name w:val="Footer Sensitivity"/>
    <w:basedOn w:val="Normal"/>
    <w:rsid w:val="00FE75FF"/>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FE75FF"/>
    <w:pPr>
      <w:tabs>
        <w:tab w:val="center" w:pos="4535"/>
        <w:tab w:val="right" w:pos="9071"/>
      </w:tabs>
      <w:spacing w:before="0"/>
    </w:pPr>
  </w:style>
  <w:style w:type="paragraph" w:customStyle="1" w:styleId="HeaderLandscape">
    <w:name w:val="HeaderLandscape"/>
    <w:basedOn w:val="Normal"/>
    <w:rsid w:val="00FE75FF"/>
    <w:pPr>
      <w:tabs>
        <w:tab w:val="center" w:pos="7285"/>
        <w:tab w:val="right" w:pos="14003"/>
      </w:tabs>
      <w:spacing w:before="0"/>
    </w:pPr>
  </w:style>
  <w:style w:type="paragraph" w:styleId="Footer">
    <w:name w:val="footer"/>
    <w:basedOn w:val="Normal"/>
    <w:link w:val="FooterChar"/>
    <w:uiPriority w:val="99"/>
    <w:unhideWhenUsed/>
    <w:rsid w:val="00FE75FF"/>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FE75FF"/>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2.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48AB38CB-1FA0-44E4-ADC3-6C40EE0EB24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7</TotalTime>
  <Pages>5</Pages>
  <Words>1399</Words>
  <Characters>7978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32</cp:revision>
  <cp:lastPrinted>2025-05-08T07:59:00Z</cp:lastPrinted>
  <dcterms:created xsi:type="dcterms:W3CDTF">2025-09-16T13:52:00Z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