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BE7B43" w:rsidRDefault="00113CEA" w:rsidP="00113CE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F645E8B-724C-492F-A512-D8D663826306" style="width:455.25pt;height:396.75pt">
            <v:imagedata r:id="rId11" o:title=""/>
          </v:shape>
        </w:pict>
      </w:r>
    </w:p>
    <w:p w:rsidR="00FE7FED" w:rsidRPr="00BE7B43" w:rsidRDefault="00FE7FED">
      <w:pPr>
        <w:rPr>
          <w:noProof/>
        </w:rPr>
        <w:sectPr w:rsidR="00FE7FED" w:rsidRPr="00BE7B43" w:rsidSect="00113CEA">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BE7B43" w:rsidRDefault="00376E7C" w:rsidP="00376E7C">
      <w:pPr>
        <w:pStyle w:val="Typedudocument"/>
        <w:rPr>
          <w:noProof/>
        </w:rPr>
      </w:pPr>
      <w:bookmarkStart w:id="0" w:name="_GoBack"/>
      <w:bookmarkEnd w:id="0"/>
      <w:r w:rsidRPr="00376E7C">
        <w:rPr>
          <w:noProof/>
        </w:rPr>
        <w:lastRenderedPageBreak/>
        <w:t>RIALACHÁN CUR CHUN FEIDHME (AE) .../... ÓN gCOIMISIÚN</w:t>
      </w:r>
    </w:p>
    <w:p w:rsidR="009713B0" w:rsidRPr="00BE7B43" w:rsidRDefault="00036F90" w:rsidP="00376E7C">
      <w:pPr>
        <w:pStyle w:val="Datedadoption"/>
        <w:rPr>
          <w:noProof/>
        </w:rPr>
      </w:pPr>
      <w:r>
        <w:rPr>
          <w:noProof/>
        </w:rPr>
        <w:t>an 1.10.2025</w:t>
      </w:r>
    </w:p>
    <w:p w:rsidR="009713B0" w:rsidRPr="00BE7B43" w:rsidRDefault="00376E7C" w:rsidP="00376E7C">
      <w:pPr>
        <w:pStyle w:val="Titreobjet"/>
        <w:rPr>
          <w:noProof/>
        </w:rPr>
      </w:pPr>
      <w:r w:rsidRPr="00376E7C">
        <w:rPr>
          <w:noProof/>
        </w:rPr>
        <w:t>lena leagtar síos caighdeáin theicniúla cur chun feidhme i dtaca le cur i bhfeidhm Rialachán (AE) Uimh. 260/2012 ó Pharlaimint na hEorpa agus ón gComhairle maidir le teimpléid aonfhoirmeacha don tuairisciú, treoracha agus modheolaíocht chun tuairisciú a dhéanamh ar leibhéal na muirear le haghaidh aistrithe creidmheasa, aistrithe creidmheasa meandracha agus cuntais íocaíochta, agus sciar na n</w:t>
      </w:r>
      <w:r w:rsidRPr="00376E7C">
        <w:rPr>
          <w:noProof/>
        </w:rPr>
        <w:noBreakHyphen/>
        <w:t>idirbheart a diúltaíodh</w:t>
      </w:r>
    </w:p>
    <w:p w:rsidR="009713B0" w:rsidRPr="00BE7B43" w:rsidRDefault="009713B0" w:rsidP="009713B0">
      <w:pPr>
        <w:pStyle w:val="Institutionquiagit"/>
        <w:rPr>
          <w:noProof/>
        </w:rPr>
      </w:pPr>
      <w:r w:rsidRPr="00BE7B43">
        <w:rPr>
          <w:noProof/>
        </w:rPr>
        <w:t>TÁ AN COIMISIÚN EORPACH,</w:t>
      </w:r>
    </w:p>
    <w:p w:rsidR="009713B0" w:rsidRPr="00BE7B43" w:rsidRDefault="009713B0" w:rsidP="009713B0">
      <w:pPr>
        <w:rPr>
          <w:noProof/>
          <w:color w:val="000000"/>
        </w:rPr>
      </w:pPr>
      <w:r w:rsidRPr="00BE7B43">
        <w:rPr>
          <w:noProof/>
          <w:color w:val="000000"/>
        </w:rPr>
        <w:t>Ag féachaint don Chonradh ar Fheidhmiú an Aontais Eorpaigh,</w:t>
      </w:r>
    </w:p>
    <w:p w:rsidR="009713B0" w:rsidRPr="00BE7B43" w:rsidRDefault="009713B0" w:rsidP="009713B0">
      <w:pPr>
        <w:rPr>
          <w:noProof/>
          <w:color w:val="000000"/>
        </w:rPr>
      </w:pPr>
      <w:r w:rsidRPr="00BE7B43">
        <w:rPr>
          <w:noProof/>
          <w:color w:val="000000"/>
        </w:rPr>
        <w:t>Ag féachaint do Rialachán (AE) Uimh. 260/2012 ó Pharlaimint na hEorpa agus ón gComhairle an 14 Márta 2012 lena mbunaítear ceanglais theicniúla agus gnó le haghaidh aistrithe creidmheasa agus dochar díreach in euro agus lena leasaítear Rialachán (CE) Uimh. 924/2009</w:t>
      </w:r>
      <w:r w:rsidRPr="00BE7B43">
        <w:rPr>
          <w:rStyle w:val="FootnoteReference"/>
          <w:noProof/>
          <w:color w:val="000000"/>
        </w:rPr>
        <w:footnoteReference w:id="2"/>
      </w:r>
      <w:r w:rsidRPr="00BE7B43">
        <w:rPr>
          <w:noProof/>
          <w:color w:val="000000"/>
        </w:rPr>
        <w:t xml:space="preserve">, agus go háirithe Airteagal 15(5), an tríú fomhír, de, </w:t>
      </w:r>
    </w:p>
    <w:p w:rsidR="009713B0" w:rsidRPr="00BE7B43" w:rsidRDefault="009713B0" w:rsidP="009713B0">
      <w:pPr>
        <w:rPr>
          <w:noProof/>
        </w:rPr>
      </w:pPr>
      <w:r w:rsidRPr="00BE7B43">
        <w:rPr>
          <w:noProof/>
          <w:color w:val="000000"/>
        </w:rPr>
        <w:t>De bharr an mhéid seo a leanas</w:t>
      </w:r>
      <w:r w:rsidRPr="00BE7B43">
        <w:rPr>
          <w:noProof/>
        </w:rPr>
        <w:t>:</w:t>
      </w:r>
    </w:p>
    <w:p w:rsidR="00AC0006" w:rsidRPr="00BE7B43" w:rsidRDefault="001877F8" w:rsidP="001877F8">
      <w:pPr>
        <w:pStyle w:val="ManualConsidrant"/>
        <w:rPr>
          <w:noProof/>
        </w:rPr>
      </w:pPr>
      <w:r w:rsidRPr="001877F8">
        <w:rPr>
          <w:noProof/>
        </w:rPr>
        <w:t>(1)</w:t>
      </w:r>
      <w:r w:rsidRPr="001877F8">
        <w:rPr>
          <w:noProof/>
        </w:rPr>
        <w:tab/>
      </w:r>
      <w:r w:rsidR="00925CEE" w:rsidRPr="00BE7B43">
        <w:rPr>
          <w:noProof/>
        </w:rPr>
        <w:t>Leis an tuairisciú ar leibhéal na muirear de bhun Airteagal 15(3) de Rialachán (AE) Uimh. 260/2012, ba cheart é a chur ar a chumas don Choimisiún measúnú a dhéanamh ar thionchar na rialach maidir le muirir a thoibhítear ar aistrithe creidmheasa meandracha, mar a leagtar síos in Airteagal 5b(1) den Rialachán sin, maidir le muirir as cuntais íocaíochta, as aistrithe náisiúnta agus trasteorann creidmheasa araon, agus as aistrithe creidmheasa meandracha in euro agus in airgeadra náisiúnta na mBallstát nach bhfuil an euro mar airgeadra acu. Is iondúil go</w:t>
      </w:r>
      <w:r w:rsidR="00BE7B43">
        <w:rPr>
          <w:noProof/>
        </w:rPr>
        <w:t xml:space="preserve"> n</w:t>
      </w:r>
      <w:r w:rsidR="00BE7B43">
        <w:rPr>
          <w:noProof/>
        </w:rPr>
        <w:noBreakHyphen/>
      </w:r>
      <w:r w:rsidR="00925CEE" w:rsidRPr="00BE7B43">
        <w:rPr>
          <w:noProof/>
        </w:rPr>
        <w:t>athraíonn na muirir a thoibhíonn soláthraithe seirbhísí íocaíochta le haghaidh aistrithe creidmheasa, lena</w:t>
      </w:r>
      <w:r w:rsidR="00BE7B43">
        <w:rPr>
          <w:noProof/>
        </w:rPr>
        <w:t xml:space="preserve"> n</w:t>
      </w:r>
      <w:r w:rsidR="00BE7B43">
        <w:rPr>
          <w:noProof/>
        </w:rPr>
        <w:noBreakHyphen/>
      </w:r>
      <w:r w:rsidR="00925CEE" w:rsidRPr="00BE7B43">
        <w:rPr>
          <w:noProof/>
        </w:rPr>
        <w:t>áirítear aistrithe creidmheasa meandracha, ag brath ar ghnéithe an aistrithe creidmheasa lena mbaineann. D’fhéadfadh sé na nithe seo a leanas a bheith i measc na ngnéithe sin: cibé acu an íocóir nó an íocaí é an</w:t>
      </w:r>
      <w:r w:rsidR="00BE7B43">
        <w:rPr>
          <w:noProof/>
        </w:rPr>
        <w:t xml:space="preserve"> t</w:t>
      </w:r>
      <w:r w:rsidR="00BE7B43">
        <w:rPr>
          <w:noProof/>
        </w:rPr>
        <w:noBreakHyphen/>
      </w:r>
      <w:r w:rsidR="00925CEE" w:rsidRPr="00BE7B43">
        <w:rPr>
          <w:noProof/>
        </w:rPr>
        <w:t>úsáideoir seirbhísí íocaíochta; cibé acu an tomhaltóir é an</w:t>
      </w:r>
      <w:r w:rsidR="00BE7B43">
        <w:rPr>
          <w:noProof/>
        </w:rPr>
        <w:t xml:space="preserve"> t</w:t>
      </w:r>
      <w:r w:rsidR="00BE7B43">
        <w:rPr>
          <w:noProof/>
        </w:rPr>
        <w:noBreakHyphen/>
      </w:r>
      <w:r w:rsidR="00925CEE" w:rsidRPr="00BE7B43">
        <w:rPr>
          <w:noProof/>
        </w:rPr>
        <w:t xml:space="preserve">úsáideoir seirbhísí íocaíochta nó nach ea; nó cineál an chainéil tionscanta íocaíochta. Dá bhrí sin, ba cheart miondealuithe de réir aistrithe intíre agus trasteorann, cineál úsáideora seirbhísí íocaíochta agus cainéal tionscanta íocaíochta a áireamh sa tuairisciú ar aistrithe creidmheasa a seoladh. </w:t>
      </w:r>
    </w:p>
    <w:p w:rsidR="00F133B9" w:rsidRPr="00BE7B43" w:rsidRDefault="001877F8" w:rsidP="001877F8">
      <w:pPr>
        <w:pStyle w:val="ManualConsidrant"/>
        <w:rPr>
          <w:noProof/>
        </w:rPr>
      </w:pPr>
      <w:r w:rsidRPr="001877F8">
        <w:rPr>
          <w:noProof/>
        </w:rPr>
        <w:t>(2)</w:t>
      </w:r>
      <w:r w:rsidRPr="001877F8">
        <w:rPr>
          <w:noProof/>
        </w:rPr>
        <w:tab/>
      </w:r>
      <w:r w:rsidR="00914C54" w:rsidRPr="00BE7B43">
        <w:rPr>
          <w:noProof/>
        </w:rPr>
        <w:t>Féadfaidh soláthraithe seirbhísí íocaíochta roghnú muirir a shocrú in aghaidh an idirbhirt i dtéarmaí ainmniúla nó mar chéatadán de luach an idirbhirt. Féadfaidh soláthraithe seirbhísí íocaíochta struchtúir muirear mhalartacha a roghnú freisin, lena</w:t>
      </w:r>
      <w:r w:rsidR="00BE7B43">
        <w:rPr>
          <w:noProof/>
        </w:rPr>
        <w:t xml:space="preserve"> n</w:t>
      </w:r>
      <w:r w:rsidR="00BE7B43">
        <w:rPr>
          <w:noProof/>
        </w:rPr>
        <w:noBreakHyphen/>
      </w:r>
      <w:r w:rsidR="00914C54" w:rsidRPr="00BE7B43">
        <w:rPr>
          <w:noProof/>
        </w:rPr>
        <w:t>áirítear praghsáil ar leibhéil éagsúla bunaithe ar bhandaí éagsúla de luach an idirbhirt nó cineálacha cur chuige a bhfuil líon áirithe idirbheart in aghaidh na míosa acu atá saor in aisce agus a gcuirtear muirear in aghaidh an idirbhirt i bhfeidhm ina dhiaidh sin. Bheadh sé neamh-inmhianaithe go dtiocfaí timpeall ar aidhm na rialach maidir le muirir as aistrithe creidmheasa meandracha a leagtar síos in Airteagal 5b(1) de Rialachán (AE) Uimh. 260/2012 mar thoradh ar ilchineálacht sin na gcleachtas tráchtála. Leis an modheolaíocht chun an fhaisnéis a thuairisciú maidir le leibhéal na muirear as aistrithe creidmheasa rialta agus meandracha, ba cheart é a chur ar a chumas don Choimisiún meastóireacht a dhéanamh ar an bhfaisnéis a sholáthraíonn soláthraithe seirbhísí íocaíochta ar bhealach aonfhoirmeach agus inchomparáide ar leibhéal an tsoláthraí seirbhísí íocaíochta le himeacht ama agus i measc soláthraithe seirbhísí íocaíochta éagsúla ag pointe ama ar leith, in ainneoin na modhanna muirir éagsúla a úsáideann soláthraithe seirbhísí íocaíochta. Dá bhrí sin, ba cheart an fhaisnéis maidir le muirir, méid agus luach comhiomlánaithe iomlán na</w:t>
      </w:r>
      <w:r w:rsidR="00BE7B43">
        <w:rPr>
          <w:noProof/>
        </w:rPr>
        <w:t xml:space="preserve"> n</w:t>
      </w:r>
      <w:r w:rsidR="00BE7B43">
        <w:rPr>
          <w:noProof/>
        </w:rPr>
        <w:noBreakHyphen/>
      </w:r>
      <w:r w:rsidR="00914C54" w:rsidRPr="00BE7B43">
        <w:rPr>
          <w:noProof/>
        </w:rPr>
        <w:t>aistrithe creidmheasa, lena</w:t>
      </w:r>
      <w:r w:rsidR="00BE7B43">
        <w:rPr>
          <w:noProof/>
        </w:rPr>
        <w:t xml:space="preserve"> n</w:t>
      </w:r>
      <w:r w:rsidR="00BE7B43">
        <w:rPr>
          <w:noProof/>
        </w:rPr>
        <w:noBreakHyphen/>
      </w:r>
      <w:r w:rsidR="00914C54" w:rsidRPr="00BE7B43">
        <w:rPr>
          <w:noProof/>
        </w:rPr>
        <w:t>áirítear aistrithe creidmheasa meandracha, san airgeadra náisiúnta a bheith sa tuairisciú. Sa tuairisciú ar aistrithe creidmheasa, a sheoltar agus a fhaightear araon, ba cheart miondealú de réir aistrithe creidmheasa saor in aisce agus aistrithe creidmheasa íoctha a áireamh freisin.</w:t>
      </w:r>
    </w:p>
    <w:p w:rsidR="009713B0" w:rsidRPr="00BE7B43" w:rsidRDefault="001877F8" w:rsidP="001877F8">
      <w:pPr>
        <w:pStyle w:val="ManualConsidrant"/>
        <w:rPr>
          <w:noProof/>
        </w:rPr>
      </w:pPr>
      <w:r w:rsidRPr="001877F8">
        <w:rPr>
          <w:noProof/>
        </w:rPr>
        <w:t>(3)</w:t>
      </w:r>
      <w:r w:rsidRPr="001877F8">
        <w:rPr>
          <w:noProof/>
        </w:rPr>
        <w:tab/>
      </w:r>
      <w:r w:rsidR="004425F3" w:rsidRPr="00BE7B43">
        <w:rPr>
          <w:noProof/>
        </w:rPr>
        <w:t>Ba cheart do sholáthraithe seirbhísí íocaíochta a</w:t>
      </w:r>
      <w:r w:rsidR="00BE7B43">
        <w:rPr>
          <w:noProof/>
        </w:rPr>
        <w:t xml:space="preserve"> n</w:t>
      </w:r>
      <w:r w:rsidR="00BE7B43">
        <w:rPr>
          <w:noProof/>
        </w:rPr>
        <w:noBreakHyphen/>
      </w:r>
      <w:r w:rsidR="004425F3" w:rsidRPr="00BE7B43">
        <w:rPr>
          <w:noProof/>
        </w:rPr>
        <w:t>oibleagáid tuairiscithe mar a leagtar síos in Airteagal 15(3) de Rialachán (AE) Uimh. 260/2012 a chomhlíonadh ar leibhéal an eintitis. Chun ailíniú leis an gcur chuige maidir le staidreamh íocaíochta a thuairisciú don Bhanc Ceannais Eorpach, ba cheart do bhrainsí soláthraithe seirbhísí íocaíochta atá lonnaithe i mBallstáit seachas Ballstáit a máthaireintiteas a gcuid sonraí a chur faoi bhráid údarás inniúil an Bhallstáit óstaigh, agus ba cheart do mháthaireintitis tuairisciú dóibh féin d’údarás inniúil a mBallstáit baile.</w:t>
      </w:r>
    </w:p>
    <w:p w:rsidR="009713B0" w:rsidRPr="00BE7B43" w:rsidRDefault="001877F8" w:rsidP="001877F8">
      <w:pPr>
        <w:pStyle w:val="ManualConsidrant"/>
        <w:rPr>
          <w:noProof/>
        </w:rPr>
      </w:pPr>
      <w:r w:rsidRPr="001877F8">
        <w:rPr>
          <w:noProof/>
        </w:rPr>
        <w:t>(4)</w:t>
      </w:r>
      <w:r w:rsidRPr="001877F8">
        <w:rPr>
          <w:noProof/>
        </w:rPr>
        <w:tab/>
      </w:r>
      <w:r w:rsidR="000D1771" w:rsidRPr="00BE7B43">
        <w:rPr>
          <w:noProof/>
        </w:rPr>
        <w:t>Soláthraithe seirbhísí íocaíochta atá lonnaithe i mBallstáit nach bhfuil an euro mar airgeadra acu agus a thairgeann an tseirbhís íocaíochta chun aistrithe creidmheasa rialta a fháil agus a sheoladh in euro dá gcuid úsáideoirí seirbhísí íocaíochta, tá sé d’oibleagáid orthu an tseirbhís íocaíochta chun aistrithe creidmheasa meandracha a fháil in euro a thairiscint dá gcuid úsáideoirí seirbhísí íocaíochta faoin 9 Eanáir 2027 agus an tseirbhís íocaíochta chun aistrithe creidmheasa meandracha a sheoladh in euro faoin 9 Iúil 2027, mar a leagtar síos in Airteagal 5a(8) de Rialachán (AE) Uimh. 260/2012. Ba cheart do na soláthraithe seirbhísí íocaíochta sin oibleagáidí a chomhlíonadh freisin maidir leis na muirir a thoibhítear ar íocóirí agus ar íocaithe i leith aistrithe creidmheasa meandracha a sheoladh agus a fháil in euro faoin 9 Eanáir 2027, i gcomhréir le hAirteagal 5b(3), an dara fomhír, den Rialachán sin. Chun é a chur ar a chumas don Choimisiún meastóireacht a dhéanamh ar thionchar Rialachán (AE) Uimh. 260/2012 ar leibhéal na muirear as aistrithe creidmheasa, lena</w:t>
      </w:r>
      <w:r w:rsidR="00BE7B43">
        <w:rPr>
          <w:noProof/>
        </w:rPr>
        <w:t xml:space="preserve"> n</w:t>
      </w:r>
      <w:r w:rsidR="00BE7B43">
        <w:rPr>
          <w:noProof/>
        </w:rPr>
        <w:noBreakHyphen/>
      </w:r>
      <w:r w:rsidR="000D1771" w:rsidRPr="00BE7B43">
        <w:rPr>
          <w:noProof/>
        </w:rPr>
        <w:t>áirítear aistrithe creidmheasa meandracha, arna</w:t>
      </w:r>
      <w:r w:rsidR="00BE7B43">
        <w:rPr>
          <w:noProof/>
        </w:rPr>
        <w:t xml:space="preserve"> n</w:t>
      </w:r>
      <w:r w:rsidR="00BE7B43">
        <w:rPr>
          <w:noProof/>
        </w:rPr>
        <w:noBreakHyphen/>
      </w:r>
      <w:r w:rsidR="000D1771" w:rsidRPr="00BE7B43">
        <w:rPr>
          <w:noProof/>
        </w:rPr>
        <w:t>ainmniú in airgeadra náisiúnta na mBallstát nach bhfuil an euro mar airgeadra acu, de bhun Airteagal 15(2), pointe (a), den Rialachán sin, is iomchuí go ndéanfadh soláthraithe seirbhísí íocaíochta atá lonnaithe sna Ballstáit sin agus a thairgeann an tseirbhís íocaíochta chun aistrithe creidmheasa rialta a fháil agus a sheoladh in euro dá gcuid úsáideoirí seirbhísí íocaíochta tuairisciú a dhéanamh ar líon agus luachanna aistrithe creidmheasa agus ar mhuirir as aistrithe creidmheasa, lena</w:t>
      </w:r>
      <w:r w:rsidR="00BE7B43">
        <w:rPr>
          <w:noProof/>
        </w:rPr>
        <w:t xml:space="preserve"> n</w:t>
      </w:r>
      <w:r w:rsidR="00BE7B43">
        <w:rPr>
          <w:noProof/>
        </w:rPr>
        <w:noBreakHyphen/>
      </w:r>
      <w:r w:rsidR="000D1771" w:rsidRPr="00BE7B43">
        <w:rPr>
          <w:noProof/>
        </w:rPr>
        <w:t>áirítear aistrithe creidmheasa meandracha, arna</w:t>
      </w:r>
      <w:r w:rsidR="00BE7B43">
        <w:rPr>
          <w:noProof/>
        </w:rPr>
        <w:t xml:space="preserve"> n</w:t>
      </w:r>
      <w:r w:rsidR="00BE7B43">
        <w:rPr>
          <w:noProof/>
        </w:rPr>
        <w:noBreakHyphen/>
      </w:r>
      <w:r w:rsidR="000D1771" w:rsidRPr="00BE7B43">
        <w:rPr>
          <w:noProof/>
        </w:rPr>
        <w:t>ainmniú ina</w:t>
      </w:r>
      <w:r w:rsidR="00BE7B43">
        <w:rPr>
          <w:noProof/>
        </w:rPr>
        <w:t xml:space="preserve"> n</w:t>
      </w:r>
      <w:r w:rsidR="00BE7B43">
        <w:rPr>
          <w:noProof/>
        </w:rPr>
        <w:noBreakHyphen/>
      </w:r>
      <w:r w:rsidR="000D1771" w:rsidRPr="00BE7B43">
        <w:rPr>
          <w:noProof/>
        </w:rPr>
        <w:t>airgeadra náisiúnta agus in euro.</w:t>
      </w:r>
    </w:p>
    <w:p w:rsidR="009713B0" w:rsidRPr="00BE7B43" w:rsidRDefault="001877F8" w:rsidP="001877F8">
      <w:pPr>
        <w:pStyle w:val="ManualConsidrant"/>
        <w:rPr>
          <w:noProof/>
        </w:rPr>
      </w:pPr>
      <w:r w:rsidRPr="001877F8">
        <w:rPr>
          <w:noProof/>
        </w:rPr>
        <w:t>(5)</w:t>
      </w:r>
      <w:r w:rsidRPr="001877F8">
        <w:rPr>
          <w:noProof/>
        </w:rPr>
        <w:tab/>
      </w:r>
      <w:r w:rsidR="009713B0" w:rsidRPr="00BE7B43">
        <w:rPr>
          <w:noProof/>
        </w:rPr>
        <w:t>Chun críocha an tuairiscithe i gcomhréir le hAirteagal 15(3) de Rialachán (AE) Uimh. 260/2012, ba cheart do sholáthraithe seirbhísí íocaíochta sonraí maidir le líon iomlán na gcuntas íocaíochta agus leibhéal comhiomlánaithe na muirear iomlán ar chuntais íocaíochta a sholáthar dá</w:t>
      </w:r>
      <w:r w:rsidR="00BE7B43">
        <w:rPr>
          <w:noProof/>
        </w:rPr>
        <w:t xml:space="preserve"> n</w:t>
      </w:r>
      <w:r w:rsidR="00BE7B43">
        <w:rPr>
          <w:noProof/>
        </w:rPr>
        <w:noBreakHyphen/>
      </w:r>
      <w:r w:rsidR="009713B0" w:rsidRPr="00BE7B43">
        <w:rPr>
          <w:noProof/>
        </w:rPr>
        <w:t>údaráis inniúla. Chun é a chur ar a chumas don Choimisiún a mheas an bhfuil nasc idir athruithe féideartha ar na muirir as cuntais íocaíochta agus athruithe ar na muirir as aistrithe creidmheasa agus aistrithe creidmheasa meandracha, ba cheart miondealuithe táillí cothabhála a áireamh sa tuairisciú.</w:t>
      </w:r>
    </w:p>
    <w:p w:rsidR="009713B0" w:rsidRPr="00BE7B43" w:rsidRDefault="001877F8" w:rsidP="001877F8">
      <w:pPr>
        <w:pStyle w:val="ManualConsidrant"/>
        <w:rPr>
          <w:noProof/>
        </w:rPr>
      </w:pPr>
      <w:r w:rsidRPr="001877F8">
        <w:rPr>
          <w:noProof/>
        </w:rPr>
        <w:t>(6)</w:t>
      </w:r>
      <w:r w:rsidRPr="001877F8">
        <w:rPr>
          <w:noProof/>
        </w:rPr>
        <w:tab/>
      </w:r>
      <w:r w:rsidR="00136075" w:rsidRPr="00BE7B43">
        <w:rPr>
          <w:noProof/>
        </w:rPr>
        <w:t>Chun é a chur ar a chumas don Choimisiún measúnú a dhéanamh ar sciar na</w:t>
      </w:r>
      <w:r w:rsidR="00BE7B43">
        <w:rPr>
          <w:noProof/>
        </w:rPr>
        <w:t xml:space="preserve"> n</w:t>
      </w:r>
      <w:r w:rsidR="00BE7B43">
        <w:rPr>
          <w:noProof/>
        </w:rPr>
        <w:noBreakHyphen/>
      </w:r>
      <w:r w:rsidR="00136075" w:rsidRPr="00BE7B43">
        <w:rPr>
          <w:noProof/>
        </w:rPr>
        <w:t>aistrithe creidmheasa meandracha a diúltaíodh mar gheall ar chur i bhfeidhm beart sriantach airgeadais spriocdhírithe arna nglacadh i gcomhréir le hAirteagal 215 den Chonradh ar Fheidhmiú an Aontais Eorpaigh, agus chun a mheas ar tháinig athrú ar an sciar sin tar éis na leasuithe ar Rialachán (AE) Uimh. 260/2012 a tugadh isteach le Rialachán (AE) 2024/886 ó Pharlaimint na hEorpa agus ón gComhairle</w:t>
      </w:r>
      <w:r w:rsidR="00136075" w:rsidRPr="00BE7B43">
        <w:rPr>
          <w:rStyle w:val="FootnoteReference"/>
          <w:noProof/>
        </w:rPr>
        <w:footnoteReference w:id="3"/>
      </w:r>
      <w:r w:rsidR="00136075" w:rsidRPr="00BE7B43">
        <w:rPr>
          <w:noProof/>
        </w:rPr>
        <w:t xml:space="preserve"> a theacht i bhfeidhm, ba cheart do sholáthraithe seirbhísí íocaíochta sonraí faoin sciar sin i mbliain ar leith, lena</w:t>
      </w:r>
      <w:r w:rsidR="00BE7B43">
        <w:rPr>
          <w:noProof/>
        </w:rPr>
        <w:t xml:space="preserve"> n</w:t>
      </w:r>
      <w:r w:rsidR="00BE7B43">
        <w:rPr>
          <w:noProof/>
        </w:rPr>
        <w:noBreakHyphen/>
      </w:r>
      <w:r w:rsidR="00136075" w:rsidRPr="00BE7B43">
        <w:rPr>
          <w:noProof/>
        </w:rPr>
        <w:t>áirítear líon na gcásanna nár forghníomhaíodh aistrithe creidmheasa meandracha nó inar reodh cistí ar thaobh sholáthraí seirbhísí íocaíochta an íocóra nó an íocaí a sholáthar dá</w:t>
      </w:r>
      <w:r w:rsidR="00BE7B43">
        <w:rPr>
          <w:noProof/>
        </w:rPr>
        <w:t xml:space="preserve"> n</w:t>
      </w:r>
      <w:r w:rsidR="00BE7B43">
        <w:rPr>
          <w:noProof/>
        </w:rPr>
        <w:noBreakHyphen/>
      </w:r>
      <w:r w:rsidR="00136075" w:rsidRPr="00BE7B43">
        <w:rPr>
          <w:noProof/>
        </w:rPr>
        <w:t xml:space="preserve">údaráis inniúla. </w:t>
      </w:r>
    </w:p>
    <w:p w:rsidR="0039723A" w:rsidRPr="00BE7B43" w:rsidRDefault="001877F8" w:rsidP="001877F8">
      <w:pPr>
        <w:pStyle w:val="ManualConsidrant"/>
        <w:rPr>
          <w:noProof/>
        </w:rPr>
      </w:pPr>
      <w:r w:rsidRPr="001877F8">
        <w:rPr>
          <w:noProof/>
        </w:rPr>
        <w:t>(7)</w:t>
      </w:r>
      <w:r w:rsidRPr="001877F8">
        <w:rPr>
          <w:noProof/>
        </w:rPr>
        <w:tab/>
      </w:r>
      <w:r w:rsidR="00B17DF1" w:rsidRPr="00BE7B43">
        <w:rPr>
          <w:noProof/>
        </w:rPr>
        <w:t>Chun tuairisciú a chomhchuibhiú, ba cheart do sholáthraithe seirbhísí íocaíochta úsáid a bhaint as an tsamhail pointe sonraí agus as na foirmlí bailíochtaithe a chuirtear ar fáil ar shuíomh gréasáin an Údaráis Baincéireachta Eorpaigh (ÚBE). Ina theannta sin, chun an</w:t>
      </w:r>
      <w:r w:rsidR="00BE7B43">
        <w:rPr>
          <w:noProof/>
        </w:rPr>
        <w:t xml:space="preserve"> t</w:t>
      </w:r>
      <w:r w:rsidR="00BE7B43">
        <w:rPr>
          <w:noProof/>
        </w:rPr>
        <w:noBreakHyphen/>
      </w:r>
      <w:r w:rsidR="00B17DF1" w:rsidRPr="00BE7B43">
        <w:rPr>
          <w:noProof/>
        </w:rPr>
        <w:t>ualach tuairiscithe a laghdú, agus chun aon dúbláil a sheachaint, ba cheart d’údaráis inniúla a bheith in ann a cheadú do sholáthraithe seirbhísí íocaíochta atá lonnaithe ina ndlínse an tuairisciú a theorannú do na pointí sonraí sin nár cuireadh isteach roimhe sin.</w:t>
      </w:r>
    </w:p>
    <w:p w:rsidR="009713B0" w:rsidRPr="00BE7B43" w:rsidRDefault="001877F8" w:rsidP="001877F8">
      <w:pPr>
        <w:pStyle w:val="ManualConsidrant"/>
        <w:rPr>
          <w:noProof/>
        </w:rPr>
      </w:pPr>
      <w:r w:rsidRPr="001877F8">
        <w:rPr>
          <w:noProof/>
        </w:rPr>
        <w:t>(8)</w:t>
      </w:r>
      <w:r w:rsidRPr="001877F8">
        <w:rPr>
          <w:noProof/>
        </w:rPr>
        <w:tab/>
      </w:r>
      <w:r w:rsidR="009713B0" w:rsidRPr="00BE7B43">
        <w:rPr>
          <w:noProof/>
        </w:rPr>
        <w:t>Tá an Rialachán seo bunaithe ar na dréachtchaighdeáin theicniúla cur chun feidhme a chuir ÚBE faoi bhráid an Choimisiúin.</w:t>
      </w:r>
    </w:p>
    <w:p w:rsidR="009713B0" w:rsidRPr="00BE7B43" w:rsidRDefault="001877F8" w:rsidP="001877F8">
      <w:pPr>
        <w:pStyle w:val="ManualConsidrant"/>
        <w:rPr>
          <w:noProof/>
        </w:rPr>
      </w:pPr>
      <w:r w:rsidRPr="001877F8">
        <w:rPr>
          <w:noProof/>
        </w:rPr>
        <w:t>(9)</w:t>
      </w:r>
      <w:r w:rsidRPr="001877F8">
        <w:rPr>
          <w:noProof/>
        </w:rPr>
        <w:tab/>
      </w:r>
      <w:r w:rsidR="009713B0" w:rsidRPr="00BE7B43">
        <w:rPr>
          <w:noProof/>
        </w:rPr>
        <w:t>Tá comhairliúcháin phoiblí oscailte déanta ag an Údarás Baincéireachta Eorpach maidir leis na dréachtchaighdeáin theicniúla cur chun feidhme ar a bhfuil an Rialachán seo bunaithe, tá anailís déanta aige ar na costais agus ar na tairbhí a d’fhéadfadh a bheith ag baint leo agus tá tuairim iarrtha aige ar an nGrúpa Geallsealbhóirí Baincéireachta arna bhunú i gcomhréir le hAirteagal 37 de Rialachán (AE) Uimh. 1093/2010 ó Pharlaimint na hEorpa agus ón gComhairle</w:t>
      </w:r>
      <w:r w:rsidR="009713B0" w:rsidRPr="00BE7B43">
        <w:rPr>
          <w:rStyle w:val="FootnoteReference"/>
          <w:noProof/>
        </w:rPr>
        <w:footnoteReference w:id="4"/>
      </w:r>
      <w:r w:rsidR="009713B0" w:rsidRPr="00BE7B43">
        <w:rPr>
          <w:noProof/>
        </w:rPr>
        <w:t>,</w:t>
      </w:r>
    </w:p>
    <w:p w:rsidR="009713B0" w:rsidRPr="00BE7B43" w:rsidRDefault="009713B0" w:rsidP="009713B0">
      <w:pPr>
        <w:pStyle w:val="Formuledadoption"/>
        <w:rPr>
          <w:noProof/>
        </w:rPr>
      </w:pPr>
      <w:r w:rsidRPr="00BE7B43">
        <w:rPr>
          <w:noProof/>
        </w:rPr>
        <w:t>TAR ÉIS AN RIALACHÁN SEO A GHLACADH:</w:t>
      </w:r>
    </w:p>
    <w:p w:rsidR="009713B0" w:rsidRPr="00BE7B43" w:rsidRDefault="009713B0" w:rsidP="009713B0">
      <w:pPr>
        <w:pStyle w:val="Titrearticle"/>
        <w:rPr>
          <w:noProof/>
        </w:rPr>
      </w:pPr>
      <w:r w:rsidRPr="00BE7B43">
        <w:rPr>
          <w:noProof/>
        </w:rPr>
        <w:t>Airteagal 1</w:t>
      </w:r>
    </w:p>
    <w:p w:rsidR="009713B0" w:rsidRPr="00BE7B43" w:rsidRDefault="009713B0" w:rsidP="009713B0">
      <w:pPr>
        <w:jc w:val="center"/>
        <w:rPr>
          <w:b/>
          <w:bCs/>
          <w:noProof/>
        </w:rPr>
      </w:pPr>
      <w:r w:rsidRPr="00BE7B43">
        <w:rPr>
          <w:b/>
          <w:noProof/>
        </w:rPr>
        <w:t>Tuairisciú ar leibhéal na muirear</w:t>
      </w:r>
    </w:p>
    <w:p w:rsidR="009713B0" w:rsidRPr="00BE7B43" w:rsidRDefault="009713B0" w:rsidP="009713B0">
      <w:pPr>
        <w:pStyle w:val="Point0"/>
        <w:rPr>
          <w:noProof/>
        </w:rPr>
      </w:pPr>
      <w:r w:rsidRPr="00BE7B43">
        <w:rPr>
          <w:noProof/>
        </w:rPr>
        <w:t>1.</w:t>
      </w:r>
      <w:r w:rsidRPr="00BE7B43">
        <w:rPr>
          <w:noProof/>
        </w:rPr>
        <w:tab/>
        <w:t>Tuairisceoidh soláthraithe seirbhísí íocaíochta ar leibhéal na muirear as aistrithe creidmheasa, as aistrithe creidmheasa meandracha agus as cuntais íocaíochta tríd an bhfaisnéis a shonraítear i dteimpléid 1.1, 1.2, 2.1, 2.2 agus 3 a leagtar amach in Iarscríbhinn I agus i gcomhréir leis na treoracha a leagtar amach in Iarscríbhinn II a chur isteach.</w:t>
      </w:r>
    </w:p>
    <w:p w:rsidR="009713B0" w:rsidRPr="00BE7B43" w:rsidRDefault="009713B0" w:rsidP="009713B0">
      <w:pPr>
        <w:pStyle w:val="Point0"/>
        <w:rPr>
          <w:noProof/>
        </w:rPr>
      </w:pPr>
      <w:r w:rsidRPr="00BE7B43">
        <w:rPr>
          <w:noProof/>
        </w:rPr>
        <w:t>2.</w:t>
      </w:r>
      <w:r w:rsidRPr="00BE7B43">
        <w:rPr>
          <w:noProof/>
        </w:rPr>
        <w:tab/>
        <w:t>Tuairisceoidh soláthraithe seirbhísí íocaíochta na figiúirí comhiomlána bliantúla suas go dtí an 31 Nollaig den bhliain féilire roimh an mbliain ina gcuirtear an tuarascáil isteach.</w:t>
      </w:r>
    </w:p>
    <w:p w:rsidR="009713B0" w:rsidRPr="00BE7B43" w:rsidRDefault="009713B0" w:rsidP="009713B0">
      <w:pPr>
        <w:pStyle w:val="Point0"/>
        <w:rPr>
          <w:noProof/>
        </w:rPr>
      </w:pPr>
      <w:r w:rsidRPr="00BE7B43">
        <w:rPr>
          <w:noProof/>
        </w:rPr>
        <w:t>3.</w:t>
      </w:r>
      <w:r w:rsidRPr="00BE7B43">
        <w:rPr>
          <w:noProof/>
        </w:rPr>
        <w:tab/>
        <w:t>De mhaolú ar mhír 2, sa chéad tuarascáil chomhchuibhithe beidh figiúirí comhiomlána le haghaidh gach bliana roimh an mbliain ina gcuirtear an tuarascáil isteach, ag tosú leis an tréimhse ón 26 Deireadh Fómhair 2022 – an 31 Nollaig 2022, le haghaidh 2022.</w:t>
      </w:r>
    </w:p>
    <w:p w:rsidR="009713B0" w:rsidRPr="00BE7B43" w:rsidRDefault="009713B0" w:rsidP="009713B0">
      <w:pPr>
        <w:pStyle w:val="Titrearticle"/>
        <w:rPr>
          <w:noProof/>
        </w:rPr>
      </w:pPr>
      <w:r w:rsidRPr="00BE7B43">
        <w:rPr>
          <w:noProof/>
        </w:rPr>
        <w:t>Airteagal 2</w:t>
      </w:r>
    </w:p>
    <w:p w:rsidR="009713B0" w:rsidRPr="00BE7B43" w:rsidRDefault="009713B0" w:rsidP="009713B0">
      <w:pPr>
        <w:jc w:val="center"/>
        <w:rPr>
          <w:b/>
          <w:bCs/>
          <w:noProof/>
        </w:rPr>
      </w:pPr>
      <w:r w:rsidRPr="00BE7B43">
        <w:rPr>
          <w:b/>
          <w:noProof/>
        </w:rPr>
        <w:t>Tuairisciú sciar na</w:t>
      </w:r>
      <w:r w:rsidR="00BE7B43">
        <w:rPr>
          <w:b/>
          <w:noProof/>
        </w:rPr>
        <w:t xml:space="preserve"> n</w:t>
      </w:r>
      <w:r w:rsidR="00BE7B43">
        <w:rPr>
          <w:b/>
          <w:noProof/>
        </w:rPr>
        <w:noBreakHyphen/>
      </w:r>
      <w:r w:rsidRPr="00BE7B43">
        <w:rPr>
          <w:b/>
          <w:noProof/>
        </w:rPr>
        <w:t>idirbheart aistrithe creidmheasa meandracha a diúltaíodh agus na dtréimhsí tagartha</w:t>
      </w:r>
    </w:p>
    <w:p w:rsidR="009713B0" w:rsidRPr="00BE7B43" w:rsidRDefault="009713B0" w:rsidP="009713B0">
      <w:pPr>
        <w:pStyle w:val="Point0"/>
        <w:rPr>
          <w:noProof/>
        </w:rPr>
      </w:pPr>
      <w:r w:rsidRPr="00BE7B43">
        <w:rPr>
          <w:noProof/>
        </w:rPr>
        <w:t>1.</w:t>
      </w:r>
      <w:r w:rsidRPr="00BE7B43">
        <w:rPr>
          <w:noProof/>
        </w:rPr>
        <w:tab/>
        <w:t>Tuairisceoidh soláthraithe seirbhísí íocaíochta sciar na</w:t>
      </w:r>
      <w:r w:rsidR="00BE7B43">
        <w:rPr>
          <w:noProof/>
        </w:rPr>
        <w:t xml:space="preserve"> n</w:t>
      </w:r>
      <w:r w:rsidR="00BE7B43">
        <w:rPr>
          <w:noProof/>
        </w:rPr>
        <w:noBreakHyphen/>
      </w:r>
      <w:r w:rsidRPr="00BE7B43">
        <w:rPr>
          <w:noProof/>
        </w:rPr>
        <w:t>idirbheart aistrithe creidmheasa meandracha a diúltaíodh mar gheall ar bhearta sriantacha airgeadais spriocdhírithe, dá dtagraítear in Airteagal 15(3) de Rialachán (AE) Uimh. 260/2012, lena</w:t>
      </w:r>
      <w:r w:rsidR="00BE7B43">
        <w:rPr>
          <w:noProof/>
        </w:rPr>
        <w:t xml:space="preserve"> n</w:t>
      </w:r>
      <w:r w:rsidR="00BE7B43">
        <w:rPr>
          <w:noProof/>
        </w:rPr>
        <w:noBreakHyphen/>
      </w:r>
      <w:r w:rsidRPr="00BE7B43">
        <w:rPr>
          <w:noProof/>
        </w:rPr>
        <w:t>áirítear sonraí ar leithligh le haghaidh idirbhearta náisiúnta agus trasteorann, tríd an bhfaisnéis a shonraítear i dteimpléad 4 a leagtar amach in Iarscríbhinn I a chur isteach agus i gcomhréir leis na treoracha a leagtar amach in Iarscríbhinn II.</w:t>
      </w:r>
    </w:p>
    <w:p w:rsidR="009713B0" w:rsidRPr="00BE7B43" w:rsidRDefault="009713B0" w:rsidP="009713B0">
      <w:pPr>
        <w:pStyle w:val="Point0"/>
        <w:rPr>
          <w:noProof/>
        </w:rPr>
      </w:pPr>
      <w:r w:rsidRPr="00BE7B43">
        <w:rPr>
          <w:noProof/>
        </w:rPr>
        <w:t>2.</w:t>
      </w:r>
      <w:r w:rsidRPr="00BE7B43">
        <w:rPr>
          <w:noProof/>
        </w:rPr>
        <w:tab/>
        <w:t>Áireofar sna tuarascálacha an líon diúltuithe le haghaidh na bliana féilire roimh an mbliain ina gcuirtear an tuarascáil isteach.</w:t>
      </w:r>
    </w:p>
    <w:p w:rsidR="00AD7B15" w:rsidRPr="00BE7B43" w:rsidRDefault="009713B0" w:rsidP="009713B0">
      <w:pPr>
        <w:pStyle w:val="Point0"/>
        <w:rPr>
          <w:noProof/>
        </w:rPr>
      </w:pPr>
      <w:r w:rsidRPr="00BE7B43">
        <w:rPr>
          <w:noProof/>
        </w:rPr>
        <w:t>3.</w:t>
      </w:r>
      <w:r w:rsidRPr="00BE7B43">
        <w:rPr>
          <w:noProof/>
        </w:rPr>
        <w:tab/>
        <w:t>De mhaolú ar mhír 2, sa chéad tuarascáil chomhchuibhithe beidh na teimpléid chomhlánaithe agus líon na ndiúltuithe le haghaidh gach bliana roimh an mbliain ina gcuirtear an tuarascáil isteach, ag tosú leis an tréimhse ón 26 Deireadh Fómhair 2022 – an 31 Nollaig 2022, le haghaidh 2022.</w:t>
      </w:r>
    </w:p>
    <w:p w:rsidR="00AD7B15" w:rsidRPr="00BE7B43" w:rsidRDefault="00AD7B15">
      <w:pPr>
        <w:spacing w:before="0" w:after="200" w:line="276" w:lineRule="auto"/>
        <w:jc w:val="left"/>
        <w:rPr>
          <w:noProof/>
        </w:rPr>
      </w:pPr>
      <w:r w:rsidRPr="00BE7B43">
        <w:rPr>
          <w:noProof/>
        </w:rPr>
        <w:br w:type="page"/>
      </w:r>
    </w:p>
    <w:p w:rsidR="009713B0" w:rsidRPr="00BE7B43" w:rsidRDefault="009713B0" w:rsidP="009713B0">
      <w:pPr>
        <w:pStyle w:val="Titrearticle"/>
        <w:rPr>
          <w:noProof/>
        </w:rPr>
      </w:pPr>
      <w:r w:rsidRPr="00BE7B43">
        <w:rPr>
          <w:noProof/>
        </w:rPr>
        <w:t>Airteagal 3</w:t>
      </w:r>
    </w:p>
    <w:p w:rsidR="009713B0" w:rsidRPr="00BE7B43" w:rsidRDefault="009713B0" w:rsidP="009713B0">
      <w:pPr>
        <w:jc w:val="center"/>
        <w:rPr>
          <w:b/>
          <w:bCs/>
          <w:noProof/>
        </w:rPr>
      </w:pPr>
      <w:r w:rsidRPr="00BE7B43">
        <w:rPr>
          <w:b/>
          <w:noProof/>
        </w:rPr>
        <w:t>Formáidí malartaithe sonraí agus faisnéis a ghabhann le tíolacthaí</w:t>
      </w:r>
    </w:p>
    <w:p w:rsidR="009713B0" w:rsidRPr="00BE7B43" w:rsidRDefault="009713B0" w:rsidP="009713B0">
      <w:pPr>
        <w:rPr>
          <w:noProof/>
        </w:rPr>
      </w:pPr>
      <w:r w:rsidRPr="00BE7B43">
        <w:rPr>
          <w:noProof/>
        </w:rPr>
        <w:t>Cuirfidh soláthraithe seirbhísí íocaíochta an fhaisnéis dá dtagraítear in Airteagail 1 agus 2 den Rialachán seo isteach sna formáidí agus léaráidí malartaithe sonraí a shonraíonn na húdaráis inniúla agus urramóidh siad sainmhíniú an phointe sonraí ar an tsamhail pointe sonraí agus na foirmlí bailíochtaithe a chuirtear ar fáil ar shuíomh gréasáin ÚBE. Comhlíonfaidh soláthraithe seirbhísí íocaíochta na sonraíochtaí seo a leanas:</w:t>
      </w:r>
    </w:p>
    <w:p w:rsidR="009713B0" w:rsidRPr="00BE7B43" w:rsidRDefault="001877F8" w:rsidP="001877F8">
      <w:pPr>
        <w:pStyle w:val="Point0"/>
        <w:rPr>
          <w:noProof/>
        </w:rPr>
      </w:pPr>
      <w:r w:rsidRPr="001877F8">
        <w:rPr>
          <w:noProof/>
        </w:rPr>
        <w:t>(a)</w:t>
      </w:r>
      <w:r w:rsidRPr="001877F8">
        <w:rPr>
          <w:noProof/>
        </w:rPr>
        <w:tab/>
      </w:r>
      <w:r w:rsidR="009713B0" w:rsidRPr="00BE7B43">
        <w:rPr>
          <w:noProof/>
        </w:rPr>
        <w:t>faisnéis nach bhfuil ag teastáil nó nach infheidhme, ní áireofar i dtíolacadh sonraí í;</w:t>
      </w:r>
    </w:p>
    <w:p w:rsidR="009713B0" w:rsidRPr="00BE7B43" w:rsidRDefault="001877F8" w:rsidP="001877F8">
      <w:pPr>
        <w:pStyle w:val="Point0"/>
        <w:rPr>
          <w:noProof/>
        </w:rPr>
      </w:pPr>
      <w:r w:rsidRPr="001877F8">
        <w:rPr>
          <w:noProof/>
        </w:rPr>
        <w:t>(b)</w:t>
      </w:r>
      <w:r w:rsidRPr="001877F8">
        <w:rPr>
          <w:noProof/>
        </w:rPr>
        <w:tab/>
      </w:r>
      <w:r w:rsidR="009713B0" w:rsidRPr="00BE7B43">
        <w:rPr>
          <w:noProof/>
        </w:rPr>
        <w:t>cuirfear luachanna uimhriúla isteach mar a leanas:</w:t>
      </w:r>
    </w:p>
    <w:p w:rsidR="009713B0" w:rsidRPr="00BE7B43" w:rsidRDefault="0055071E" w:rsidP="009713B0">
      <w:pPr>
        <w:pStyle w:val="Point1"/>
        <w:rPr>
          <w:noProof/>
        </w:rPr>
      </w:pPr>
      <w:r w:rsidRPr="00BE7B43">
        <w:rPr>
          <w:noProof/>
        </w:rPr>
        <w:t>(i)</w:t>
      </w:r>
      <w:r w:rsidRPr="00BE7B43">
        <w:rPr>
          <w:noProof/>
        </w:rPr>
        <w:tab/>
        <w:t>tuairisceoidh soláthraithe seirbhísí íocaíochta pointí sonraí a bhfuil an cineál sonraí ‘Airgeadaíoch’ ag gabháil leo trí úsáid a bhaint as beachtas íosta atá coibhéiseach le míle aonad;</w:t>
      </w:r>
    </w:p>
    <w:p w:rsidR="009713B0" w:rsidRPr="00BE7B43" w:rsidRDefault="0055071E" w:rsidP="009713B0">
      <w:pPr>
        <w:pStyle w:val="Point1"/>
        <w:rPr>
          <w:noProof/>
        </w:rPr>
      </w:pPr>
      <w:r w:rsidRPr="00BE7B43">
        <w:rPr>
          <w:noProof/>
        </w:rPr>
        <w:t>(ii)</w:t>
      </w:r>
      <w:r w:rsidRPr="00BE7B43">
        <w:rPr>
          <w:noProof/>
        </w:rPr>
        <w:tab/>
        <w:t>ní úsáidfidh soláthraithe seirbhísí íocaíochta deachúlacha agus pointí sonraí a bhfuil an cineál sonraí ‘Slánuimhir’ ag gabháil leo á dtuairisciú acu agus bainfidh siad úsáid as beachtas atá coibhéiseach le haonaid.</w:t>
      </w:r>
    </w:p>
    <w:p w:rsidR="009713B0" w:rsidRPr="00BE7B43" w:rsidRDefault="009713B0" w:rsidP="009713B0">
      <w:pPr>
        <w:pStyle w:val="Titrearticle"/>
        <w:rPr>
          <w:noProof/>
        </w:rPr>
      </w:pPr>
      <w:r w:rsidRPr="00BE7B43">
        <w:rPr>
          <w:noProof/>
        </w:rPr>
        <w:t>Airteagal 4</w:t>
      </w:r>
    </w:p>
    <w:p w:rsidR="009713B0" w:rsidRPr="00BE7B43" w:rsidRDefault="009713B0" w:rsidP="009713B0">
      <w:pPr>
        <w:jc w:val="center"/>
        <w:rPr>
          <w:noProof/>
        </w:rPr>
      </w:pPr>
      <w:r w:rsidRPr="00BE7B43">
        <w:rPr>
          <w:b/>
          <w:noProof/>
        </w:rPr>
        <w:t>Teacht i bhfeidhm</w:t>
      </w:r>
    </w:p>
    <w:p w:rsidR="009713B0" w:rsidRPr="00BE7B43" w:rsidRDefault="009713B0" w:rsidP="009713B0">
      <w:pPr>
        <w:rPr>
          <w:noProof/>
        </w:rPr>
      </w:pPr>
      <w:r w:rsidRPr="00BE7B43">
        <w:rPr>
          <w:noProof/>
        </w:rPr>
        <w:t xml:space="preserve">Tiocfaidh an Rialachán seo i bhfeidhm an fichiú lá tar éis lá a fhoilsithe in </w:t>
      </w:r>
      <w:r w:rsidRPr="00BE7B43">
        <w:rPr>
          <w:i/>
          <w:noProof/>
        </w:rPr>
        <w:t>Iris Oifigiúil an Aontais Eorpaigh</w:t>
      </w:r>
      <w:r w:rsidRPr="00BE7B43">
        <w:rPr>
          <w:noProof/>
        </w:rPr>
        <w:t>.</w:t>
      </w:r>
    </w:p>
    <w:p w:rsidR="009713B0" w:rsidRPr="00BE7B43" w:rsidRDefault="009713B0" w:rsidP="009713B0">
      <w:pPr>
        <w:pStyle w:val="Applicationdirecte"/>
        <w:rPr>
          <w:noProof/>
        </w:rPr>
      </w:pPr>
      <w:r w:rsidRPr="00BE7B43">
        <w:rPr>
          <w:noProof/>
        </w:rPr>
        <w:t>Beidh an Rialachán seo ina cheangal go huile agus go hiomlán agus beidh sé infheidhme go díreach i ngach Ballstát.</w:t>
      </w:r>
    </w:p>
    <w:p w:rsidR="009713B0" w:rsidRPr="00BE7B43" w:rsidRDefault="00036F90" w:rsidP="008F3B16">
      <w:pPr>
        <w:pStyle w:val="Fait"/>
        <w:rPr>
          <w:noProof/>
        </w:rPr>
      </w:pPr>
      <w:r>
        <w:rPr>
          <w:noProof/>
        </w:rPr>
        <w:t>Arna dhéanamh sa Bhruiséil, 1.10.2025</w:t>
      </w:r>
    </w:p>
    <w:p w:rsidR="009713B0" w:rsidRPr="00BE7B43" w:rsidRDefault="009713B0" w:rsidP="008F3B16">
      <w:pPr>
        <w:pStyle w:val="Institutionquisigne"/>
        <w:rPr>
          <w:noProof/>
        </w:rPr>
      </w:pPr>
      <w:r w:rsidRPr="00BE7B43">
        <w:rPr>
          <w:noProof/>
        </w:rPr>
        <w:tab/>
        <w:t>Thar ceann an Choimisiúin</w:t>
      </w:r>
    </w:p>
    <w:p w:rsidR="00FE7FED" w:rsidRPr="00BE7B43" w:rsidRDefault="004B602B" w:rsidP="009713B0">
      <w:pPr>
        <w:pStyle w:val="Personnequisigne"/>
        <w:rPr>
          <w:noProof/>
        </w:rPr>
      </w:pPr>
      <w:r>
        <w:rPr>
          <w:noProof/>
        </w:rPr>
        <w:tab/>
        <w:t>An tUachtarán</w:t>
      </w:r>
      <w:r>
        <w:rPr>
          <w:noProof/>
        </w:rPr>
        <w:br/>
      </w:r>
      <w:r>
        <w:rPr>
          <w:noProof/>
        </w:rPr>
        <w:tab/>
        <w:t>Ursula VON DER LEYEN</w:t>
      </w:r>
    </w:p>
    <w:sectPr w:rsidR="00FE7FED" w:rsidRPr="00BE7B43" w:rsidSect="00113CEA">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Pr="00113CEA" w:rsidRDefault="00113CEA" w:rsidP="00113CEA">
    <w:pPr>
      <w:pStyle w:val="Footer"/>
      <w:rPr>
        <w:rFonts w:ascii="Arial" w:hAnsi="Arial" w:cs="Arial"/>
        <w:b/>
        <w:sz w:val="48"/>
      </w:rPr>
    </w:pPr>
    <w:r w:rsidRPr="00113CEA">
      <w:rPr>
        <w:rFonts w:ascii="Arial" w:hAnsi="Arial" w:cs="Arial"/>
        <w:b/>
        <w:sz w:val="48"/>
      </w:rPr>
      <w:t>GA</w:t>
    </w:r>
    <w:r w:rsidRPr="00113CEA">
      <w:rPr>
        <w:rFonts w:ascii="Arial" w:hAnsi="Arial" w:cs="Arial"/>
        <w:b/>
        <w:sz w:val="48"/>
      </w:rPr>
      <w:tab/>
    </w:r>
    <w:r w:rsidRPr="00113CEA">
      <w:rPr>
        <w:rFonts w:ascii="Arial" w:hAnsi="Arial" w:cs="Arial"/>
        <w:b/>
        <w:sz w:val="48"/>
      </w:rPr>
      <w:tab/>
    </w:r>
    <w:r w:rsidRPr="00113CEA">
      <w:tab/>
    </w:r>
    <w:r w:rsidRPr="00113CEA">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Pr="00113CEA" w:rsidRDefault="00113CEA" w:rsidP="00113CEA">
    <w:pPr>
      <w:pStyle w:val="Footer"/>
      <w:rPr>
        <w:rFonts w:ascii="Arial" w:hAnsi="Arial" w:cs="Arial"/>
        <w:b/>
        <w:sz w:val="48"/>
      </w:rPr>
    </w:pPr>
    <w:r w:rsidRPr="00113CEA">
      <w:rPr>
        <w:rFonts w:ascii="Arial" w:hAnsi="Arial" w:cs="Arial"/>
        <w:b/>
        <w:sz w:val="48"/>
      </w:rPr>
      <w:t>GA</w:t>
    </w:r>
    <w:r w:rsidRPr="00113CEA">
      <w:rPr>
        <w:rFonts w:ascii="Arial" w:hAnsi="Arial" w:cs="Arial"/>
        <w:b/>
        <w:sz w:val="48"/>
      </w:rPr>
      <w:tab/>
    </w:r>
    <w:r w:rsidRPr="00113CEA">
      <w:rPr>
        <w:rFonts w:ascii="Arial" w:hAnsi="Arial" w:cs="Arial"/>
        <w:b/>
        <w:sz w:val="48"/>
      </w:rPr>
      <w:tab/>
    </w:r>
    <w:r w:rsidRPr="00113CEA">
      <w:tab/>
    </w:r>
    <w:r w:rsidRPr="00113CEA">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Default="00113C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Pr="00113CEA" w:rsidRDefault="00113CEA" w:rsidP="00113CEA">
    <w:pPr>
      <w:pStyle w:val="Footer"/>
      <w:rPr>
        <w:rFonts w:ascii="Arial" w:hAnsi="Arial" w:cs="Arial"/>
        <w:b/>
        <w:sz w:val="48"/>
      </w:rPr>
    </w:pPr>
    <w:r w:rsidRPr="00113CEA">
      <w:rPr>
        <w:rFonts w:ascii="Arial" w:hAnsi="Arial" w:cs="Arial"/>
        <w:b/>
        <w:sz w:val="48"/>
      </w:rPr>
      <w:t>GA</w:t>
    </w:r>
    <w:r w:rsidRPr="00113CEA">
      <w:rPr>
        <w:rFonts w:ascii="Arial" w:hAnsi="Arial" w:cs="Arial"/>
        <w:b/>
        <w:sz w:val="48"/>
      </w:rPr>
      <w:tab/>
    </w:r>
    <w:r>
      <w:fldChar w:fldCharType="begin"/>
    </w:r>
    <w:r>
      <w:instrText xml:space="preserve"> PAGE  \* MERGEFORMAT </w:instrText>
    </w:r>
    <w:r>
      <w:fldChar w:fldCharType="separate"/>
    </w:r>
    <w:r w:rsidR="008F3B16">
      <w:rPr>
        <w:noProof/>
      </w:rPr>
      <w:t>5</w:t>
    </w:r>
    <w:r>
      <w:fldChar w:fldCharType="end"/>
    </w:r>
    <w:r>
      <w:tab/>
    </w:r>
    <w:r w:rsidRPr="00113CEA">
      <w:tab/>
    </w:r>
    <w:r w:rsidRPr="00113CEA">
      <w:rPr>
        <w:rFonts w:ascii="Arial" w:hAnsi="Arial" w:cs="Arial"/>
        <w:b/>
        <w:sz w:val="48"/>
      </w:rPr>
      <w:t>GA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Default="00113CEA" w:rsidP="00113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IO L 94, 30.3.2012, lch. 22, ELI: http://data.europa.eu/eli/reg/2012/260/oj. </w:t>
      </w:r>
    </w:p>
  </w:footnote>
  <w:footnote w:id="3">
    <w:p w:rsidR="00AD7B15" w:rsidRPr="00AD7B15" w:rsidRDefault="00AD7B15" w:rsidP="00D05942">
      <w:pPr>
        <w:pStyle w:val="FootnoteText"/>
        <w:ind w:left="0" w:firstLine="0"/>
      </w:pPr>
      <w:r>
        <w:rPr>
          <w:rStyle w:val="FootnoteReference"/>
        </w:rPr>
        <w:footnoteRef/>
      </w:r>
      <w:r>
        <w:tab/>
        <w:t>Rialachán (AE) 2024/886 ó Pharlaimint na hEorpa agus ón gComhairle an 13 Márta 2024 lena leasaítear Rialacháin (AE) Uimh. 260/2012 agus (AE) 2021/1230 agus Treoracha 98/26/CE agus (AE) 2015/2366 a mhéid a bhaineann le haistrithe creidmheasa meandracha in euro (IO</w:t>
      </w:r>
      <w:r w:rsidR="00BE7B43">
        <w:t> </w:t>
      </w:r>
      <w:r>
        <w:t>L, 2024/886, 19.3.2024, ELI: http://data.europa.eu/eli/reg/2024/886/oj).</w:t>
      </w:r>
    </w:p>
  </w:footnote>
  <w:footnote w:id="4">
    <w:p w:rsidR="009713B0" w:rsidRPr="00AD7B15" w:rsidRDefault="009713B0" w:rsidP="009713B0">
      <w:pPr>
        <w:pStyle w:val="FootnoteText"/>
      </w:pPr>
      <w:r>
        <w:rPr>
          <w:rStyle w:val="FootnoteReference"/>
        </w:rPr>
        <w:footnoteRef/>
      </w:r>
      <w:r>
        <w:tab/>
        <w:t>Rialachán (AE) Uimh. 1093/2010 ó Pharlaimint na hEorpa agus ón gComhairle an 24 Samhain 2010 lena mbunaítear Údarás Maoirseachta Eorpach (An tÚdarás Baincéireachta Eorpach), lena leasaítear Cinneadh Uimh. 716/2009/CE agus lena</w:t>
      </w:r>
      <w:r w:rsidR="00BE7B43">
        <w:t xml:space="preserve"> n</w:t>
      </w:r>
      <w:r w:rsidR="00BE7B43">
        <w:noBreakHyphen/>
      </w:r>
      <w:r>
        <w:t>aisghairtear Cinneadh 2009/78/CE ón gCoimisiún (IO</w:t>
      </w:r>
      <w:r w:rsidR="00BE7B43">
        <w:t> </w:t>
      </w:r>
      <w:r>
        <w:t>L 331, 15.12.2010, lch.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Default="00113C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CEA" w:rsidRDefault="00113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5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F645E8B-724C-492F-A512-D8D663826306"/>
    <w:docVar w:name="LW_COVERPAGE_TYPE" w:val="1"/>
    <w:docVar w:name="LW_CreatedUtc" w:val="2025-02-25T08:25:43.0388982Z"/>
    <w:docVar w:name="LW_CROSSREFERENCE" w:val="&lt;UNUSED&gt;"/>
    <w:docVar w:name="LW_DATE.ADOPT.CP" w:val="an 1.10.2025"/>
    <w:docVar w:name="LW_DATE.ADOPT.CP_DATEFORMAT" w:val="an %DATE%"/>
    <w:docVar w:name="LW_DATE.ADOPT.CP_ISODATE" w:val="2025-10-01"/>
    <w:docVar w:name="LW_DocType" w:val="COM"/>
    <w:docVar w:name="LW_EMISSION" w:val="1.10.2025"/>
    <w:docVar w:name="LW_EMISSION_ISODATE" w:val="2025-10-01"/>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CP" w:val="&lt;UNUSED&gt;"/>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ena leagtar síos caighdeáin theicniúla cur chun feidhme i dtaca le cur i bhfeidhm Rialachán (AE) Uimh. 260/2012 ó Pharlaimint na hEorpa agus ón gComhairle maidir le teimpléid aonfhoirmeacha don tuairisciú, treoracha agus modheolaíocht chun tuairisciú a dhéanamh ar leibhéal na muirear le haghaidh aistrithe creidmheasa, aistrithe creidmheasa meandracha agus cuntais íocaíochta, agus sciar na n_x001e_idirbheart a diúltaíodh"/>
    <w:docVar w:name="LW_TYPE.DOC.CP" w:val="RIALACHÁN CUR CHUN FEIDHME (AE) .../... ÓN gCOIMISIÚN"/>
    <w:docVar w:name="LwApiVersions" w:val="LW4CoDe 1.24.5.0; LW 9.0, Build 20240221"/>
  </w:docVars>
  <w:rsids>
    <w:rsidRoot w:val="00FE7FED"/>
    <w:rsid w:val="00001BC7"/>
    <w:rsid w:val="000066ED"/>
    <w:rsid w:val="000068B4"/>
    <w:rsid w:val="000079A5"/>
    <w:rsid w:val="00014C12"/>
    <w:rsid w:val="00016168"/>
    <w:rsid w:val="000205B7"/>
    <w:rsid w:val="00025818"/>
    <w:rsid w:val="0002592C"/>
    <w:rsid w:val="0002598B"/>
    <w:rsid w:val="00033F48"/>
    <w:rsid w:val="00036F90"/>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2060"/>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3CEA"/>
    <w:rsid w:val="00114B61"/>
    <w:rsid w:val="0011705A"/>
    <w:rsid w:val="00117E87"/>
    <w:rsid w:val="001238EF"/>
    <w:rsid w:val="00123A96"/>
    <w:rsid w:val="00124229"/>
    <w:rsid w:val="001254D0"/>
    <w:rsid w:val="00126A52"/>
    <w:rsid w:val="001309E5"/>
    <w:rsid w:val="00130A11"/>
    <w:rsid w:val="0013354A"/>
    <w:rsid w:val="0013409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877F8"/>
    <w:rsid w:val="001913B0"/>
    <w:rsid w:val="001918E6"/>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775"/>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499A"/>
    <w:rsid w:val="002D6964"/>
    <w:rsid w:val="002E15CA"/>
    <w:rsid w:val="002E2315"/>
    <w:rsid w:val="002E3165"/>
    <w:rsid w:val="002E53A7"/>
    <w:rsid w:val="002F1C71"/>
    <w:rsid w:val="002F1EE7"/>
    <w:rsid w:val="002F4C83"/>
    <w:rsid w:val="00303696"/>
    <w:rsid w:val="00311576"/>
    <w:rsid w:val="003119D5"/>
    <w:rsid w:val="00311E05"/>
    <w:rsid w:val="00316F44"/>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76E7C"/>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B602B"/>
    <w:rsid w:val="004C15AA"/>
    <w:rsid w:val="004C5916"/>
    <w:rsid w:val="004C60B0"/>
    <w:rsid w:val="004C635B"/>
    <w:rsid w:val="004C79F1"/>
    <w:rsid w:val="004D084C"/>
    <w:rsid w:val="004D4226"/>
    <w:rsid w:val="004E047A"/>
    <w:rsid w:val="004E1BAA"/>
    <w:rsid w:val="004E2937"/>
    <w:rsid w:val="004E572C"/>
    <w:rsid w:val="004E5E83"/>
    <w:rsid w:val="004E6EE0"/>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A0D"/>
    <w:rsid w:val="005C5BEE"/>
    <w:rsid w:val="005D090B"/>
    <w:rsid w:val="005D0A03"/>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2226"/>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3B16"/>
    <w:rsid w:val="008F5762"/>
    <w:rsid w:val="00900DD3"/>
    <w:rsid w:val="009013F8"/>
    <w:rsid w:val="00911C72"/>
    <w:rsid w:val="00912850"/>
    <w:rsid w:val="00914C54"/>
    <w:rsid w:val="0091508E"/>
    <w:rsid w:val="00915816"/>
    <w:rsid w:val="00917E85"/>
    <w:rsid w:val="009203A5"/>
    <w:rsid w:val="00925CEE"/>
    <w:rsid w:val="00927603"/>
    <w:rsid w:val="00930421"/>
    <w:rsid w:val="00930648"/>
    <w:rsid w:val="00933431"/>
    <w:rsid w:val="00936D2B"/>
    <w:rsid w:val="0094211A"/>
    <w:rsid w:val="00942720"/>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5D41"/>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867A0"/>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E7B43"/>
    <w:rsid w:val="00BF1DAA"/>
    <w:rsid w:val="00BF2FE5"/>
    <w:rsid w:val="00BF3180"/>
    <w:rsid w:val="00BF6D71"/>
    <w:rsid w:val="00BF7F77"/>
    <w:rsid w:val="00C00730"/>
    <w:rsid w:val="00C01E11"/>
    <w:rsid w:val="00C06434"/>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3678A"/>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E5248"/>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65AD"/>
    <w:rsid w:val="00FB7673"/>
    <w:rsid w:val="00FB7914"/>
    <w:rsid w:val="00FC0031"/>
    <w:rsid w:val="00FC0B30"/>
    <w:rsid w:val="00FC38F8"/>
    <w:rsid w:val="00FD15D6"/>
    <w:rsid w:val="00FD1FD5"/>
    <w:rsid w:val="00FD3AB2"/>
    <w:rsid w:val="00FD71F7"/>
    <w:rsid w:val="00FE392C"/>
    <w:rsid w:val="00FE7FED"/>
    <w:rsid w:val="00FF1134"/>
    <w:rsid w:val="00FF115D"/>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1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ga-IE"/>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ga-IE"/>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113CEA"/>
    <w:rPr>
      <w:rFonts w:ascii="Times New Roman" w:hAnsi="Times New Roman" w:cs="Times New Roman"/>
      <w:sz w:val="24"/>
      <w:lang w:val="ga-IE"/>
    </w:rPr>
  </w:style>
  <w:style w:type="character" w:customStyle="1" w:styleId="FooterChar">
    <w:name w:val="Footer Char"/>
    <w:basedOn w:val="DefaultParagraphFont"/>
    <w:link w:val="Footer"/>
    <w:uiPriority w:val="99"/>
    <w:rsid w:val="00113CEA"/>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ga-I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ga-I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ga-I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ga-I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ga-I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ga-I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ga-I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13CE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13CEA"/>
    <w:pPr>
      <w:spacing w:before="0"/>
      <w:jc w:val="right"/>
    </w:pPr>
    <w:rPr>
      <w:sz w:val="28"/>
    </w:rPr>
  </w:style>
  <w:style w:type="paragraph" w:customStyle="1" w:styleId="FooterSensitivity">
    <w:name w:val="Footer Sensitivity"/>
    <w:basedOn w:val="Normal"/>
    <w:rsid w:val="00113CE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8"/>
      </w:numPr>
    </w:pPr>
  </w:style>
  <w:style w:type="paragraph" w:customStyle="1" w:styleId="Tiret1">
    <w:name w:val="Tiret 1"/>
    <w:basedOn w:val="Point1"/>
    <w:pPr>
      <w:numPr>
        <w:numId w:val="9"/>
      </w:numPr>
    </w:pPr>
  </w:style>
  <w:style w:type="paragraph" w:customStyle="1" w:styleId="Tiret2">
    <w:name w:val="Tiret 2"/>
    <w:basedOn w:val="Point2"/>
    <w:pPr>
      <w:numPr>
        <w:numId w:val="10"/>
      </w:numPr>
    </w:pPr>
  </w:style>
  <w:style w:type="paragraph" w:customStyle="1" w:styleId="Tiret3">
    <w:name w:val="Tiret 3"/>
    <w:basedOn w:val="Point3"/>
    <w:pPr>
      <w:numPr>
        <w:numId w:val="11"/>
      </w:numPr>
    </w:pPr>
  </w:style>
  <w:style w:type="paragraph" w:customStyle="1" w:styleId="Tiret4">
    <w:name w:val="Tiret 4"/>
    <w:basedOn w:val="Point4"/>
    <w:pPr>
      <w:numPr>
        <w:numId w:val="12"/>
      </w:numPr>
    </w:pPr>
  </w:style>
  <w:style w:type="paragraph" w:customStyle="1" w:styleId="Tiret5">
    <w:name w:val="Tiret 5"/>
    <w:basedOn w:val="Point5"/>
    <w:pPr>
      <w:numPr>
        <w:numId w:val="1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4"/>
      </w:numPr>
    </w:pPr>
  </w:style>
  <w:style w:type="paragraph" w:customStyle="1" w:styleId="NumPar2">
    <w:name w:val="NumPar 2"/>
    <w:basedOn w:val="Normal"/>
    <w:next w:val="Text1"/>
    <w:pPr>
      <w:numPr>
        <w:ilvl w:val="1"/>
        <w:numId w:val="14"/>
      </w:numPr>
    </w:pPr>
  </w:style>
  <w:style w:type="paragraph" w:customStyle="1" w:styleId="NumPar3">
    <w:name w:val="NumPar 3"/>
    <w:basedOn w:val="Normal"/>
    <w:next w:val="Text1"/>
    <w:pPr>
      <w:numPr>
        <w:ilvl w:val="2"/>
        <w:numId w:val="14"/>
      </w:numPr>
    </w:pPr>
  </w:style>
  <w:style w:type="paragraph" w:customStyle="1" w:styleId="NumPar4">
    <w:name w:val="NumPar 4"/>
    <w:basedOn w:val="Normal"/>
    <w:next w:val="Text1"/>
    <w:pPr>
      <w:numPr>
        <w:ilvl w:val="3"/>
        <w:numId w:val="14"/>
      </w:numPr>
    </w:pPr>
  </w:style>
  <w:style w:type="paragraph" w:customStyle="1" w:styleId="NumPar5">
    <w:name w:val="NumPar 5"/>
    <w:basedOn w:val="Normal"/>
    <w:next w:val="Text2"/>
    <w:pPr>
      <w:numPr>
        <w:ilvl w:val="4"/>
        <w:numId w:val="14"/>
      </w:numPr>
    </w:pPr>
  </w:style>
  <w:style w:type="paragraph" w:customStyle="1" w:styleId="NumPar6">
    <w:name w:val="NumPar 6"/>
    <w:basedOn w:val="Normal"/>
    <w:next w:val="Text2"/>
    <w:pPr>
      <w:numPr>
        <w:ilvl w:val="5"/>
        <w:numId w:val="14"/>
      </w:numPr>
    </w:pPr>
  </w:style>
  <w:style w:type="paragraph" w:customStyle="1" w:styleId="NumPar7">
    <w:name w:val="NumPar 7"/>
    <w:basedOn w:val="Normal"/>
    <w:next w:val="Text2"/>
    <w:pPr>
      <w:numPr>
        <w:ilvl w:val="6"/>
        <w:numId w:val="1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6"/>
      </w:numPr>
    </w:pPr>
  </w:style>
  <w:style w:type="paragraph" w:customStyle="1" w:styleId="Point1number">
    <w:name w:val="Point 1 (number)"/>
    <w:basedOn w:val="Normal"/>
    <w:pPr>
      <w:numPr>
        <w:ilvl w:val="2"/>
        <w:numId w:val="16"/>
      </w:numPr>
    </w:pPr>
  </w:style>
  <w:style w:type="paragraph" w:customStyle="1" w:styleId="Point2number">
    <w:name w:val="Point 2 (number)"/>
    <w:basedOn w:val="Normal"/>
    <w:pPr>
      <w:numPr>
        <w:ilvl w:val="4"/>
        <w:numId w:val="16"/>
      </w:numPr>
    </w:pPr>
  </w:style>
  <w:style w:type="paragraph" w:customStyle="1" w:styleId="Point3number">
    <w:name w:val="Point 3 (number)"/>
    <w:basedOn w:val="Normal"/>
    <w:pPr>
      <w:numPr>
        <w:ilvl w:val="6"/>
        <w:numId w:val="16"/>
      </w:numPr>
    </w:pPr>
  </w:style>
  <w:style w:type="paragraph" w:customStyle="1" w:styleId="Point0letter">
    <w:name w:val="Point 0 (letter)"/>
    <w:basedOn w:val="Normal"/>
    <w:pPr>
      <w:numPr>
        <w:ilvl w:val="1"/>
        <w:numId w:val="16"/>
      </w:numPr>
    </w:pPr>
  </w:style>
  <w:style w:type="paragraph" w:customStyle="1" w:styleId="Point1letter">
    <w:name w:val="Point 1 (letter)"/>
    <w:basedOn w:val="Normal"/>
    <w:pPr>
      <w:numPr>
        <w:ilvl w:val="3"/>
        <w:numId w:val="16"/>
      </w:numPr>
    </w:pPr>
  </w:style>
  <w:style w:type="paragraph" w:customStyle="1" w:styleId="Point2letter">
    <w:name w:val="Point 2 (letter)"/>
    <w:basedOn w:val="Normal"/>
    <w:pPr>
      <w:numPr>
        <w:ilvl w:val="5"/>
        <w:numId w:val="16"/>
      </w:numPr>
    </w:pPr>
  </w:style>
  <w:style w:type="paragraph" w:customStyle="1" w:styleId="Point3letter">
    <w:name w:val="Point 3 (letter)"/>
    <w:basedOn w:val="Normal"/>
    <w:pPr>
      <w:numPr>
        <w:ilvl w:val="7"/>
        <w:numId w:val="16"/>
      </w:numPr>
    </w:pPr>
  </w:style>
  <w:style w:type="paragraph" w:customStyle="1" w:styleId="Point4letter">
    <w:name w:val="Point 4 (letter)"/>
    <w:basedOn w:val="Normal"/>
    <w:pPr>
      <w:numPr>
        <w:ilvl w:val="8"/>
        <w:numId w:val="16"/>
      </w:numPr>
    </w:pPr>
  </w:style>
  <w:style w:type="paragraph" w:customStyle="1" w:styleId="Bullet0">
    <w:name w:val="Bullet 0"/>
    <w:basedOn w:val="Normal"/>
    <w:pPr>
      <w:numPr>
        <w:numId w:val="17"/>
      </w:numPr>
    </w:pPr>
  </w:style>
  <w:style w:type="paragraph" w:customStyle="1" w:styleId="Bullet1">
    <w:name w:val="Bullet 1"/>
    <w:basedOn w:val="Normal"/>
    <w:pPr>
      <w:numPr>
        <w:numId w:val="18"/>
      </w:numPr>
    </w:pPr>
  </w:style>
  <w:style w:type="paragraph" w:customStyle="1" w:styleId="Bullet2">
    <w:name w:val="Bullet 2"/>
    <w:basedOn w:val="Normal"/>
    <w:pPr>
      <w:numPr>
        <w:numId w:val="19"/>
      </w:numPr>
    </w:pPr>
  </w:style>
  <w:style w:type="paragraph" w:customStyle="1" w:styleId="Bullet3">
    <w:name w:val="Bullet 3"/>
    <w:basedOn w:val="Normal"/>
    <w:pPr>
      <w:numPr>
        <w:numId w:val="20"/>
      </w:numPr>
    </w:pPr>
  </w:style>
  <w:style w:type="paragraph" w:customStyle="1" w:styleId="Bullet4">
    <w:name w:val="Bullet 4"/>
    <w:basedOn w:val="Normal"/>
    <w:pPr>
      <w:numPr>
        <w:numId w:val="2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13CEA"/>
    <w:pPr>
      <w:tabs>
        <w:tab w:val="center" w:pos="4535"/>
        <w:tab w:val="right" w:pos="9071"/>
      </w:tabs>
      <w:spacing w:before="0"/>
    </w:pPr>
  </w:style>
  <w:style w:type="paragraph" w:customStyle="1" w:styleId="HeaderLandscape">
    <w:name w:val="HeaderLandscape"/>
    <w:basedOn w:val="Normal"/>
    <w:rsid w:val="00113CEA"/>
    <w:pPr>
      <w:tabs>
        <w:tab w:val="center" w:pos="7285"/>
        <w:tab w:val="right" w:pos="14003"/>
      </w:tabs>
      <w:spacing w:before="0"/>
    </w:pPr>
  </w:style>
  <w:style w:type="paragraph" w:styleId="Footer">
    <w:name w:val="footer"/>
    <w:basedOn w:val="Normal"/>
    <w:link w:val="FooterChar"/>
    <w:uiPriority w:val="99"/>
    <w:unhideWhenUsed/>
    <w:rsid w:val="00113CE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13CE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2BC0A4-C3D0-45A3-BF4A-176BC1B216C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39</TotalTime>
  <Pages>6</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