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A32337" w:rsidRDefault="00D21B8D" w:rsidP="00D21B8D">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C3AFE756-0D59-4F3A-A436-E5F8D208663B" style="width:455.25pt;height:369.75pt">
            <v:imagedata r:id="rId11" o:title=""/>
          </v:shape>
        </w:pict>
      </w:r>
    </w:p>
    <w:p w:rsidR="00FE7FED" w:rsidRPr="00A32337" w:rsidRDefault="00FE7FED">
      <w:pPr>
        <w:rPr>
          <w:noProof/>
        </w:rPr>
        <w:sectPr w:rsidR="00FE7FED" w:rsidRPr="00A32337" w:rsidSect="00D21B8D">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rsidR="009713B0" w:rsidRPr="00A32337" w:rsidRDefault="00A32337" w:rsidP="00A32337">
      <w:pPr>
        <w:pStyle w:val="Typedudocument"/>
        <w:rPr>
          <w:noProof/>
        </w:rPr>
      </w:pPr>
      <w:bookmarkStart w:id="0" w:name="_GoBack"/>
      <w:bookmarkEnd w:id="0"/>
      <w:r w:rsidRPr="00A32337">
        <w:rPr>
          <w:noProof/>
        </w:rPr>
        <w:lastRenderedPageBreak/>
        <w:t>KOMISSION TÄYTÄNTÖÖNPANOASETUS (EU) …/…,</w:t>
      </w:r>
    </w:p>
    <w:p w:rsidR="009713B0" w:rsidRPr="00A32337" w:rsidRDefault="00087F4E" w:rsidP="00A32337">
      <w:pPr>
        <w:pStyle w:val="Datedadoption"/>
        <w:rPr>
          <w:noProof/>
        </w:rPr>
      </w:pPr>
      <w:r>
        <w:rPr>
          <w:noProof/>
        </w:rPr>
        <w:t>annettu 1.10.2025,</w:t>
      </w:r>
    </w:p>
    <w:p w:rsidR="009713B0" w:rsidRPr="00A32337" w:rsidRDefault="00A32337" w:rsidP="00A32337">
      <w:pPr>
        <w:pStyle w:val="Titreobjet"/>
        <w:rPr>
          <w:noProof/>
        </w:rPr>
      </w:pPr>
      <w:r w:rsidRPr="00A32337">
        <w:rPr>
          <w:noProof/>
        </w:rPr>
        <w:t>teknisistä täytäntöönpanostandardeista Euroopan parlamentin ja neuvoston asetuksen (EU) N:o 260/2012 soveltamiseksi tilisiirroista, pikasiirroista ja maksutileistä perittävien palvelumaksujen tason sekä hylättyjen tapahtumien osuuden ilmoittamiseen tarkoitettujen yhdenmukaisten ilmoituslomakkeiden, ohjeiden ja menetelmien osalta</w:t>
      </w:r>
    </w:p>
    <w:p w:rsidR="009713B0" w:rsidRPr="00A32337" w:rsidRDefault="009713B0" w:rsidP="009713B0">
      <w:pPr>
        <w:pStyle w:val="Institutionquiagit"/>
        <w:rPr>
          <w:noProof/>
        </w:rPr>
      </w:pPr>
      <w:r w:rsidRPr="00A32337">
        <w:rPr>
          <w:noProof/>
        </w:rPr>
        <w:t>EUROOPAN KOMISSIO, joka</w:t>
      </w:r>
    </w:p>
    <w:p w:rsidR="009713B0" w:rsidRPr="00A32337" w:rsidRDefault="009713B0" w:rsidP="009713B0">
      <w:pPr>
        <w:rPr>
          <w:noProof/>
          <w:color w:val="000000"/>
        </w:rPr>
      </w:pPr>
      <w:r w:rsidRPr="00A32337">
        <w:rPr>
          <w:noProof/>
          <w:color w:val="000000"/>
        </w:rPr>
        <w:t>ottaa huomioon Euroopan unionin toiminnasta tehdyn sopimuksen,</w:t>
      </w:r>
    </w:p>
    <w:p w:rsidR="009713B0" w:rsidRPr="00A32337" w:rsidRDefault="009713B0" w:rsidP="009713B0">
      <w:pPr>
        <w:rPr>
          <w:noProof/>
          <w:color w:val="000000"/>
        </w:rPr>
      </w:pPr>
      <w:r w:rsidRPr="00A32337">
        <w:rPr>
          <w:noProof/>
          <w:color w:val="000000"/>
        </w:rPr>
        <w:t>ottaa huomioon euromääräisiä tilisiirtoja ja suoraveloituksia koskevista teknisistä ja liiketoimintaa koskevista vaatimuksista sekä asetuksen (EY) N:o 924/2009 muuttamisesta 14 päivänä maaliskuuta 2012 annetun Euroopan parlamentin ja neuvoston asetuksen (EU) N:o 260/2012</w:t>
      </w:r>
      <w:r w:rsidRPr="00A32337">
        <w:rPr>
          <w:rStyle w:val="FootnoteReference"/>
          <w:noProof/>
          <w:color w:val="000000"/>
        </w:rPr>
        <w:footnoteReference w:id="2"/>
      </w:r>
      <w:r w:rsidRPr="00A32337">
        <w:rPr>
          <w:noProof/>
          <w:color w:val="000000"/>
        </w:rPr>
        <w:t xml:space="preserve"> ja erityisesti sen 15 artiklan 5 kohdan kolmannen alakohdan, </w:t>
      </w:r>
    </w:p>
    <w:p w:rsidR="009713B0" w:rsidRPr="00A32337" w:rsidRDefault="009713B0" w:rsidP="009713B0">
      <w:pPr>
        <w:rPr>
          <w:noProof/>
        </w:rPr>
      </w:pPr>
      <w:r w:rsidRPr="00A32337">
        <w:rPr>
          <w:noProof/>
        </w:rPr>
        <w:t>sekä katsoo seuraavaa:</w:t>
      </w:r>
    </w:p>
    <w:p w:rsidR="00AC0006" w:rsidRPr="00A32337" w:rsidRDefault="003F2BB1" w:rsidP="003F2BB1">
      <w:pPr>
        <w:pStyle w:val="ManualConsidrant"/>
        <w:rPr>
          <w:noProof/>
        </w:rPr>
      </w:pPr>
      <w:r w:rsidRPr="003F2BB1">
        <w:rPr>
          <w:noProof/>
        </w:rPr>
        <w:t>(1)</w:t>
      </w:r>
      <w:r w:rsidRPr="003F2BB1">
        <w:rPr>
          <w:noProof/>
        </w:rPr>
        <w:tab/>
      </w:r>
      <w:r w:rsidR="00925CEE" w:rsidRPr="00A32337">
        <w:rPr>
          <w:noProof/>
        </w:rPr>
        <w:t xml:space="preserve">Komission olisi voitava arvioida asetuksen (EU) N:o 260/2012 15 artiklan 3 kohdan mukaisen maksujen tasoa koskevan ilmoittamisen perusteella, mikä vaikutus kyseisen asetuksen 5 b artiklan 1 kohdassa säädetyllä pikasiirroista perittäviä palvelumaksuja koskevalla säännöllä on ollut maksutileistä perittäviin palvelumaksuihin, niin kansallisista kuin rajatylittävistä tilisiirroista perittäviin palvelumaksuihin sekä euromääräisistä ja niiden jäsenvaltioiden, joiden rahayksikkö ei ole euro, kansallisen valuutan määräisistä pikasiirroista perittäviin palvelumaksuihin. Maksut, joita maksupalveluntarjoajat perivät tilisiirroista, pikasiirrot mukaan lukien, vaihtelevat yleensä kyseisen tilisiirron ominaisuuksien mukaan. Tällaisia ominaisuuksia voivat olla se, onko maksupalvelunkäyttäjä maksaja vai maksunsaaja ja kuluttaja vai ei, tai maksutoimeksiannon käynnistyskanavan tyyppi. Lähetetyistä tilisiirroista ilmoittamiseen olisi siksi sisällyttävä erittelyt kotimaisten ja rajatylittävien tilisiirtojen, maksupalvelunkäyttäjän tyypin ja maksutoimeksiannon käynnistyskanavan tyypin mukaan. </w:t>
      </w:r>
    </w:p>
    <w:p w:rsidR="00F133B9" w:rsidRPr="00A32337" w:rsidRDefault="003F2BB1" w:rsidP="003F2BB1">
      <w:pPr>
        <w:pStyle w:val="ManualConsidrant"/>
        <w:rPr>
          <w:noProof/>
        </w:rPr>
      </w:pPr>
      <w:r w:rsidRPr="003F2BB1">
        <w:rPr>
          <w:noProof/>
        </w:rPr>
        <w:t>(2)</w:t>
      </w:r>
      <w:r w:rsidRPr="003F2BB1">
        <w:rPr>
          <w:noProof/>
        </w:rPr>
        <w:tab/>
      </w:r>
      <w:r w:rsidR="00914C54" w:rsidRPr="00A32337">
        <w:rPr>
          <w:noProof/>
        </w:rPr>
        <w:t>Maksupalveluntarjoajat voivat asettaa tapahtumakohtaiset palvelumaksut valintansa mukaan nimellismääräisinä tai prosenttiosuutena tapahtuman arvosta. Maksupalveluntarjoajat voivat käyttää myös vaihtoehtoisia maksurakenteita, kuten tapahtuman arvon eri luokkien mukaisesti porrastettua hinnoittelua tai malleja, joihin sisältyy kuukaudessa tietty määrä maksuttomia tapahtumia ja joissa sovelletaan tapahtumakohtaista palvelumaksua, kun kyseinen määrä ylittyy. Ei olisi toivottavaa, että tällainen kaupallisten käytäntöjen epäyhtenäisyys johtaisi asetuksen (EU) N:o 260/2012 5 b artiklan 1 kohdassa säädetyn, pikasiirroista perittäviä palvelumaksuja koskevan säännön tavoitteen kiertämiseen. Tavallisista tilisiirroista ja pikasiirroista perittävien palvelumaksujen tasoa koskevien tietojen ilmoittamismenetelmien olisi mahdollistettava se, että komissio voi arvioida maksupalveluntarjoajien toimittamia tietoja yhdenmukaisella ja vertailukelpoisella tavalla yksittäisen maksupalveluntarjoajan osalta ajan mittaan tapahtuneen kehityksen tasolla ja eri maksupalveluntarjoajien kesken tiettynä ajankohtana, vaikka maksupalveluntarjoajat käyttävät erilaisia veloitusmenetelmiä. Sen vuoksi ilmoittamiseen olisi sisällyttävä tiedot kyseisen kansallisen valuutan määräisten tilisiirtojen, pikasiirrot mukaan lukien, yhteenlasketuista määristä ja arvoista ja niiden palvelumaksuista. Lähetetyistä ja vastaanotetuista tilisiirroista ilmoittamiseen olisi sisällyttävä myös erittely maksuttomien ja maksullisten tilisiirtojen mukaan.</w:t>
      </w:r>
    </w:p>
    <w:p w:rsidR="009713B0" w:rsidRPr="00A32337" w:rsidRDefault="003F2BB1" w:rsidP="003F2BB1">
      <w:pPr>
        <w:pStyle w:val="ManualConsidrant"/>
        <w:rPr>
          <w:noProof/>
        </w:rPr>
      </w:pPr>
      <w:r w:rsidRPr="003F2BB1">
        <w:rPr>
          <w:noProof/>
        </w:rPr>
        <w:t>(3)</w:t>
      </w:r>
      <w:r w:rsidRPr="003F2BB1">
        <w:rPr>
          <w:noProof/>
        </w:rPr>
        <w:tab/>
      </w:r>
      <w:r w:rsidR="004425F3" w:rsidRPr="00A32337">
        <w:rPr>
          <w:noProof/>
        </w:rPr>
        <w:t>Maksupalveluntarjoajien olisi noudatettava niille asetuksen (EU) N:o 260/2012 15 artiklan 3 kohdassa asetettua ilmoittamisvelvoitetta yhteisön tasolla. Jotta varmistetaan yhdenmukaisuus sen toimintatavan kanssa, jonka mukaisesti maksutilastot ilmoitetaan EKP:lle, maksupalveluntarjoajien sivukonttoreiden, jotka sijaitsevat muissa kuin niiden emoyhtiöiden jäsenvaltioissa, olisi toimitettava tietonsa vastaanottavan jäsenvaltion toimivaltaiselle viranomaiselle, ja emoyhtiöiden olisi ilmoitettava omasta puolestaan kotijäsenvaltionsa toimivaltaiselle viranomaiselle.</w:t>
      </w:r>
    </w:p>
    <w:p w:rsidR="009713B0" w:rsidRPr="00A32337" w:rsidRDefault="003F2BB1" w:rsidP="003F2BB1">
      <w:pPr>
        <w:pStyle w:val="ManualConsidrant"/>
        <w:rPr>
          <w:noProof/>
        </w:rPr>
      </w:pPr>
      <w:r w:rsidRPr="003F2BB1">
        <w:rPr>
          <w:noProof/>
        </w:rPr>
        <w:t>(4)</w:t>
      </w:r>
      <w:r w:rsidRPr="003F2BB1">
        <w:rPr>
          <w:noProof/>
        </w:rPr>
        <w:tab/>
      </w:r>
      <w:r w:rsidR="000D1771" w:rsidRPr="00A32337">
        <w:rPr>
          <w:noProof/>
        </w:rPr>
        <w:t>Kuten asetuksen (EU) N:o 260/2012 5 a artiklan 8 kohdassa säädetään, maksupalveluntarjoajien, jotka sijaitsevat jäsenvaltiossa, jonka rahayksikkö ei ole euro, ja jotka tarjoavat maksupalvelunkäyttäjilleen euromääräisten tavallisten tilisiirtojen vastaanottamiseen ja lähettämiseen liittyvää maksupalvelua, on tarjottava maksupalvelunkäyttäjilleen euromääräisten pikasiirtojen vastaanottamista koskevaa maksupalvelua viimeistään 9 päivänä tammikuuta 2027 ja euromääräisten pikasiirtojen lähettämistä koskevaa maksupalvelua viimeistään 9 päivänä heinäkuuta 2027. Mainitun asetuksen 5 b artiklan 3 kohdan toisen alakohdan mukaisesti kyseisten maksupalveluntarjoajien olisi myös noudatettava velvoitteita, jotka koskevat maksajilta ja maksunsaajilta euromääräisten pikasiirtojen lähettämisestä ja vastaanottamisesta perittäviä maksuja, viimeistään 9 päivänä tammikuuta 2027. Jotta komissio voisi asetuksen (EU) N:o 260/2012 15 artiklan 2 kohdan a alakohdan mukaisesti arvioida kyseisen asetuksen vaikutusta tiilisiirroista, pikasiirrot mukaan lukien, perittäviin niiden jäsenvaltioiden, joiden rahayksikkö ei ole euro, kansallisen valuutan määräisiin palvelumaksuihin, on aiheellista, että kyseisissä jäsenvaltioissa sijaitsevien maksupalveluntarjoajien, jotka tarjoavat maksupalvelunkäyttäjilleen euromääräisten tavallisten tilisiirtojen vastaanottamiseen ja lähettämiseen liittyvää maksupalvelua, olisi ilmoitettava niiden kansallisen valuutan määräisten ja euromääräisten tilisiirtojen, pikasiirrot mukaan lukien, lukumäärät ja arvot sekä niistä perityt palvelumaksut.</w:t>
      </w:r>
    </w:p>
    <w:p w:rsidR="009713B0" w:rsidRPr="00A32337" w:rsidRDefault="003F2BB1" w:rsidP="003F2BB1">
      <w:pPr>
        <w:pStyle w:val="ManualConsidrant"/>
        <w:rPr>
          <w:noProof/>
        </w:rPr>
      </w:pPr>
      <w:r w:rsidRPr="003F2BB1">
        <w:rPr>
          <w:noProof/>
        </w:rPr>
        <w:t>(5)</w:t>
      </w:r>
      <w:r w:rsidRPr="003F2BB1">
        <w:rPr>
          <w:noProof/>
        </w:rPr>
        <w:tab/>
      </w:r>
      <w:r w:rsidR="009713B0" w:rsidRPr="00A32337">
        <w:rPr>
          <w:noProof/>
        </w:rPr>
        <w:t>Asetuksen (EU) N:o 260/2012 15 artiklan 3 kohdan mukaista ilmoittamista varten maksupalveluntarjoajien olisi toimitettava toimivaltaisille viranomaisilleen tiedot maksutilien kokonaislukumäärästä ja maksutileistä perittävien palvelumaksujen kokonaismäärien yhteenlasketusta tasosta. Ilmoittamisessa olisi eriteltävä ylläpitomaksut, jotta komissio voisi arvioida, onko maksutileistä perittävien palvelumaksujen mahdollisten muutosten ja tilisiirroista ja pikasiirroista perittävien palvelumaksujen muutosten välillä yhteys.</w:t>
      </w:r>
    </w:p>
    <w:p w:rsidR="009713B0" w:rsidRPr="00A32337" w:rsidRDefault="003F2BB1" w:rsidP="003F2BB1">
      <w:pPr>
        <w:pStyle w:val="ManualConsidrant"/>
        <w:rPr>
          <w:noProof/>
        </w:rPr>
      </w:pPr>
      <w:r w:rsidRPr="003F2BB1">
        <w:rPr>
          <w:noProof/>
        </w:rPr>
        <w:t>(6)</w:t>
      </w:r>
      <w:r w:rsidRPr="003F2BB1">
        <w:rPr>
          <w:noProof/>
        </w:rPr>
        <w:tab/>
      </w:r>
      <w:r w:rsidR="00136075" w:rsidRPr="00A32337">
        <w:rPr>
          <w:noProof/>
        </w:rPr>
        <w:t>Jotta komissio voisi arvioida Euroopan unionin toiminnasta tehdyn sopimuksen 215 artiklan mukaisesti käyttöön otettujen kohdennettujen taloudellisten rajoittavien toimenpiteiden soveltamisen vuoksi tehtyjen pikasiirtojen hylkäämisten osuutta sekä sitä, onko kyseinen osuus muuttunut sen jälkeen, kun Euroopan parlamentin ja neuvoston asetuksella (EU) 2024/886</w:t>
      </w:r>
      <w:r w:rsidR="00136075" w:rsidRPr="00A32337">
        <w:rPr>
          <w:rStyle w:val="FootnoteReference"/>
          <w:noProof/>
        </w:rPr>
        <w:footnoteReference w:id="3"/>
      </w:r>
      <w:r w:rsidR="00136075" w:rsidRPr="00A32337">
        <w:rPr>
          <w:noProof/>
        </w:rPr>
        <w:t xml:space="preserve"> asetukseen (EU) N:o 260/2012 tehtyjä muutoksia alettiin soveltaa, maksupalveluntarjoajien olisi toimitettava toimivaltaisille viranomaisilleen tiedot kyseisestä osuudesta tiettynä vuonna, mukaan lukien niiden tapausten lukumäärä, joissa pikasiirtoja ei ole toteutettu tai varoja on jäädytetty maksajan tai maksunsaajan maksupalveluntarjoajan puolella. </w:t>
      </w:r>
    </w:p>
    <w:p w:rsidR="0039723A" w:rsidRPr="00A32337" w:rsidRDefault="003F2BB1" w:rsidP="003F2BB1">
      <w:pPr>
        <w:pStyle w:val="ManualConsidrant"/>
        <w:rPr>
          <w:noProof/>
        </w:rPr>
      </w:pPr>
      <w:r w:rsidRPr="003F2BB1">
        <w:rPr>
          <w:noProof/>
        </w:rPr>
        <w:t>(7)</w:t>
      </w:r>
      <w:r w:rsidRPr="003F2BB1">
        <w:rPr>
          <w:noProof/>
        </w:rPr>
        <w:tab/>
      </w:r>
      <w:r w:rsidR="00B17DF1" w:rsidRPr="00A32337">
        <w:rPr>
          <w:noProof/>
        </w:rPr>
        <w:t>Ilmoittamisen yhdenmukaistamiseksi maksupalveluntarjoajien olisi käytettävä tietopistemallia ja validointikaavoja, jotka on asetettu saataville Euroopan pankkiviranomaisen (EPV) verkkosivustolla. Ilmoittamisesta aiheutuvan taakan vähentämiseksi ja mahdollisen päällekkäisyyden välttämiseksi toimivaltaisten viranomaisten olisi voitava antaa lainkäyttöalueellaan sijaitsevien maksupalveluntarjoajien rajoittaa ilmoittaminen niihin tietopisteisiin, joita ei ole aiemmin toimitettu.</w:t>
      </w:r>
    </w:p>
    <w:p w:rsidR="009713B0" w:rsidRPr="00A32337" w:rsidRDefault="003F2BB1" w:rsidP="003F2BB1">
      <w:pPr>
        <w:pStyle w:val="ManualConsidrant"/>
        <w:rPr>
          <w:noProof/>
        </w:rPr>
      </w:pPr>
      <w:r w:rsidRPr="003F2BB1">
        <w:rPr>
          <w:noProof/>
        </w:rPr>
        <w:t>(8)</w:t>
      </w:r>
      <w:r w:rsidRPr="003F2BB1">
        <w:rPr>
          <w:noProof/>
        </w:rPr>
        <w:tab/>
      </w:r>
      <w:r w:rsidR="009713B0" w:rsidRPr="00A32337">
        <w:rPr>
          <w:noProof/>
        </w:rPr>
        <w:t>Tämä asetus perustuu teknisten täytäntöönpanostandardien luonnoksiin, jotka EPV on toimittanut komissiolle.</w:t>
      </w:r>
    </w:p>
    <w:p w:rsidR="009713B0" w:rsidRPr="00A32337" w:rsidRDefault="003F2BB1" w:rsidP="003F2BB1">
      <w:pPr>
        <w:pStyle w:val="ManualConsidrant"/>
        <w:rPr>
          <w:noProof/>
        </w:rPr>
      </w:pPr>
      <w:r w:rsidRPr="003F2BB1">
        <w:rPr>
          <w:noProof/>
        </w:rPr>
        <w:t>(9)</w:t>
      </w:r>
      <w:r w:rsidRPr="003F2BB1">
        <w:rPr>
          <w:noProof/>
        </w:rPr>
        <w:tab/>
      </w:r>
      <w:r w:rsidR="009713B0" w:rsidRPr="00A32337">
        <w:rPr>
          <w:noProof/>
        </w:rPr>
        <w:t>EPV on järjestänyt avoimia julkisia kuulemisia niistä teknisten täytäntöönpanostandardien luonnoksista, joihin tämä asetus perustuu, analysoinut niihin mahdollisesti liittyviä kustannuksia ja hyötyjä sekä pyytänyt neuvoa Euroopan parlamentin ja neuvoston asetuksen (EU) N:o 1093/2010</w:t>
      </w:r>
      <w:r w:rsidR="009713B0" w:rsidRPr="00A32337">
        <w:rPr>
          <w:rStyle w:val="FootnoteReference"/>
          <w:noProof/>
        </w:rPr>
        <w:footnoteReference w:id="4"/>
      </w:r>
      <w:r w:rsidR="009713B0" w:rsidRPr="00A32337">
        <w:rPr>
          <w:noProof/>
        </w:rPr>
        <w:t xml:space="preserve"> 37 artiklan mukaisesti perustetulta pankkialan osallisryhmältä,</w:t>
      </w:r>
    </w:p>
    <w:p w:rsidR="009713B0" w:rsidRPr="00A32337" w:rsidRDefault="009713B0" w:rsidP="009713B0">
      <w:pPr>
        <w:pStyle w:val="Formuledadoption"/>
        <w:rPr>
          <w:noProof/>
        </w:rPr>
      </w:pPr>
      <w:r w:rsidRPr="00A32337">
        <w:rPr>
          <w:noProof/>
        </w:rPr>
        <w:t>ON HYVÄKSYNYT TÄMÄN ASETUKSEN:</w:t>
      </w:r>
    </w:p>
    <w:p w:rsidR="009713B0" w:rsidRPr="00A32337" w:rsidRDefault="009713B0" w:rsidP="009713B0">
      <w:pPr>
        <w:pStyle w:val="Titrearticle"/>
        <w:rPr>
          <w:noProof/>
        </w:rPr>
      </w:pPr>
      <w:r w:rsidRPr="00A32337">
        <w:rPr>
          <w:noProof/>
        </w:rPr>
        <w:t>1 artikla</w:t>
      </w:r>
    </w:p>
    <w:p w:rsidR="009713B0" w:rsidRPr="00A32337" w:rsidRDefault="009713B0" w:rsidP="009713B0">
      <w:pPr>
        <w:jc w:val="center"/>
        <w:rPr>
          <w:b/>
          <w:bCs/>
          <w:noProof/>
        </w:rPr>
      </w:pPr>
      <w:r w:rsidRPr="00A32337">
        <w:rPr>
          <w:b/>
          <w:noProof/>
        </w:rPr>
        <w:t>Ilmoittaminen palvelumaksujen tasosta</w:t>
      </w:r>
    </w:p>
    <w:p w:rsidR="009713B0" w:rsidRPr="00A32337" w:rsidRDefault="009713B0" w:rsidP="009713B0">
      <w:pPr>
        <w:pStyle w:val="Point0"/>
        <w:rPr>
          <w:noProof/>
        </w:rPr>
      </w:pPr>
      <w:r w:rsidRPr="00A32337">
        <w:rPr>
          <w:noProof/>
        </w:rPr>
        <w:t>1.</w:t>
      </w:r>
      <w:r w:rsidRPr="00A32337">
        <w:rPr>
          <w:noProof/>
        </w:rPr>
        <w:tab/>
        <w:t>Maksupalveluntarjoajien on ilmoitettava tilisiirroista, pikasiirroista ja maksutileistä perittävien palvelumaksujen taso toimittamalla liitteessä I olevissa lomakkeissa 1.1, 1.2, 2.1, 2.2 ja 3 täsmennetyt tiedot liitteessä II annettujen ohjeiden mukaisesti.</w:t>
      </w:r>
    </w:p>
    <w:p w:rsidR="009713B0" w:rsidRPr="00A32337" w:rsidRDefault="009713B0" w:rsidP="009713B0">
      <w:pPr>
        <w:pStyle w:val="Point0"/>
        <w:rPr>
          <w:noProof/>
        </w:rPr>
      </w:pPr>
      <w:r w:rsidRPr="00A32337">
        <w:rPr>
          <w:noProof/>
        </w:rPr>
        <w:t>2.</w:t>
      </w:r>
      <w:r w:rsidRPr="00A32337">
        <w:rPr>
          <w:noProof/>
        </w:rPr>
        <w:tab/>
        <w:t>Maksupalveluntarjoajien on ilmoitettava vuotuiset yhteenlasketut luvut ajalta, joka ulottuu ilmoituksen toimittamisvuotta edeltävän kalenterivuoden 31 päivään joulukuuta.</w:t>
      </w:r>
    </w:p>
    <w:p w:rsidR="009713B0" w:rsidRPr="00A32337" w:rsidRDefault="009713B0" w:rsidP="009713B0">
      <w:pPr>
        <w:pStyle w:val="Point0"/>
        <w:rPr>
          <w:noProof/>
        </w:rPr>
      </w:pPr>
      <w:r w:rsidRPr="00A32337">
        <w:rPr>
          <w:noProof/>
        </w:rPr>
        <w:t>3.</w:t>
      </w:r>
      <w:r w:rsidRPr="00A32337">
        <w:rPr>
          <w:noProof/>
        </w:rPr>
        <w:tab/>
        <w:t>Poiketen siitä, mitä 2 kohdassa säädetään, ensimmäiseen yhdenmukaistettuun ilmoitukseen on sisällyttävä yhteenlasketut luvut kultakin ilmoituksen toimittamisvuotta edeltävältä vuodelta alkaen vuodesta 2022, 26 päivän lokakuuta 2022 ja 31 päivän joulukuuta 2022 välisestä ajanjaksosta.</w:t>
      </w:r>
    </w:p>
    <w:p w:rsidR="009713B0" w:rsidRPr="00A32337" w:rsidRDefault="009713B0" w:rsidP="009713B0">
      <w:pPr>
        <w:pStyle w:val="Titrearticle"/>
        <w:rPr>
          <w:noProof/>
        </w:rPr>
      </w:pPr>
      <w:r w:rsidRPr="00A32337">
        <w:rPr>
          <w:noProof/>
        </w:rPr>
        <w:t>2 artikla</w:t>
      </w:r>
    </w:p>
    <w:p w:rsidR="009713B0" w:rsidRPr="00A32337" w:rsidRDefault="009713B0" w:rsidP="009713B0">
      <w:pPr>
        <w:jc w:val="center"/>
        <w:rPr>
          <w:b/>
          <w:bCs/>
          <w:noProof/>
        </w:rPr>
      </w:pPr>
      <w:r w:rsidRPr="00A32337">
        <w:rPr>
          <w:b/>
          <w:noProof/>
        </w:rPr>
        <w:t>Ilmoittaminen hylättyjen pikasiirtotapahtumien osuudesta ja viiteajanjaksoista</w:t>
      </w:r>
    </w:p>
    <w:p w:rsidR="009713B0" w:rsidRPr="00A32337" w:rsidRDefault="009713B0" w:rsidP="009713B0">
      <w:pPr>
        <w:pStyle w:val="Point0"/>
        <w:rPr>
          <w:noProof/>
        </w:rPr>
      </w:pPr>
      <w:r w:rsidRPr="00A32337">
        <w:rPr>
          <w:noProof/>
        </w:rPr>
        <w:t>1.</w:t>
      </w:r>
      <w:r w:rsidRPr="00A32337">
        <w:rPr>
          <w:noProof/>
        </w:rPr>
        <w:tab/>
        <w:t>Maksupalveluntarjoajien on ilmoitettava sellaisten pikasiirtotapahtumien osuus, jotka on hylätty asetuksen (EU) N:o 260/2012 15 artiklan 3 kohdassa tarkoitettujen kohdennettujen taloudellisten rajoittavien toimenpiteiden vuoksi, mukaan lukien erilliset tiedot kansallisista ja rajatylittävistä tapahtumista, toimittamalla liitteessä I olevassa lomakkeessa 4 täsmennetyt tiedot liitteessä II annettujen ohjeiden mukaisesti.</w:t>
      </w:r>
    </w:p>
    <w:p w:rsidR="009713B0" w:rsidRPr="00A32337" w:rsidRDefault="009713B0" w:rsidP="009713B0">
      <w:pPr>
        <w:pStyle w:val="Point0"/>
        <w:rPr>
          <w:noProof/>
        </w:rPr>
      </w:pPr>
      <w:r w:rsidRPr="00A32337">
        <w:rPr>
          <w:noProof/>
        </w:rPr>
        <w:t>2.</w:t>
      </w:r>
      <w:r w:rsidRPr="00A32337">
        <w:rPr>
          <w:noProof/>
        </w:rPr>
        <w:tab/>
        <w:t>Ilmoituksiin on sisällyttävä hylkäämisten määrä ilmoituksen toimittamisvuotta edeltävänä kalenterivuonna.</w:t>
      </w:r>
    </w:p>
    <w:p w:rsidR="00AD7B15" w:rsidRPr="00A32337" w:rsidRDefault="009713B0" w:rsidP="009713B0">
      <w:pPr>
        <w:pStyle w:val="Point0"/>
        <w:rPr>
          <w:noProof/>
        </w:rPr>
      </w:pPr>
      <w:r w:rsidRPr="00A32337">
        <w:rPr>
          <w:noProof/>
        </w:rPr>
        <w:t>3.</w:t>
      </w:r>
      <w:r w:rsidRPr="00A32337">
        <w:rPr>
          <w:noProof/>
        </w:rPr>
        <w:tab/>
        <w:t>Poiketen siitä, mitä 2 kohdassa säädetään, ensimmäiseen yhdenmukaistettuun ilmoitukseen on sisällyttävä täytetyt lomakkeet, joissa esitetään hylkäämisten määrä kultakin ilmoituksen toimittamisvuotta edeltävältä vuodelta alkaen vuodesta 2022, 26 päivän lokakuuta 2022 ja 31 päivän joulukuuta 2022 välisestä ajanjaksosta.</w:t>
      </w:r>
    </w:p>
    <w:p w:rsidR="00AD7B15" w:rsidRPr="00A32337" w:rsidRDefault="00AD7B15">
      <w:pPr>
        <w:spacing w:before="0" w:after="200" w:line="276" w:lineRule="auto"/>
        <w:jc w:val="left"/>
        <w:rPr>
          <w:noProof/>
        </w:rPr>
      </w:pPr>
      <w:r w:rsidRPr="00A32337">
        <w:rPr>
          <w:noProof/>
        </w:rPr>
        <w:br w:type="page"/>
      </w:r>
    </w:p>
    <w:p w:rsidR="009713B0" w:rsidRPr="00A32337" w:rsidRDefault="009713B0" w:rsidP="009713B0">
      <w:pPr>
        <w:pStyle w:val="Titrearticle"/>
        <w:rPr>
          <w:noProof/>
        </w:rPr>
      </w:pPr>
      <w:r w:rsidRPr="00A32337">
        <w:rPr>
          <w:noProof/>
        </w:rPr>
        <w:t>3 artikla</w:t>
      </w:r>
    </w:p>
    <w:p w:rsidR="009713B0" w:rsidRPr="00A32337" w:rsidRDefault="009713B0" w:rsidP="009713B0">
      <w:pPr>
        <w:jc w:val="center"/>
        <w:rPr>
          <w:b/>
          <w:bCs/>
          <w:noProof/>
        </w:rPr>
      </w:pPr>
      <w:r w:rsidRPr="00A32337">
        <w:rPr>
          <w:b/>
          <w:noProof/>
        </w:rPr>
        <w:t>Tietojenvaihdon muodot ja toimitettavat tiedot</w:t>
      </w:r>
    </w:p>
    <w:p w:rsidR="009713B0" w:rsidRPr="00A32337" w:rsidRDefault="009713B0" w:rsidP="009713B0">
      <w:pPr>
        <w:rPr>
          <w:noProof/>
        </w:rPr>
      </w:pPr>
      <w:r w:rsidRPr="00A32337">
        <w:rPr>
          <w:noProof/>
        </w:rPr>
        <w:t>Maksupalveluntarjoajien on toimitettava tämän asetuksen 1 ja 2 artiklassa tarkoitetut tiedot käyttäen toimivaltaisten viranomaisten tietojen vaihdolle määrittelemiä muotoja ja esitystapoja ja noudattaen tietopistemallin tietopisteille annettuja määritelmiä ja validointikaavoja, jotka on asetettu saataville EPV:n verkkosivustolla. Maksupalveluntarjoajien on noudatettava seuraavia vaatimuksia:</w:t>
      </w:r>
    </w:p>
    <w:p w:rsidR="009713B0" w:rsidRPr="00A32337" w:rsidRDefault="00C236AA" w:rsidP="00C236AA">
      <w:pPr>
        <w:pStyle w:val="Point0"/>
        <w:rPr>
          <w:noProof/>
        </w:rPr>
      </w:pPr>
      <w:r>
        <w:rPr>
          <w:noProof/>
        </w:rPr>
        <w:t>a)</w:t>
      </w:r>
      <w:r>
        <w:rPr>
          <w:noProof/>
        </w:rPr>
        <w:tab/>
      </w:r>
      <w:r w:rsidR="009713B0" w:rsidRPr="00A32337">
        <w:rPr>
          <w:noProof/>
        </w:rPr>
        <w:t>tietotoimituksiin ei saa sisällyttää tietoja, joita ei ole pyydetty tai jotka ovat käyttötarkoitukseen soveltumattomia;</w:t>
      </w:r>
    </w:p>
    <w:p w:rsidR="009713B0" w:rsidRPr="00A32337" w:rsidRDefault="00C236AA" w:rsidP="00C236AA">
      <w:pPr>
        <w:pStyle w:val="Point0"/>
        <w:rPr>
          <w:noProof/>
        </w:rPr>
      </w:pPr>
      <w:r>
        <w:rPr>
          <w:noProof/>
        </w:rPr>
        <w:t>b)</w:t>
      </w:r>
      <w:r>
        <w:rPr>
          <w:noProof/>
        </w:rPr>
        <w:tab/>
      </w:r>
      <w:r w:rsidR="009713B0" w:rsidRPr="00A32337">
        <w:rPr>
          <w:noProof/>
        </w:rPr>
        <w:t>numeeriset arvot on toimitettava seuraavasti:</w:t>
      </w:r>
    </w:p>
    <w:p w:rsidR="009713B0" w:rsidRPr="00A32337" w:rsidRDefault="0055071E" w:rsidP="009713B0">
      <w:pPr>
        <w:pStyle w:val="Point1"/>
        <w:rPr>
          <w:noProof/>
        </w:rPr>
      </w:pPr>
      <w:r w:rsidRPr="00A32337">
        <w:rPr>
          <w:noProof/>
        </w:rPr>
        <w:t>i)</w:t>
      </w:r>
      <w:r w:rsidRPr="00A32337">
        <w:rPr>
          <w:noProof/>
        </w:rPr>
        <w:tab/>
        <w:t>maksupalveluntarjoajien on ilmoitettava luokkaan ”rahamäärä” (monetary) kuuluvat tietopisteet tuhansien vähimmäistarkkuudella;</w:t>
      </w:r>
    </w:p>
    <w:p w:rsidR="009713B0" w:rsidRPr="00A32337" w:rsidRDefault="0055071E" w:rsidP="009713B0">
      <w:pPr>
        <w:pStyle w:val="Point1"/>
        <w:rPr>
          <w:noProof/>
        </w:rPr>
      </w:pPr>
      <w:r w:rsidRPr="00A32337">
        <w:rPr>
          <w:noProof/>
        </w:rPr>
        <w:t>ii)</w:t>
      </w:r>
      <w:r w:rsidRPr="00A32337">
        <w:rPr>
          <w:noProof/>
        </w:rPr>
        <w:tab/>
        <w:t>maksupalveluntarjoajien on ilmoitettava luokkaan ”kokonaisluku” (integer) kuuluvat tietopisteet ilman desimaaleja yksikkötarkkuudella.</w:t>
      </w:r>
    </w:p>
    <w:p w:rsidR="009713B0" w:rsidRPr="00A32337" w:rsidRDefault="009713B0" w:rsidP="009713B0">
      <w:pPr>
        <w:pStyle w:val="Titrearticle"/>
        <w:rPr>
          <w:noProof/>
        </w:rPr>
      </w:pPr>
      <w:r w:rsidRPr="00A32337">
        <w:rPr>
          <w:noProof/>
        </w:rPr>
        <w:t>4 artikla</w:t>
      </w:r>
    </w:p>
    <w:p w:rsidR="009713B0" w:rsidRPr="00A32337" w:rsidRDefault="009713B0" w:rsidP="009713B0">
      <w:pPr>
        <w:jc w:val="center"/>
        <w:rPr>
          <w:noProof/>
        </w:rPr>
      </w:pPr>
      <w:r w:rsidRPr="00A32337">
        <w:rPr>
          <w:b/>
          <w:noProof/>
        </w:rPr>
        <w:t>Voimaantulo</w:t>
      </w:r>
    </w:p>
    <w:p w:rsidR="009713B0" w:rsidRPr="00A32337" w:rsidRDefault="009713B0" w:rsidP="009713B0">
      <w:pPr>
        <w:rPr>
          <w:noProof/>
        </w:rPr>
      </w:pPr>
      <w:r w:rsidRPr="00A32337">
        <w:rPr>
          <w:noProof/>
        </w:rPr>
        <w:t xml:space="preserve">Tämä asetus tulee voimaan kahdentenakymmenentenä päivänä sen jälkeen, kun se on julkaistu </w:t>
      </w:r>
      <w:r w:rsidRPr="00A32337">
        <w:rPr>
          <w:i/>
          <w:noProof/>
        </w:rPr>
        <w:t>Euroopan unionin virallisessa lehdessä</w:t>
      </w:r>
      <w:r w:rsidRPr="00A32337">
        <w:rPr>
          <w:noProof/>
        </w:rPr>
        <w:t>.</w:t>
      </w:r>
    </w:p>
    <w:p w:rsidR="009713B0" w:rsidRPr="00A32337" w:rsidRDefault="009713B0" w:rsidP="009713B0">
      <w:pPr>
        <w:pStyle w:val="Applicationdirecte"/>
        <w:rPr>
          <w:noProof/>
        </w:rPr>
      </w:pPr>
      <w:r w:rsidRPr="00A32337">
        <w:rPr>
          <w:noProof/>
        </w:rPr>
        <w:t>Tämä asetus on kaikilta osiltaan velvoittava, ja sitä sovelletaan sellaisenaan kaikissa jäsenvaltioissa.</w:t>
      </w:r>
    </w:p>
    <w:p w:rsidR="009713B0" w:rsidRPr="00A32337" w:rsidRDefault="00087F4E" w:rsidP="005776D0">
      <w:pPr>
        <w:pStyle w:val="Fait"/>
        <w:rPr>
          <w:noProof/>
        </w:rPr>
      </w:pPr>
      <w:r>
        <w:rPr>
          <w:noProof/>
        </w:rPr>
        <w:t>Tehty Brysselissä 1.10.2025</w:t>
      </w:r>
    </w:p>
    <w:p w:rsidR="009713B0" w:rsidRPr="00A32337" w:rsidRDefault="009713B0" w:rsidP="005776D0">
      <w:pPr>
        <w:pStyle w:val="Institutionquisigne"/>
        <w:rPr>
          <w:noProof/>
        </w:rPr>
      </w:pPr>
      <w:r w:rsidRPr="00A32337">
        <w:rPr>
          <w:noProof/>
        </w:rPr>
        <w:tab/>
        <w:t>Komission puolesta</w:t>
      </w:r>
    </w:p>
    <w:p w:rsidR="00FE7FED" w:rsidRPr="00A32337" w:rsidRDefault="00D25447" w:rsidP="009713B0">
      <w:pPr>
        <w:pStyle w:val="Personnequisigne"/>
        <w:rPr>
          <w:noProof/>
        </w:rPr>
      </w:pPr>
      <w:r>
        <w:rPr>
          <w:noProof/>
        </w:rPr>
        <w:tab/>
        <w:t>Puheenjohtaja</w:t>
      </w:r>
      <w:r>
        <w:rPr>
          <w:noProof/>
        </w:rPr>
        <w:br/>
      </w:r>
      <w:r>
        <w:rPr>
          <w:noProof/>
        </w:rPr>
        <w:tab/>
        <w:t>Ursula VON DER LEYEN</w:t>
      </w:r>
    </w:p>
    <w:sectPr w:rsidR="00FE7FED" w:rsidRPr="00A32337" w:rsidSect="00D21B8D">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EBC" w:rsidRDefault="00973EBC" w:rsidP="00FE7FED">
      <w:pPr>
        <w:spacing w:before="0" w:after="0"/>
      </w:pPr>
      <w:r>
        <w:separator/>
      </w:r>
    </w:p>
  </w:endnote>
  <w:endnote w:type="continuationSeparator" w:id="0">
    <w:p w:rsidR="00973EBC" w:rsidRDefault="00973EBC" w:rsidP="00FE7FED">
      <w:pPr>
        <w:spacing w:before="0" w:after="0"/>
      </w:pPr>
      <w:r>
        <w:continuationSeparator/>
      </w:r>
    </w:p>
  </w:endnote>
  <w:endnote w:type="continuationNotice" w:id="1">
    <w:p w:rsidR="00973EBC" w:rsidRDefault="00973E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B8D" w:rsidRPr="00D21B8D" w:rsidRDefault="00D21B8D" w:rsidP="00D21B8D">
    <w:pPr>
      <w:pStyle w:val="Footer"/>
      <w:rPr>
        <w:rFonts w:ascii="Arial" w:hAnsi="Arial" w:cs="Arial"/>
        <w:b/>
        <w:sz w:val="48"/>
      </w:rPr>
    </w:pPr>
    <w:r w:rsidRPr="00D21B8D">
      <w:rPr>
        <w:rFonts w:ascii="Arial" w:hAnsi="Arial" w:cs="Arial"/>
        <w:b/>
        <w:sz w:val="48"/>
      </w:rPr>
      <w:t>FI</w:t>
    </w:r>
    <w:r w:rsidRPr="00D21B8D">
      <w:rPr>
        <w:rFonts w:ascii="Arial" w:hAnsi="Arial" w:cs="Arial"/>
        <w:b/>
        <w:sz w:val="48"/>
      </w:rPr>
      <w:tab/>
    </w:r>
    <w:r w:rsidRPr="00D21B8D">
      <w:rPr>
        <w:rFonts w:ascii="Arial" w:hAnsi="Arial" w:cs="Arial"/>
        <w:b/>
        <w:sz w:val="48"/>
      </w:rPr>
      <w:tab/>
    </w:r>
    <w:r w:rsidRPr="00D21B8D">
      <w:tab/>
    </w:r>
    <w:r w:rsidRPr="00D21B8D">
      <w:rPr>
        <w:rFonts w:ascii="Arial" w:hAnsi="Arial" w:cs="Arial"/>
        <w:b/>
        <w:sz w:val="48"/>
      </w:rPr>
      <w:t>FI</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B8D" w:rsidRPr="00D21B8D" w:rsidRDefault="00D21B8D" w:rsidP="00D21B8D">
    <w:pPr>
      <w:pStyle w:val="Footer"/>
      <w:rPr>
        <w:rFonts w:ascii="Arial" w:hAnsi="Arial" w:cs="Arial"/>
        <w:b/>
        <w:sz w:val="48"/>
      </w:rPr>
    </w:pPr>
    <w:r w:rsidRPr="00D21B8D">
      <w:rPr>
        <w:rFonts w:ascii="Arial" w:hAnsi="Arial" w:cs="Arial"/>
        <w:b/>
        <w:sz w:val="48"/>
      </w:rPr>
      <w:t>FI</w:t>
    </w:r>
    <w:r w:rsidRPr="00D21B8D">
      <w:rPr>
        <w:rFonts w:ascii="Arial" w:hAnsi="Arial" w:cs="Arial"/>
        <w:b/>
        <w:sz w:val="48"/>
      </w:rPr>
      <w:tab/>
    </w:r>
    <w:r w:rsidRPr="00D21B8D">
      <w:rPr>
        <w:rFonts w:ascii="Arial" w:hAnsi="Arial" w:cs="Arial"/>
        <w:b/>
        <w:sz w:val="48"/>
      </w:rPr>
      <w:tab/>
    </w:r>
    <w:r w:rsidRPr="00D21B8D">
      <w:tab/>
    </w:r>
    <w:r w:rsidRPr="00D21B8D">
      <w:rPr>
        <w:rFonts w:ascii="Arial" w:hAnsi="Arial" w:cs="Arial"/>
        <w:b/>
        <w:sz w:val="48"/>
      </w:rPr>
      <w:t>FI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B8D" w:rsidRPr="00D21B8D" w:rsidRDefault="00D21B8D" w:rsidP="00D21B8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B8D" w:rsidRDefault="00D21B8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B8D" w:rsidRPr="00D21B8D" w:rsidRDefault="00D21B8D" w:rsidP="00D21B8D">
    <w:pPr>
      <w:pStyle w:val="Footer"/>
      <w:rPr>
        <w:rFonts w:ascii="Arial" w:hAnsi="Arial" w:cs="Arial"/>
        <w:b/>
        <w:sz w:val="48"/>
      </w:rPr>
    </w:pPr>
    <w:r w:rsidRPr="00D21B8D">
      <w:rPr>
        <w:rFonts w:ascii="Arial" w:hAnsi="Arial" w:cs="Arial"/>
        <w:b/>
        <w:sz w:val="48"/>
      </w:rPr>
      <w:t>FI</w:t>
    </w:r>
    <w:r w:rsidRPr="00D21B8D">
      <w:rPr>
        <w:rFonts w:ascii="Arial" w:hAnsi="Arial" w:cs="Arial"/>
        <w:b/>
        <w:sz w:val="48"/>
      </w:rPr>
      <w:tab/>
    </w:r>
    <w:r>
      <w:fldChar w:fldCharType="begin"/>
    </w:r>
    <w:r>
      <w:instrText xml:space="preserve"> PAGE  \* MERGEFORMAT </w:instrText>
    </w:r>
    <w:r>
      <w:fldChar w:fldCharType="separate"/>
    </w:r>
    <w:r w:rsidR="00C31787">
      <w:rPr>
        <w:noProof/>
      </w:rPr>
      <w:t>2</w:t>
    </w:r>
    <w:r>
      <w:fldChar w:fldCharType="end"/>
    </w:r>
    <w:r>
      <w:tab/>
    </w:r>
    <w:r w:rsidRPr="00D21B8D">
      <w:tab/>
    </w:r>
    <w:r w:rsidRPr="00D21B8D">
      <w:rPr>
        <w:rFonts w:ascii="Arial" w:hAnsi="Arial" w:cs="Arial"/>
        <w:b/>
        <w:sz w:val="48"/>
      </w:rPr>
      <w:t>FI</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B8D" w:rsidRDefault="00D21B8D" w:rsidP="00D21B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EBC" w:rsidRDefault="00973EBC" w:rsidP="00FE7FED">
      <w:pPr>
        <w:spacing w:before="0" w:after="0"/>
      </w:pPr>
      <w:r>
        <w:separator/>
      </w:r>
    </w:p>
  </w:footnote>
  <w:footnote w:type="continuationSeparator" w:id="0">
    <w:p w:rsidR="00973EBC" w:rsidRDefault="00973EBC" w:rsidP="00FE7FED">
      <w:pPr>
        <w:spacing w:before="0" w:after="0"/>
      </w:pPr>
      <w:r>
        <w:continuationSeparator/>
      </w:r>
    </w:p>
  </w:footnote>
  <w:footnote w:type="continuationNotice" w:id="1">
    <w:p w:rsidR="00973EBC" w:rsidRDefault="00973EBC">
      <w:pPr>
        <w:spacing w:before="0" w:after="0"/>
      </w:pPr>
    </w:p>
  </w:footnote>
  <w:footnote w:id="2">
    <w:p w:rsidR="00A8350B" w:rsidRPr="00A20E96" w:rsidRDefault="00A8350B">
      <w:pPr>
        <w:pStyle w:val="FootnoteText"/>
      </w:pPr>
      <w:r>
        <w:rPr>
          <w:rStyle w:val="FootnoteReference"/>
        </w:rPr>
        <w:footnoteRef/>
      </w:r>
      <w:r>
        <w:tab/>
        <w:t xml:space="preserve">EUVL L 94, 30.3.2012, s. 22, ELI: http://data.europa.eu/eli/reg/2012/260/oj. </w:t>
      </w:r>
    </w:p>
  </w:footnote>
  <w:footnote w:id="3">
    <w:p w:rsidR="00AD7B15" w:rsidRPr="00AD7B15" w:rsidRDefault="00AD7B15" w:rsidP="00D05942">
      <w:pPr>
        <w:pStyle w:val="FootnoteText"/>
        <w:ind w:left="0" w:firstLine="0"/>
      </w:pPr>
      <w:r>
        <w:rPr>
          <w:rStyle w:val="FootnoteReference"/>
        </w:rPr>
        <w:footnoteRef/>
      </w:r>
      <w:r>
        <w:tab/>
        <w:t>Euroopan parlamentin ja neuvoston asetus (EU) 2024/886, annettu 13 päivänä maaliskuuta 2024, asetusten (EU) N:o 260/2012 ja (EU) 2021/1230 sekä direktiivien 98/26/EY ja (EU) 2015/2366 muuttamisesta euromääräisten pikasiirtojen osalta (EUVL L, 2024/886, 19.3.2024, ELI: http://data.europa.eu/eli/reg/2024/886/oj).</w:t>
      </w:r>
    </w:p>
  </w:footnote>
  <w:footnote w:id="4">
    <w:p w:rsidR="009713B0" w:rsidRPr="00AD7B15" w:rsidRDefault="009713B0" w:rsidP="009713B0">
      <w:pPr>
        <w:pStyle w:val="FootnoteText"/>
      </w:pPr>
      <w:r>
        <w:rPr>
          <w:rStyle w:val="FootnoteReference"/>
        </w:rPr>
        <w:footnoteRef/>
      </w:r>
      <w:r>
        <w:tab/>
        <w:t>Euroopan parlamentin ja neuvoston asetus (EU) N:o 1093/2010, annettu 24 päivänä marraskuuta 2010, Euroopan valvontaviranomaisen (Euroopan pankkiviranomainen) perustamisesta sekä päätöksen N:o 716/2009/EY muuttamisesta ja komission päätöksen 2009/78/EY kumoamisesta (EUVL L 331, 15.12.2010, s.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B8D" w:rsidRPr="00D21B8D" w:rsidRDefault="00D21B8D" w:rsidP="00D21B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B8D" w:rsidRPr="00D21B8D" w:rsidRDefault="00D21B8D" w:rsidP="00D21B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B8D" w:rsidRPr="00D21B8D" w:rsidRDefault="00D21B8D" w:rsidP="00D21B8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B8D" w:rsidRDefault="00D21B8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B8D" w:rsidRDefault="00D21B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9DE80BA"/>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16C0063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FDEC9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6CE00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4"/>
  </w:num>
  <w:num w:numId="2">
    <w:abstractNumId w:val="19"/>
    <w:lvlOverride w:ilvl="0">
      <w:startOverride w:val="1"/>
    </w:lvlOverride>
  </w:num>
  <w:num w:numId="3">
    <w:abstractNumId w:val="3"/>
  </w:num>
  <w:num w:numId="4">
    <w:abstractNumId w:val="0"/>
  </w:num>
  <w:num w:numId="5">
    <w:abstractNumId w:val="2"/>
  </w:num>
  <w:num w:numId="6">
    <w:abstractNumId w:val="1"/>
  </w:num>
  <w:num w:numId="7">
    <w:abstractNumId w:val="16"/>
  </w:num>
  <w:num w:numId="8">
    <w:abstractNumId w:val="9"/>
  </w:num>
  <w:num w:numId="9">
    <w:abstractNumId w:val="18"/>
  </w:num>
  <w:num w:numId="10">
    <w:abstractNumId w:val="8"/>
  </w:num>
  <w:num w:numId="11">
    <w:abstractNumId w:val="10"/>
  </w:num>
  <w:num w:numId="12">
    <w:abstractNumId w:val="11"/>
  </w:num>
  <w:num w:numId="13">
    <w:abstractNumId w:val="6"/>
  </w:num>
  <w:num w:numId="14">
    <w:abstractNumId w:val="17"/>
  </w:num>
  <w:num w:numId="15">
    <w:abstractNumId w:val="5"/>
  </w:num>
  <w:num w:numId="16">
    <w:abstractNumId w:val="12"/>
  </w:num>
  <w:num w:numId="17">
    <w:abstractNumId w:val="14"/>
  </w:num>
  <w:num w:numId="18">
    <w:abstractNumId w:val="15"/>
  </w:num>
  <w:num w:numId="19">
    <w:abstractNumId w:val="7"/>
  </w:num>
  <w:num w:numId="20">
    <w:abstractNumId w:val="13"/>
  </w:num>
  <w:num w:numId="21">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5-09-30 17:22:34"/>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C3AFE756-0D59-4F3A-A436-E5F8D208663B"/>
    <w:docVar w:name="LW_COVERPAGE_TYPE" w:val="1"/>
    <w:docVar w:name="LW_CreatedUtc" w:val="2025-02-25T08:25:43.0388982Z"/>
    <w:docVar w:name="LW_CROSSREFERENCE" w:val="&lt;UNUSED&gt;"/>
    <w:docVar w:name="LW_DATE.ADOPT.CP" w:val="annettu 1.10.2025,"/>
    <w:docVar w:name="LW_DATE.ADOPT.CP_DATEFORMAT" w:val="annettu %DATE%,"/>
    <w:docVar w:name="LW_DATE.ADOPT.CP_ISODATE" w:val="2025-10-01"/>
    <w:docVar w:name="LW_DocType" w:val="COM"/>
    <w:docVar w:name="LW_EMISSION" w:val="1.10.2025"/>
    <w:docVar w:name="LW_EMISSION_ISODATE" w:val="2025-10-01"/>
    <w:docVar w:name="LW_EMISSION_LOCATION" w:val="BRX"/>
    <w:docVar w:name="LW_EMISSION_PREFIX" w:val="Bryssel "/>
    <w:docVar w:name="LW_EMISSION_SUFFIX" w:val=" "/>
    <w:docVar w:name="LW_ID_DOCMODEL" w:val="SJ-004"/>
    <w:docVar w:name="LW_ID_DOCSIGNATURE" w:val="SJ-004"/>
    <w:docVar w:name="LW_ID_DOCSTRUCTURE" w:val="COM/AA"/>
    <w:docVar w:name="LW_ID_DOCTYPE" w:val="SJ-004"/>
    <w:docVar w:name="LW_INTERETEEE.CP" w:val="&lt;UNUSED&gt;"/>
    <w:docVar w:name="LW_LANGUE" w:val="FI"/>
    <w:docVar w:name="LW_LANGUESFAISANTFOI.CP" w:val="&lt;UNUSED&gt;"/>
    <w:docVar w:name="LW_LEVEL_OF_SENSITIVITY" w:val="Standard treatment"/>
    <w:docVar w:name="LW_NOM.INST" w:val="EUROOPAN KOMISSIO"/>
    <w:docVar w:name="LW_NOM.INST_JOINTDOC" w:val="&lt;EMPTY&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teknisistä täytäntöönpanostandardeista Euroopan parlamentin ja neuvoston asetuksen (EU) N:o 260/2012 soveltamiseksi tilisiirroista, pikasiirroista ja maksutileistä perittävien palvelumaksujen tason sekä hylättyjen tapahtumien osuuden ilmoittamiseen tarkoitettujen yhdenmukaisten ilmoituslomakkeiden, ohjeiden ja menetelmien osalta"/>
    <w:docVar w:name="LW_TYPE.DOC.CP" w:val="KOMISSION TÄYTÄNTÖÖNPANOASETUS (EU) \u8230?/\u8230?,"/>
    <w:docVar w:name="LwApiVersions" w:val="LW4CoDe 1.24.5.0; LW 9.0, Build 20240221"/>
  </w:docVars>
  <w:rsids>
    <w:rsidRoot w:val="00FE7FED"/>
    <w:rsid w:val="00001BC7"/>
    <w:rsid w:val="000066ED"/>
    <w:rsid w:val="000068B4"/>
    <w:rsid w:val="000079A5"/>
    <w:rsid w:val="00014C12"/>
    <w:rsid w:val="00016168"/>
    <w:rsid w:val="00025818"/>
    <w:rsid w:val="0002592C"/>
    <w:rsid w:val="0002598B"/>
    <w:rsid w:val="00033F48"/>
    <w:rsid w:val="000373AB"/>
    <w:rsid w:val="000421B5"/>
    <w:rsid w:val="00042488"/>
    <w:rsid w:val="0004347B"/>
    <w:rsid w:val="00047478"/>
    <w:rsid w:val="000504E3"/>
    <w:rsid w:val="00051DB1"/>
    <w:rsid w:val="000611E9"/>
    <w:rsid w:val="0006406A"/>
    <w:rsid w:val="000642D0"/>
    <w:rsid w:val="00072E61"/>
    <w:rsid w:val="000744DD"/>
    <w:rsid w:val="00075170"/>
    <w:rsid w:val="000758A1"/>
    <w:rsid w:val="000768B7"/>
    <w:rsid w:val="0008161A"/>
    <w:rsid w:val="0008224E"/>
    <w:rsid w:val="000847C4"/>
    <w:rsid w:val="00087F4E"/>
    <w:rsid w:val="00096BAD"/>
    <w:rsid w:val="000A4172"/>
    <w:rsid w:val="000A41FC"/>
    <w:rsid w:val="000A4298"/>
    <w:rsid w:val="000A454E"/>
    <w:rsid w:val="000B2C1B"/>
    <w:rsid w:val="000B7C50"/>
    <w:rsid w:val="000C0B38"/>
    <w:rsid w:val="000C387D"/>
    <w:rsid w:val="000C449F"/>
    <w:rsid w:val="000C4F0E"/>
    <w:rsid w:val="000D043A"/>
    <w:rsid w:val="000D1771"/>
    <w:rsid w:val="000D391D"/>
    <w:rsid w:val="000D5A8B"/>
    <w:rsid w:val="000D6822"/>
    <w:rsid w:val="000E08FA"/>
    <w:rsid w:val="000E15A7"/>
    <w:rsid w:val="000E3210"/>
    <w:rsid w:val="000E50E2"/>
    <w:rsid w:val="000E7CB2"/>
    <w:rsid w:val="000F0AA0"/>
    <w:rsid w:val="000F26D8"/>
    <w:rsid w:val="000F4AF6"/>
    <w:rsid w:val="001030E9"/>
    <w:rsid w:val="00104199"/>
    <w:rsid w:val="001065F5"/>
    <w:rsid w:val="001066B5"/>
    <w:rsid w:val="0010750E"/>
    <w:rsid w:val="001137E4"/>
    <w:rsid w:val="00114B61"/>
    <w:rsid w:val="0011705A"/>
    <w:rsid w:val="00117E87"/>
    <w:rsid w:val="001238EF"/>
    <w:rsid w:val="00123A96"/>
    <w:rsid w:val="00124229"/>
    <w:rsid w:val="001254D0"/>
    <w:rsid w:val="00126A52"/>
    <w:rsid w:val="001309E5"/>
    <w:rsid w:val="00130A11"/>
    <w:rsid w:val="0013354A"/>
    <w:rsid w:val="00136075"/>
    <w:rsid w:val="00140C92"/>
    <w:rsid w:val="00141111"/>
    <w:rsid w:val="00141C39"/>
    <w:rsid w:val="00142A94"/>
    <w:rsid w:val="00143368"/>
    <w:rsid w:val="0014583F"/>
    <w:rsid w:val="00145DAF"/>
    <w:rsid w:val="001475E9"/>
    <w:rsid w:val="00150298"/>
    <w:rsid w:val="001519B1"/>
    <w:rsid w:val="00152432"/>
    <w:rsid w:val="00153975"/>
    <w:rsid w:val="00153E27"/>
    <w:rsid w:val="00154745"/>
    <w:rsid w:val="00154E88"/>
    <w:rsid w:val="00154ED4"/>
    <w:rsid w:val="00155F1D"/>
    <w:rsid w:val="00156590"/>
    <w:rsid w:val="00160FDD"/>
    <w:rsid w:val="00162F28"/>
    <w:rsid w:val="0016376B"/>
    <w:rsid w:val="0016398E"/>
    <w:rsid w:val="00171733"/>
    <w:rsid w:val="001721CC"/>
    <w:rsid w:val="00180D6D"/>
    <w:rsid w:val="001840A1"/>
    <w:rsid w:val="001913B0"/>
    <w:rsid w:val="00191CEA"/>
    <w:rsid w:val="00197613"/>
    <w:rsid w:val="001A1FA1"/>
    <w:rsid w:val="001A44F9"/>
    <w:rsid w:val="001A5381"/>
    <w:rsid w:val="001A6744"/>
    <w:rsid w:val="001A7B61"/>
    <w:rsid w:val="001B081E"/>
    <w:rsid w:val="001C0071"/>
    <w:rsid w:val="001C0950"/>
    <w:rsid w:val="001C3C75"/>
    <w:rsid w:val="001C6408"/>
    <w:rsid w:val="001C7C6B"/>
    <w:rsid w:val="001D08D6"/>
    <w:rsid w:val="001D6BB7"/>
    <w:rsid w:val="001E0062"/>
    <w:rsid w:val="001F72A9"/>
    <w:rsid w:val="001F78E3"/>
    <w:rsid w:val="00203CF1"/>
    <w:rsid w:val="002102D8"/>
    <w:rsid w:val="00210337"/>
    <w:rsid w:val="00215208"/>
    <w:rsid w:val="002174F2"/>
    <w:rsid w:val="00220F9F"/>
    <w:rsid w:val="0022745F"/>
    <w:rsid w:val="00227D76"/>
    <w:rsid w:val="00230E4C"/>
    <w:rsid w:val="00232FDF"/>
    <w:rsid w:val="002339C3"/>
    <w:rsid w:val="00233DC7"/>
    <w:rsid w:val="0023679A"/>
    <w:rsid w:val="00240C3D"/>
    <w:rsid w:val="00244629"/>
    <w:rsid w:val="002464E8"/>
    <w:rsid w:val="00247779"/>
    <w:rsid w:val="00251C02"/>
    <w:rsid w:val="00251D78"/>
    <w:rsid w:val="002537B3"/>
    <w:rsid w:val="00253A7F"/>
    <w:rsid w:val="00255D10"/>
    <w:rsid w:val="00260F3C"/>
    <w:rsid w:val="002614D0"/>
    <w:rsid w:val="002619F9"/>
    <w:rsid w:val="00262DE1"/>
    <w:rsid w:val="00270578"/>
    <w:rsid w:val="00281B09"/>
    <w:rsid w:val="00285BEE"/>
    <w:rsid w:val="00287FAC"/>
    <w:rsid w:val="00293F82"/>
    <w:rsid w:val="0029533F"/>
    <w:rsid w:val="002A2EE8"/>
    <w:rsid w:val="002A5779"/>
    <w:rsid w:val="002A5E80"/>
    <w:rsid w:val="002B1522"/>
    <w:rsid w:val="002B30AF"/>
    <w:rsid w:val="002B4662"/>
    <w:rsid w:val="002C0286"/>
    <w:rsid w:val="002C10B5"/>
    <w:rsid w:val="002C1A4F"/>
    <w:rsid w:val="002C5B13"/>
    <w:rsid w:val="002D2CC4"/>
    <w:rsid w:val="002D3A91"/>
    <w:rsid w:val="002D6964"/>
    <w:rsid w:val="002E15CA"/>
    <w:rsid w:val="002E2315"/>
    <w:rsid w:val="002E3165"/>
    <w:rsid w:val="002E43C4"/>
    <w:rsid w:val="002E53A7"/>
    <w:rsid w:val="002F1C71"/>
    <w:rsid w:val="002F1EE7"/>
    <w:rsid w:val="002F4C83"/>
    <w:rsid w:val="00303696"/>
    <w:rsid w:val="00311576"/>
    <w:rsid w:val="003119D5"/>
    <w:rsid w:val="00311E05"/>
    <w:rsid w:val="00316FD9"/>
    <w:rsid w:val="003213CE"/>
    <w:rsid w:val="003253A9"/>
    <w:rsid w:val="0033033C"/>
    <w:rsid w:val="00331F2E"/>
    <w:rsid w:val="003327E2"/>
    <w:rsid w:val="0033344A"/>
    <w:rsid w:val="00333E44"/>
    <w:rsid w:val="003429AC"/>
    <w:rsid w:val="00342B4F"/>
    <w:rsid w:val="003444B9"/>
    <w:rsid w:val="00345DA0"/>
    <w:rsid w:val="00350A45"/>
    <w:rsid w:val="003525DD"/>
    <w:rsid w:val="00352F0E"/>
    <w:rsid w:val="00354C7E"/>
    <w:rsid w:val="00356ADE"/>
    <w:rsid w:val="00361593"/>
    <w:rsid w:val="00361846"/>
    <w:rsid w:val="003657C0"/>
    <w:rsid w:val="00365DE4"/>
    <w:rsid w:val="00374796"/>
    <w:rsid w:val="003803FC"/>
    <w:rsid w:val="00380DD8"/>
    <w:rsid w:val="00383FF9"/>
    <w:rsid w:val="00385766"/>
    <w:rsid w:val="00386A30"/>
    <w:rsid w:val="003904C2"/>
    <w:rsid w:val="00395A2F"/>
    <w:rsid w:val="0039723A"/>
    <w:rsid w:val="003975E5"/>
    <w:rsid w:val="003A0056"/>
    <w:rsid w:val="003A2E83"/>
    <w:rsid w:val="003A5115"/>
    <w:rsid w:val="003B549F"/>
    <w:rsid w:val="003B57CD"/>
    <w:rsid w:val="003B5A1D"/>
    <w:rsid w:val="003B7CFF"/>
    <w:rsid w:val="003C1B52"/>
    <w:rsid w:val="003C33CB"/>
    <w:rsid w:val="003C33D2"/>
    <w:rsid w:val="003C4CAE"/>
    <w:rsid w:val="003D371C"/>
    <w:rsid w:val="003D73DF"/>
    <w:rsid w:val="003E167C"/>
    <w:rsid w:val="003E4FA2"/>
    <w:rsid w:val="003E5CF0"/>
    <w:rsid w:val="003F018F"/>
    <w:rsid w:val="003F0EC5"/>
    <w:rsid w:val="003F1E03"/>
    <w:rsid w:val="003F2BB1"/>
    <w:rsid w:val="004019E8"/>
    <w:rsid w:val="00403029"/>
    <w:rsid w:val="00404CFA"/>
    <w:rsid w:val="00405044"/>
    <w:rsid w:val="00411FBF"/>
    <w:rsid w:val="00412F99"/>
    <w:rsid w:val="00412FDD"/>
    <w:rsid w:val="00414FB6"/>
    <w:rsid w:val="00415B42"/>
    <w:rsid w:val="004163A8"/>
    <w:rsid w:val="00421245"/>
    <w:rsid w:val="0042648E"/>
    <w:rsid w:val="00427029"/>
    <w:rsid w:val="00427E22"/>
    <w:rsid w:val="00431B0E"/>
    <w:rsid w:val="00432F41"/>
    <w:rsid w:val="0043372F"/>
    <w:rsid w:val="004425F3"/>
    <w:rsid w:val="004442AF"/>
    <w:rsid w:val="00444B3C"/>
    <w:rsid w:val="0045254B"/>
    <w:rsid w:val="00452C9A"/>
    <w:rsid w:val="00455F8A"/>
    <w:rsid w:val="00460097"/>
    <w:rsid w:val="00461F43"/>
    <w:rsid w:val="00462A07"/>
    <w:rsid w:val="00463137"/>
    <w:rsid w:val="00464680"/>
    <w:rsid w:val="00466E33"/>
    <w:rsid w:val="0047014B"/>
    <w:rsid w:val="004711D5"/>
    <w:rsid w:val="00472FD8"/>
    <w:rsid w:val="00477A35"/>
    <w:rsid w:val="00477CD9"/>
    <w:rsid w:val="00481E97"/>
    <w:rsid w:val="004822DC"/>
    <w:rsid w:val="004853C6"/>
    <w:rsid w:val="004868D0"/>
    <w:rsid w:val="004871A7"/>
    <w:rsid w:val="004901D3"/>
    <w:rsid w:val="004936D2"/>
    <w:rsid w:val="00497ECB"/>
    <w:rsid w:val="004A4894"/>
    <w:rsid w:val="004A7134"/>
    <w:rsid w:val="004B03D1"/>
    <w:rsid w:val="004B2FFA"/>
    <w:rsid w:val="004C15AA"/>
    <w:rsid w:val="004C5916"/>
    <w:rsid w:val="004C60B0"/>
    <w:rsid w:val="004C635B"/>
    <w:rsid w:val="004C79F1"/>
    <w:rsid w:val="004D084C"/>
    <w:rsid w:val="004D4226"/>
    <w:rsid w:val="004E047A"/>
    <w:rsid w:val="004E1BAA"/>
    <w:rsid w:val="004E2937"/>
    <w:rsid w:val="004E572C"/>
    <w:rsid w:val="004E7796"/>
    <w:rsid w:val="004E7879"/>
    <w:rsid w:val="004F15B9"/>
    <w:rsid w:val="00501867"/>
    <w:rsid w:val="0050376F"/>
    <w:rsid w:val="00503AAA"/>
    <w:rsid w:val="00507BC8"/>
    <w:rsid w:val="00520EC8"/>
    <w:rsid w:val="00523CF7"/>
    <w:rsid w:val="0052515F"/>
    <w:rsid w:val="005261A7"/>
    <w:rsid w:val="00530551"/>
    <w:rsid w:val="00531AAF"/>
    <w:rsid w:val="00532147"/>
    <w:rsid w:val="005330E9"/>
    <w:rsid w:val="005347DC"/>
    <w:rsid w:val="00535135"/>
    <w:rsid w:val="00536042"/>
    <w:rsid w:val="005423FA"/>
    <w:rsid w:val="00542EE6"/>
    <w:rsid w:val="005432C7"/>
    <w:rsid w:val="005450B1"/>
    <w:rsid w:val="0055071E"/>
    <w:rsid w:val="00551113"/>
    <w:rsid w:val="00551319"/>
    <w:rsid w:val="0056023D"/>
    <w:rsid w:val="00561BB5"/>
    <w:rsid w:val="00561C47"/>
    <w:rsid w:val="00561ED7"/>
    <w:rsid w:val="00564B4F"/>
    <w:rsid w:val="00565BEF"/>
    <w:rsid w:val="00566B29"/>
    <w:rsid w:val="00566E44"/>
    <w:rsid w:val="00570ADD"/>
    <w:rsid w:val="00570C41"/>
    <w:rsid w:val="00571DF5"/>
    <w:rsid w:val="0057353A"/>
    <w:rsid w:val="00574D2C"/>
    <w:rsid w:val="00576696"/>
    <w:rsid w:val="005776D0"/>
    <w:rsid w:val="00582116"/>
    <w:rsid w:val="00596FA4"/>
    <w:rsid w:val="005A206D"/>
    <w:rsid w:val="005A31F7"/>
    <w:rsid w:val="005A5967"/>
    <w:rsid w:val="005B1EB6"/>
    <w:rsid w:val="005B4B70"/>
    <w:rsid w:val="005B5F79"/>
    <w:rsid w:val="005C1F32"/>
    <w:rsid w:val="005C23A8"/>
    <w:rsid w:val="005C2C67"/>
    <w:rsid w:val="005C58BF"/>
    <w:rsid w:val="005C5BEE"/>
    <w:rsid w:val="005D090B"/>
    <w:rsid w:val="005D2EB4"/>
    <w:rsid w:val="005D4C37"/>
    <w:rsid w:val="005D67F4"/>
    <w:rsid w:val="005D6F98"/>
    <w:rsid w:val="005E141A"/>
    <w:rsid w:val="00602DFC"/>
    <w:rsid w:val="006033A9"/>
    <w:rsid w:val="00604C25"/>
    <w:rsid w:val="0060533B"/>
    <w:rsid w:val="0060742C"/>
    <w:rsid w:val="00612113"/>
    <w:rsid w:val="006158F4"/>
    <w:rsid w:val="006162FE"/>
    <w:rsid w:val="00620589"/>
    <w:rsid w:val="00626B53"/>
    <w:rsid w:val="00626E74"/>
    <w:rsid w:val="006307D8"/>
    <w:rsid w:val="00633C43"/>
    <w:rsid w:val="00637401"/>
    <w:rsid w:val="00637578"/>
    <w:rsid w:val="00637A53"/>
    <w:rsid w:val="00642ABC"/>
    <w:rsid w:val="006443C4"/>
    <w:rsid w:val="0064496B"/>
    <w:rsid w:val="00645810"/>
    <w:rsid w:val="00653EFF"/>
    <w:rsid w:val="006563C0"/>
    <w:rsid w:val="00670C78"/>
    <w:rsid w:val="00672EFA"/>
    <w:rsid w:val="00674252"/>
    <w:rsid w:val="00674AAE"/>
    <w:rsid w:val="00676C8D"/>
    <w:rsid w:val="0067704C"/>
    <w:rsid w:val="00677FED"/>
    <w:rsid w:val="0068377C"/>
    <w:rsid w:val="00684931"/>
    <w:rsid w:val="00686892"/>
    <w:rsid w:val="0069142A"/>
    <w:rsid w:val="006914F4"/>
    <w:rsid w:val="00691552"/>
    <w:rsid w:val="0069173A"/>
    <w:rsid w:val="0069225A"/>
    <w:rsid w:val="00692762"/>
    <w:rsid w:val="00694295"/>
    <w:rsid w:val="0069517A"/>
    <w:rsid w:val="006960A4"/>
    <w:rsid w:val="006A2582"/>
    <w:rsid w:val="006A44B8"/>
    <w:rsid w:val="006A6123"/>
    <w:rsid w:val="006A74A3"/>
    <w:rsid w:val="006B0215"/>
    <w:rsid w:val="006B62A8"/>
    <w:rsid w:val="006B7EB5"/>
    <w:rsid w:val="006C06F3"/>
    <w:rsid w:val="006C4B71"/>
    <w:rsid w:val="006E28FD"/>
    <w:rsid w:val="006E39FA"/>
    <w:rsid w:val="006E5C4A"/>
    <w:rsid w:val="006E64E5"/>
    <w:rsid w:val="006E6B2D"/>
    <w:rsid w:val="006E78FA"/>
    <w:rsid w:val="006E7992"/>
    <w:rsid w:val="006E7F11"/>
    <w:rsid w:val="006F0053"/>
    <w:rsid w:val="006F089E"/>
    <w:rsid w:val="006F0FDC"/>
    <w:rsid w:val="006F68C4"/>
    <w:rsid w:val="006F7400"/>
    <w:rsid w:val="00700210"/>
    <w:rsid w:val="00706DDD"/>
    <w:rsid w:val="00706E59"/>
    <w:rsid w:val="0071264F"/>
    <w:rsid w:val="007147E3"/>
    <w:rsid w:val="00720C74"/>
    <w:rsid w:val="00722EF3"/>
    <w:rsid w:val="00724289"/>
    <w:rsid w:val="00726798"/>
    <w:rsid w:val="00726A58"/>
    <w:rsid w:val="00727E53"/>
    <w:rsid w:val="00734A8B"/>
    <w:rsid w:val="00734D8A"/>
    <w:rsid w:val="00735833"/>
    <w:rsid w:val="00736120"/>
    <w:rsid w:val="00737F09"/>
    <w:rsid w:val="007406AE"/>
    <w:rsid w:val="00743ADA"/>
    <w:rsid w:val="00743E70"/>
    <w:rsid w:val="00745A56"/>
    <w:rsid w:val="007464B1"/>
    <w:rsid w:val="00750F39"/>
    <w:rsid w:val="00752C41"/>
    <w:rsid w:val="00755584"/>
    <w:rsid w:val="0075651E"/>
    <w:rsid w:val="007605D9"/>
    <w:rsid w:val="00761345"/>
    <w:rsid w:val="00764A2C"/>
    <w:rsid w:val="00765523"/>
    <w:rsid w:val="00770A0E"/>
    <w:rsid w:val="00770C5B"/>
    <w:rsid w:val="00773331"/>
    <w:rsid w:val="00774B57"/>
    <w:rsid w:val="007809A1"/>
    <w:rsid w:val="00780FEA"/>
    <w:rsid w:val="007836A8"/>
    <w:rsid w:val="00787878"/>
    <w:rsid w:val="00792105"/>
    <w:rsid w:val="007932EF"/>
    <w:rsid w:val="007951B8"/>
    <w:rsid w:val="007A16D3"/>
    <w:rsid w:val="007A4891"/>
    <w:rsid w:val="007B1166"/>
    <w:rsid w:val="007B118F"/>
    <w:rsid w:val="007B5227"/>
    <w:rsid w:val="007C059D"/>
    <w:rsid w:val="007C17A2"/>
    <w:rsid w:val="007C470E"/>
    <w:rsid w:val="007C493D"/>
    <w:rsid w:val="007D150D"/>
    <w:rsid w:val="007D3B08"/>
    <w:rsid w:val="007D4717"/>
    <w:rsid w:val="007D6756"/>
    <w:rsid w:val="007E05B0"/>
    <w:rsid w:val="007E601F"/>
    <w:rsid w:val="007E6EFD"/>
    <w:rsid w:val="007E71CE"/>
    <w:rsid w:val="007E7C74"/>
    <w:rsid w:val="007F104A"/>
    <w:rsid w:val="007F4E83"/>
    <w:rsid w:val="007F4F35"/>
    <w:rsid w:val="00801E87"/>
    <w:rsid w:val="00802964"/>
    <w:rsid w:val="00804319"/>
    <w:rsid w:val="00805CF7"/>
    <w:rsid w:val="00805ED6"/>
    <w:rsid w:val="00806337"/>
    <w:rsid w:val="00807467"/>
    <w:rsid w:val="008101A8"/>
    <w:rsid w:val="0081488B"/>
    <w:rsid w:val="00816042"/>
    <w:rsid w:val="00816AFC"/>
    <w:rsid w:val="00817CF7"/>
    <w:rsid w:val="008231E0"/>
    <w:rsid w:val="00827C4D"/>
    <w:rsid w:val="0083038A"/>
    <w:rsid w:val="0083128A"/>
    <w:rsid w:val="0083272F"/>
    <w:rsid w:val="00835D9A"/>
    <w:rsid w:val="0083730D"/>
    <w:rsid w:val="00840128"/>
    <w:rsid w:val="008413EA"/>
    <w:rsid w:val="00841AE1"/>
    <w:rsid w:val="00847508"/>
    <w:rsid w:val="008525C0"/>
    <w:rsid w:val="008553FF"/>
    <w:rsid w:val="00864CBC"/>
    <w:rsid w:val="00865668"/>
    <w:rsid w:val="00865D84"/>
    <w:rsid w:val="008664F6"/>
    <w:rsid w:val="0087059E"/>
    <w:rsid w:val="00874D22"/>
    <w:rsid w:val="00877882"/>
    <w:rsid w:val="00880425"/>
    <w:rsid w:val="00881518"/>
    <w:rsid w:val="0088282D"/>
    <w:rsid w:val="00883037"/>
    <w:rsid w:val="008836F9"/>
    <w:rsid w:val="00886942"/>
    <w:rsid w:val="00887571"/>
    <w:rsid w:val="00890216"/>
    <w:rsid w:val="00890246"/>
    <w:rsid w:val="00891706"/>
    <w:rsid w:val="00893DA7"/>
    <w:rsid w:val="008A2914"/>
    <w:rsid w:val="008A3355"/>
    <w:rsid w:val="008B0DB8"/>
    <w:rsid w:val="008B6C23"/>
    <w:rsid w:val="008C0AC8"/>
    <w:rsid w:val="008C258F"/>
    <w:rsid w:val="008C29E2"/>
    <w:rsid w:val="008C2B35"/>
    <w:rsid w:val="008C386A"/>
    <w:rsid w:val="008C4818"/>
    <w:rsid w:val="008C486C"/>
    <w:rsid w:val="008C4B71"/>
    <w:rsid w:val="008C5385"/>
    <w:rsid w:val="008C6C71"/>
    <w:rsid w:val="008C7227"/>
    <w:rsid w:val="008D2B36"/>
    <w:rsid w:val="008D2E1C"/>
    <w:rsid w:val="008D68E8"/>
    <w:rsid w:val="008E17A3"/>
    <w:rsid w:val="008E1A3A"/>
    <w:rsid w:val="008E4D8E"/>
    <w:rsid w:val="008E4DD2"/>
    <w:rsid w:val="008E5C8A"/>
    <w:rsid w:val="008E6BEE"/>
    <w:rsid w:val="008F0117"/>
    <w:rsid w:val="008F0F5E"/>
    <w:rsid w:val="008F5762"/>
    <w:rsid w:val="00900DD3"/>
    <w:rsid w:val="009013F8"/>
    <w:rsid w:val="00911C72"/>
    <w:rsid w:val="00912850"/>
    <w:rsid w:val="00914C54"/>
    <w:rsid w:val="0091508E"/>
    <w:rsid w:val="00915816"/>
    <w:rsid w:val="00917E85"/>
    <w:rsid w:val="009203A5"/>
    <w:rsid w:val="00925CEE"/>
    <w:rsid w:val="00930421"/>
    <w:rsid w:val="00930648"/>
    <w:rsid w:val="00933431"/>
    <w:rsid w:val="00936D2B"/>
    <w:rsid w:val="0094211A"/>
    <w:rsid w:val="00944EE3"/>
    <w:rsid w:val="0094607C"/>
    <w:rsid w:val="00947057"/>
    <w:rsid w:val="00951211"/>
    <w:rsid w:val="00952943"/>
    <w:rsid w:val="009537E1"/>
    <w:rsid w:val="00953813"/>
    <w:rsid w:val="00954A2A"/>
    <w:rsid w:val="00957327"/>
    <w:rsid w:val="00957789"/>
    <w:rsid w:val="00960C4B"/>
    <w:rsid w:val="009638BD"/>
    <w:rsid w:val="0096627D"/>
    <w:rsid w:val="009664CD"/>
    <w:rsid w:val="009713B0"/>
    <w:rsid w:val="00971653"/>
    <w:rsid w:val="009724F4"/>
    <w:rsid w:val="00973EBC"/>
    <w:rsid w:val="00976DB6"/>
    <w:rsid w:val="00980990"/>
    <w:rsid w:val="0098199B"/>
    <w:rsid w:val="009850E8"/>
    <w:rsid w:val="00986335"/>
    <w:rsid w:val="00986892"/>
    <w:rsid w:val="009927FD"/>
    <w:rsid w:val="00994CA3"/>
    <w:rsid w:val="00996030"/>
    <w:rsid w:val="0099612E"/>
    <w:rsid w:val="0099719C"/>
    <w:rsid w:val="009A2B3E"/>
    <w:rsid w:val="009B28D4"/>
    <w:rsid w:val="009C1173"/>
    <w:rsid w:val="009C6440"/>
    <w:rsid w:val="009C69FE"/>
    <w:rsid w:val="009D1DF0"/>
    <w:rsid w:val="009D60FA"/>
    <w:rsid w:val="009D7A56"/>
    <w:rsid w:val="009E1471"/>
    <w:rsid w:val="009E14C2"/>
    <w:rsid w:val="009E1AC1"/>
    <w:rsid w:val="009E4560"/>
    <w:rsid w:val="009F1CCA"/>
    <w:rsid w:val="009F2458"/>
    <w:rsid w:val="009F531D"/>
    <w:rsid w:val="009F5DB9"/>
    <w:rsid w:val="009F7E43"/>
    <w:rsid w:val="00A008CD"/>
    <w:rsid w:val="00A02384"/>
    <w:rsid w:val="00A0408F"/>
    <w:rsid w:val="00A05D20"/>
    <w:rsid w:val="00A06E20"/>
    <w:rsid w:val="00A10562"/>
    <w:rsid w:val="00A11DC5"/>
    <w:rsid w:val="00A121B1"/>
    <w:rsid w:val="00A125DA"/>
    <w:rsid w:val="00A1626C"/>
    <w:rsid w:val="00A17923"/>
    <w:rsid w:val="00A20E96"/>
    <w:rsid w:val="00A24555"/>
    <w:rsid w:val="00A31053"/>
    <w:rsid w:val="00A32337"/>
    <w:rsid w:val="00A34A01"/>
    <w:rsid w:val="00A369EE"/>
    <w:rsid w:val="00A409A9"/>
    <w:rsid w:val="00A43A59"/>
    <w:rsid w:val="00A514E3"/>
    <w:rsid w:val="00A51981"/>
    <w:rsid w:val="00A54C7E"/>
    <w:rsid w:val="00A55753"/>
    <w:rsid w:val="00A607D3"/>
    <w:rsid w:val="00A61EB7"/>
    <w:rsid w:val="00A62121"/>
    <w:rsid w:val="00A6338B"/>
    <w:rsid w:val="00A71A56"/>
    <w:rsid w:val="00A72B2F"/>
    <w:rsid w:val="00A744A9"/>
    <w:rsid w:val="00A75188"/>
    <w:rsid w:val="00A80233"/>
    <w:rsid w:val="00A813B3"/>
    <w:rsid w:val="00A8350B"/>
    <w:rsid w:val="00A8635C"/>
    <w:rsid w:val="00AA2317"/>
    <w:rsid w:val="00AA3CA4"/>
    <w:rsid w:val="00AA7D65"/>
    <w:rsid w:val="00AB14B1"/>
    <w:rsid w:val="00AB1C6F"/>
    <w:rsid w:val="00AB297D"/>
    <w:rsid w:val="00AB3556"/>
    <w:rsid w:val="00AB3B3D"/>
    <w:rsid w:val="00AB50BC"/>
    <w:rsid w:val="00AB6762"/>
    <w:rsid w:val="00AC0006"/>
    <w:rsid w:val="00AC13E5"/>
    <w:rsid w:val="00AC36A5"/>
    <w:rsid w:val="00AC67B2"/>
    <w:rsid w:val="00AD6EF4"/>
    <w:rsid w:val="00AD7B15"/>
    <w:rsid w:val="00AD7CC1"/>
    <w:rsid w:val="00AE0602"/>
    <w:rsid w:val="00AE31D5"/>
    <w:rsid w:val="00AE6AB7"/>
    <w:rsid w:val="00AE7D22"/>
    <w:rsid w:val="00AF278E"/>
    <w:rsid w:val="00AF71F5"/>
    <w:rsid w:val="00B053FF"/>
    <w:rsid w:val="00B10032"/>
    <w:rsid w:val="00B12237"/>
    <w:rsid w:val="00B14FD7"/>
    <w:rsid w:val="00B15792"/>
    <w:rsid w:val="00B17DF1"/>
    <w:rsid w:val="00B200E2"/>
    <w:rsid w:val="00B22153"/>
    <w:rsid w:val="00B25070"/>
    <w:rsid w:val="00B27A92"/>
    <w:rsid w:val="00B42926"/>
    <w:rsid w:val="00B432CA"/>
    <w:rsid w:val="00B4331F"/>
    <w:rsid w:val="00B434C1"/>
    <w:rsid w:val="00B52D63"/>
    <w:rsid w:val="00B53B73"/>
    <w:rsid w:val="00B552A9"/>
    <w:rsid w:val="00B62E49"/>
    <w:rsid w:val="00B65EDF"/>
    <w:rsid w:val="00B674DA"/>
    <w:rsid w:val="00B71A89"/>
    <w:rsid w:val="00B736D4"/>
    <w:rsid w:val="00B750C9"/>
    <w:rsid w:val="00B75148"/>
    <w:rsid w:val="00B756F7"/>
    <w:rsid w:val="00B75BFE"/>
    <w:rsid w:val="00B76C25"/>
    <w:rsid w:val="00B817BF"/>
    <w:rsid w:val="00B86274"/>
    <w:rsid w:val="00B875E1"/>
    <w:rsid w:val="00B9119D"/>
    <w:rsid w:val="00B9253B"/>
    <w:rsid w:val="00B93228"/>
    <w:rsid w:val="00B941FE"/>
    <w:rsid w:val="00B9538B"/>
    <w:rsid w:val="00B95AE2"/>
    <w:rsid w:val="00BA2F7E"/>
    <w:rsid w:val="00BA4508"/>
    <w:rsid w:val="00BA5155"/>
    <w:rsid w:val="00BA541B"/>
    <w:rsid w:val="00BA5DC4"/>
    <w:rsid w:val="00BA7EBC"/>
    <w:rsid w:val="00BB2FF0"/>
    <w:rsid w:val="00BB69ED"/>
    <w:rsid w:val="00BB732E"/>
    <w:rsid w:val="00BB76D6"/>
    <w:rsid w:val="00BB7776"/>
    <w:rsid w:val="00BC3B91"/>
    <w:rsid w:val="00BC5FF4"/>
    <w:rsid w:val="00BC6865"/>
    <w:rsid w:val="00BD13AE"/>
    <w:rsid w:val="00BD1FB6"/>
    <w:rsid w:val="00BD321E"/>
    <w:rsid w:val="00BD3934"/>
    <w:rsid w:val="00BD5B82"/>
    <w:rsid w:val="00BD7AB4"/>
    <w:rsid w:val="00BE02EC"/>
    <w:rsid w:val="00BE19A1"/>
    <w:rsid w:val="00BF1DAA"/>
    <w:rsid w:val="00BF2FE5"/>
    <w:rsid w:val="00BF3180"/>
    <w:rsid w:val="00BF6D71"/>
    <w:rsid w:val="00BF7F77"/>
    <w:rsid w:val="00C00730"/>
    <w:rsid w:val="00C01E11"/>
    <w:rsid w:val="00C12301"/>
    <w:rsid w:val="00C236AA"/>
    <w:rsid w:val="00C263CE"/>
    <w:rsid w:val="00C272D0"/>
    <w:rsid w:val="00C27DF8"/>
    <w:rsid w:val="00C31787"/>
    <w:rsid w:val="00C3410B"/>
    <w:rsid w:val="00C411B0"/>
    <w:rsid w:val="00C43AAE"/>
    <w:rsid w:val="00C44190"/>
    <w:rsid w:val="00C442F9"/>
    <w:rsid w:val="00C50BFD"/>
    <w:rsid w:val="00C60F19"/>
    <w:rsid w:val="00C64FFA"/>
    <w:rsid w:val="00C67CD8"/>
    <w:rsid w:val="00C70712"/>
    <w:rsid w:val="00C70E12"/>
    <w:rsid w:val="00C714E1"/>
    <w:rsid w:val="00C716B4"/>
    <w:rsid w:val="00C71B6C"/>
    <w:rsid w:val="00C7687B"/>
    <w:rsid w:val="00C85915"/>
    <w:rsid w:val="00C90983"/>
    <w:rsid w:val="00C91E13"/>
    <w:rsid w:val="00C9233E"/>
    <w:rsid w:val="00C9347C"/>
    <w:rsid w:val="00C93B85"/>
    <w:rsid w:val="00CA0E7E"/>
    <w:rsid w:val="00CA37F7"/>
    <w:rsid w:val="00CA4EC5"/>
    <w:rsid w:val="00CA5FB6"/>
    <w:rsid w:val="00CA7160"/>
    <w:rsid w:val="00CB0889"/>
    <w:rsid w:val="00CB64E4"/>
    <w:rsid w:val="00CC16BC"/>
    <w:rsid w:val="00CC3F90"/>
    <w:rsid w:val="00CC4458"/>
    <w:rsid w:val="00CC499B"/>
    <w:rsid w:val="00CC62BC"/>
    <w:rsid w:val="00CD063F"/>
    <w:rsid w:val="00CD4C73"/>
    <w:rsid w:val="00CE1C7A"/>
    <w:rsid w:val="00CE36B8"/>
    <w:rsid w:val="00CE6123"/>
    <w:rsid w:val="00CF5750"/>
    <w:rsid w:val="00CF5C60"/>
    <w:rsid w:val="00CF6A8C"/>
    <w:rsid w:val="00CF7490"/>
    <w:rsid w:val="00CF787A"/>
    <w:rsid w:val="00D029AA"/>
    <w:rsid w:val="00D05942"/>
    <w:rsid w:val="00D106E8"/>
    <w:rsid w:val="00D12544"/>
    <w:rsid w:val="00D13C79"/>
    <w:rsid w:val="00D14832"/>
    <w:rsid w:val="00D15205"/>
    <w:rsid w:val="00D170AB"/>
    <w:rsid w:val="00D20381"/>
    <w:rsid w:val="00D21B8D"/>
    <w:rsid w:val="00D21FD8"/>
    <w:rsid w:val="00D234CB"/>
    <w:rsid w:val="00D25447"/>
    <w:rsid w:val="00D2656D"/>
    <w:rsid w:val="00D324E1"/>
    <w:rsid w:val="00D352B4"/>
    <w:rsid w:val="00D353BF"/>
    <w:rsid w:val="00D40EFF"/>
    <w:rsid w:val="00D4512D"/>
    <w:rsid w:val="00D5242D"/>
    <w:rsid w:val="00D54A61"/>
    <w:rsid w:val="00D5503F"/>
    <w:rsid w:val="00D621FB"/>
    <w:rsid w:val="00D62456"/>
    <w:rsid w:val="00D62E5E"/>
    <w:rsid w:val="00D665C4"/>
    <w:rsid w:val="00D674F4"/>
    <w:rsid w:val="00D6777E"/>
    <w:rsid w:val="00D70B60"/>
    <w:rsid w:val="00D7463F"/>
    <w:rsid w:val="00D76A56"/>
    <w:rsid w:val="00D825B6"/>
    <w:rsid w:val="00D82CC1"/>
    <w:rsid w:val="00D87245"/>
    <w:rsid w:val="00D87300"/>
    <w:rsid w:val="00D90E08"/>
    <w:rsid w:val="00D91473"/>
    <w:rsid w:val="00DB0501"/>
    <w:rsid w:val="00DB250A"/>
    <w:rsid w:val="00DB3C35"/>
    <w:rsid w:val="00DB3D14"/>
    <w:rsid w:val="00DB6B05"/>
    <w:rsid w:val="00DC04AA"/>
    <w:rsid w:val="00DC32EC"/>
    <w:rsid w:val="00DC3537"/>
    <w:rsid w:val="00DC551D"/>
    <w:rsid w:val="00DC60AA"/>
    <w:rsid w:val="00DD50D0"/>
    <w:rsid w:val="00DD57BC"/>
    <w:rsid w:val="00DE0B07"/>
    <w:rsid w:val="00DE2ADF"/>
    <w:rsid w:val="00DF1A15"/>
    <w:rsid w:val="00DF1CB4"/>
    <w:rsid w:val="00DF324D"/>
    <w:rsid w:val="00DF792D"/>
    <w:rsid w:val="00DF7D1B"/>
    <w:rsid w:val="00E00723"/>
    <w:rsid w:val="00E0498A"/>
    <w:rsid w:val="00E04C8B"/>
    <w:rsid w:val="00E0505F"/>
    <w:rsid w:val="00E06ADC"/>
    <w:rsid w:val="00E104B1"/>
    <w:rsid w:val="00E1502C"/>
    <w:rsid w:val="00E21874"/>
    <w:rsid w:val="00E258F8"/>
    <w:rsid w:val="00E30766"/>
    <w:rsid w:val="00E3171F"/>
    <w:rsid w:val="00E31C61"/>
    <w:rsid w:val="00E31F15"/>
    <w:rsid w:val="00E327E6"/>
    <w:rsid w:val="00E34F0D"/>
    <w:rsid w:val="00E35CB0"/>
    <w:rsid w:val="00E3769D"/>
    <w:rsid w:val="00E420D2"/>
    <w:rsid w:val="00E4311E"/>
    <w:rsid w:val="00E448AB"/>
    <w:rsid w:val="00E46006"/>
    <w:rsid w:val="00E54884"/>
    <w:rsid w:val="00E552CF"/>
    <w:rsid w:val="00E57015"/>
    <w:rsid w:val="00E60348"/>
    <w:rsid w:val="00E6043D"/>
    <w:rsid w:val="00E60C11"/>
    <w:rsid w:val="00E61C60"/>
    <w:rsid w:val="00E73351"/>
    <w:rsid w:val="00E74596"/>
    <w:rsid w:val="00E80981"/>
    <w:rsid w:val="00E81E68"/>
    <w:rsid w:val="00E84AAA"/>
    <w:rsid w:val="00E922D8"/>
    <w:rsid w:val="00E926AD"/>
    <w:rsid w:val="00E9561F"/>
    <w:rsid w:val="00E95689"/>
    <w:rsid w:val="00EA277C"/>
    <w:rsid w:val="00EA32E8"/>
    <w:rsid w:val="00EA38FC"/>
    <w:rsid w:val="00EA3971"/>
    <w:rsid w:val="00EA3C60"/>
    <w:rsid w:val="00EA3D90"/>
    <w:rsid w:val="00EA5973"/>
    <w:rsid w:val="00EA64C3"/>
    <w:rsid w:val="00EB039C"/>
    <w:rsid w:val="00EB2C34"/>
    <w:rsid w:val="00EB4BCD"/>
    <w:rsid w:val="00EB72E1"/>
    <w:rsid w:val="00EC6C39"/>
    <w:rsid w:val="00EC78BD"/>
    <w:rsid w:val="00EC7DBC"/>
    <w:rsid w:val="00ED0099"/>
    <w:rsid w:val="00ED02D5"/>
    <w:rsid w:val="00ED297C"/>
    <w:rsid w:val="00EE1C59"/>
    <w:rsid w:val="00EE3BEE"/>
    <w:rsid w:val="00EE613B"/>
    <w:rsid w:val="00EE7555"/>
    <w:rsid w:val="00EF35ED"/>
    <w:rsid w:val="00F02E3E"/>
    <w:rsid w:val="00F04DAB"/>
    <w:rsid w:val="00F0743A"/>
    <w:rsid w:val="00F105CA"/>
    <w:rsid w:val="00F133B9"/>
    <w:rsid w:val="00F13429"/>
    <w:rsid w:val="00F16F48"/>
    <w:rsid w:val="00F17A3B"/>
    <w:rsid w:val="00F229A7"/>
    <w:rsid w:val="00F308C1"/>
    <w:rsid w:val="00F308DA"/>
    <w:rsid w:val="00F35509"/>
    <w:rsid w:val="00F36671"/>
    <w:rsid w:val="00F40A90"/>
    <w:rsid w:val="00F41E71"/>
    <w:rsid w:val="00F424E2"/>
    <w:rsid w:val="00F46ECF"/>
    <w:rsid w:val="00F53272"/>
    <w:rsid w:val="00F558D2"/>
    <w:rsid w:val="00F6156F"/>
    <w:rsid w:val="00F66B95"/>
    <w:rsid w:val="00F672C7"/>
    <w:rsid w:val="00F67493"/>
    <w:rsid w:val="00F6791B"/>
    <w:rsid w:val="00F75BAC"/>
    <w:rsid w:val="00F824D3"/>
    <w:rsid w:val="00F84BE4"/>
    <w:rsid w:val="00F8766D"/>
    <w:rsid w:val="00F91E2B"/>
    <w:rsid w:val="00F92092"/>
    <w:rsid w:val="00F951F3"/>
    <w:rsid w:val="00F95871"/>
    <w:rsid w:val="00FA00A7"/>
    <w:rsid w:val="00FA7030"/>
    <w:rsid w:val="00FA7B48"/>
    <w:rsid w:val="00FB0717"/>
    <w:rsid w:val="00FB4D9B"/>
    <w:rsid w:val="00FB7673"/>
    <w:rsid w:val="00FB7914"/>
    <w:rsid w:val="00FC0031"/>
    <w:rsid w:val="00FC0B30"/>
    <w:rsid w:val="00FC38F8"/>
    <w:rsid w:val="00FD15D6"/>
    <w:rsid w:val="00FD1FD5"/>
    <w:rsid w:val="00FD3AB2"/>
    <w:rsid w:val="00FD71F7"/>
    <w:rsid w:val="00FE392C"/>
    <w:rsid w:val="00FE7FED"/>
    <w:rsid w:val="00FF1134"/>
    <w:rsid w:val="00FF15A2"/>
    <w:rsid w:val="00FF2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D37355B-58DB-4A35-B16E-3173BFAA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i-FI"/>
    </w:rPr>
  </w:style>
  <w:style w:type="paragraph" w:styleId="Heading1">
    <w:name w:val="heading 1"/>
    <w:basedOn w:val="Normal"/>
    <w:next w:val="Text1"/>
    <w:link w:val="Heading1Char"/>
    <w:uiPriority w:val="9"/>
    <w:qFormat/>
    <w:pPr>
      <w:keepNext/>
      <w:numPr>
        <w:numId w:val="1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FE7FED"/>
    <w:pPr>
      <w:numPr>
        <w:numId w:val="1"/>
      </w:numPr>
    </w:pPr>
    <w:rPr>
      <w:rFonts w:eastAsia="Times New Roman"/>
      <w:lang w:eastAsia="en-GB"/>
    </w:rPr>
  </w:style>
  <w:style w:type="character" w:styleId="Hyperlink">
    <w:name w:val="Hyperlink"/>
    <w:basedOn w:val="DefaultParagraphFont"/>
    <w:rsid w:val="009713B0"/>
    <w:rPr>
      <w:color w:val="2F5773"/>
      <w:u w:val="single"/>
    </w:rPr>
  </w:style>
  <w:style w:type="paragraph" w:styleId="ListBullet2">
    <w:name w:val="List Bullet 2"/>
    <w:basedOn w:val="Normal"/>
    <w:uiPriority w:val="99"/>
    <w:semiHidden/>
    <w:unhideWhenUsed/>
    <w:rsid w:val="009713B0"/>
    <w:pPr>
      <w:numPr>
        <w:numId w:val="3"/>
      </w:numPr>
      <w:contextualSpacing/>
    </w:pPr>
  </w:style>
  <w:style w:type="paragraph" w:styleId="ListNumber2">
    <w:name w:val="List Number 2"/>
    <w:basedOn w:val="Normal"/>
    <w:uiPriority w:val="99"/>
    <w:semiHidden/>
    <w:unhideWhenUsed/>
    <w:rsid w:val="009713B0"/>
    <w:pPr>
      <w:numPr>
        <w:numId w:val="4"/>
      </w:numPr>
      <w:contextualSpacing/>
    </w:pPr>
  </w:style>
  <w:style w:type="paragraph" w:styleId="ListBullet3">
    <w:name w:val="List Bullet 3"/>
    <w:basedOn w:val="Normal"/>
    <w:uiPriority w:val="99"/>
    <w:semiHidden/>
    <w:unhideWhenUsed/>
    <w:rsid w:val="001840A1"/>
    <w:pPr>
      <w:numPr>
        <w:numId w:val="5"/>
      </w:numPr>
      <w:contextualSpacing/>
    </w:pPr>
  </w:style>
  <w:style w:type="paragraph" w:styleId="ListBullet4">
    <w:name w:val="List Bullet 4"/>
    <w:basedOn w:val="Normal"/>
    <w:uiPriority w:val="99"/>
    <w:semiHidden/>
    <w:unhideWhenUsed/>
    <w:rsid w:val="001840A1"/>
    <w:pPr>
      <w:numPr>
        <w:numId w:val="6"/>
      </w:numPr>
      <w:contextualSpacing/>
    </w:pPr>
  </w:style>
  <w:style w:type="character" w:styleId="CommentReference">
    <w:name w:val="annotation reference"/>
    <w:basedOn w:val="DefaultParagraphFont"/>
    <w:uiPriority w:val="99"/>
    <w:semiHidden/>
    <w:unhideWhenUsed/>
    <w:rsid w:val="00F6156F"/>
    <w:rPr>
      <w:sz w:val="16"/>
      <w:szCs w:val="16"/>
    </w:rPr>
  </w:style>
  <w:style w:type="paragraph" w:styleId="CommentText">
    <w:name w:val="annotation text"/>
    <w:basedOn w:val="Normal"/>
    <w:link w:val="CommentTextChar"/>
    <w:uiPriority w:val="99"/>
    <w:unhideWhenUsed/>
    <w:rsid w:val="00F6156F"/>
    <w:rPr>
      <w:sz w:val="20"/>
      <w:szCs w:val="20"/>
    </w:rPr>
  </w:style>
  <w:style w:type="character" w:customStyle="1" w:styleId="CommentTextChar">
    <w:name w:val="Comment Text Char"/>
    <w:basedOn w:val="DefaultParagraphFont"/>
    <w:link w:val="CommentText"/>
    <w:uiPriority w:val="99"/>
    <w:rsid w:val="00F6156F"/>
    <w:rPr>
      <w:rFonts w:ascii="Times New Roman" w:hAnsi="Times New Roman" w:cs="Times New Roman"/>
      <w:sz w:val="20"/>
      <w:szCs w:val="20"/>
      <w:lang w:val="fi-FI"/>
    </w:rPr>
  </w:style>
  <w:style w:type="paragraph" w:styleId="CommentSubject">
    <w:name w:val="annotation subject"/>
    <w:basedOn w:val="CommentText"/>
    <w:next w:val="CommentText"/>
    <w:link w:val="CommentSubjectChar"/>
    <w:uiPriority w:val="99"/>
    <w:semiHidden/>
    <w:unhideWhenUsed/>
    <w:rsid w:val="00F6156F"/>
    <w:rPr>
      <w:b/>
      <w:bCs/>
    </w:rPr>
  </w:style>
  <w:style w:type="character" w:customStyle="1" w:styleId="CommentSubjectChar">
    <w:name w:val="Comment Subject Char"/>
    <w:basedOn w:val="CommentTextChar"/>
    <w:link w:val="CommentSubject"/>
    <w:uiPriority w:val="99"/>
    <w:semiHidden/>
    <w:rsid w:val="00F6156F"/>
    <w:rPr>
      <w:rFonts w:ascii="Times New Roman" w:hAnsi="Times New Roman" w:cs="Times New Roman"/>
      <w:b/>
      <w:bCs/>
      <w:sz w:val="20"/>
      <w:szCs w:val="20"/>
      <w:lang w:val="fi-FI"/>
    </w:rPr>
  </w:style>
  <w:style w:type="character" w:customStyle="1" w:styleId="UnresolvedMention">
    <w:name w:val="Unresolved Mention"/>
    <w:basedOn w:val="DefaultParagraphFont"/>
    <w:uiPriority w:val="99"/>
    <w:semiHidden/>
    <w:unhideWhenUsed/>
    <w:rsid w:val="00F6156F"/>
    <w:rPr>
      <w:color w:val="605E5C"/>
      <w:shd w:val="clear" w:color="auto" w:fill="E1DFDD"/>
    </w:rPr>
  </w:style>
  <w:style w:type="paragraph" w:styleId="Revision">
    <w:name w:val="Revision"/>
    <w:hidden/>
    <w:uiPriority w:val="99"/>
    <w:semiHidden/>
    <w:rsid w:val="00F6156F"/>
    <w:pPr>
      <w:spacing w:after="0" w:line="240" w:lineRule="auto"/>
    </w:pPr>
    <w:rPr>
      <w:rFonts w:ascii="Times New Roman" w:hAnsi="Times New Roman" w:cs="Times New Roman"/>
      <w:sz w:val="24"/>
    </w:rPr>
  </w:style>
  <w:style w:type="character" w:customStyle="1" w:styleId="HeaderChar">
    <w:name w:val="Header Char"/>
    <w:basedOn w:val="DefaultParagraphFont"/>
    <w:link w:val="Header"/>
    <w:uiPriority w:val="99"/>
    <w:rsid w:val="00D21B8D"/>
    <w:rPr>
      <w:rFonts w:ascii="Times New Roman" w:hAnsi="Times New Roman" w:cs="Times New Roman"/>
      <w:sz w:val="24"/>
      <w:lang w:val="fi-FI"/>
    </w:rPr>
  </w:style>
  <w:style w:type="character" w:customStyle="1" w:styleId="FooterChar">
    <w:name w:val="Footer Char"/>
    <w:basedOn w:val="DefaultParagraphFont"/>
    <w:link w:val="Footer"/>
    <w:uiPriority w:val="99"/>
    <w:rsid w:val="00D21B8D"/>
    <w:rPr>
      <w:rFonts w:ascii="Times New Roman" w:hAnsi="Times New Roman" w:cs="Times New Roman"/>
      <w:sz w:val="24"/>
      <w:lang w:val="fi-FI"/>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fi-FI"/>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fi-FI"/>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fi-FI"/>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fi-FI"/>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fi-FI"/>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fi-FI"/>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fi-FI"/>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D21B8D"/>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D21B8D"/>
    <w:pPr>
      <w:spacing w:before="0"/>
      <w:jc w:val="right"/>
    </w:pPr>
    <w:rPr>
      <w:sz w:val="28"/>
    </w:rPr>
  </w:style>
  <w:style w:type="paragraph" w:customStyle="1" w:styleId="FooterSensitivity">
    <w:name w:val="Footer Sensitivity"/>
    <w:basedOn w:val="Normal"/>
    <w:rsid w:val="00D21B8D"/>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7"/>
      </w:numPr>
    </w:pPr>
  </w:style>
  <w:style w:type="paragraph" w:customStyle="1" w:styleId="Tiret1">
    <w:name w:val="Tiret 1"/>
    <w:basedOn w:val="Point1"/>
    <w:pPr>
      <w:numPr>
        <w:numId w:val="8"/>
      </w:numPr>
    </w:pPr>
  </w:style>
  <w:style w:type="paragraph" w:customStyle="1" w:styleId="Tiret2">
    <w:name w:val="Tiret 2"/>
    <w:basedOn w:val="Point2"/>
    <w:pPr>
      <w:numPr>
        <w:numId w:val="9"/>
      </w:numPr>
    </w:pPr>
  </w:style>
  <w:style w:type="paragraph" w:customStyle="1" w:styleId="Tiret3">
    <w:name w:val="Tiret 3"/>
    <w:basedOn w:val="Point3"/>
    <w:pPr>
      <w:numPr>
        <w:numId w:val="10"/>
      </w:numPr>
    </w:pPr>
  </w:style>
  <w:style w:type="paragraph" w:customStyle="1" w:styleId="Tiret4">
    <w:name w:val="Tiret 4"/>
    <w:basedOn w:val="Point4"/>
    <w:pPr>
      <w:numPr>
        <w:numId w:val="11"/>
      </w:numPr>
    </w:pPr>
  </w:style>
  <w:style w:type="paragraph" w:customStyle="1" w:styleId="Tiret5">
    <w:name w:val="Tiret 5"/>
    <w:basedOn w:val="Point5"/>
    <w:pPr>
      <w:numPr>
        <w:numId w:val="1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3"/>
      </w:numPr>
    </w:pPr>
  </w:style>
  <w:style w:type="paragraph" w:customStyle="1" w:styleId="NumPar2">
    <w:name w:val="NumPar 2"/>
    <w:basedOn w:val="Normal"/>
    <w:next w:val="Text1"/>
    <w:pPr>
      <w:numPr>
        <w:ilvl w:val="1"/>
        <w:numId w:val="13"/>
      </w:numPr>
    </w:pPr>
  </w:style>
  <w:style w:type="paragraph" w:customStyle="1" w:styleId="NumPar3">
    <w:name w:val="NumPar 3"/>
    <w:basedOn w:val="Normal"/>
    <w:next w:val="Text1"/>
    <w:pPr>
      <w:numPr>
        <w:ilvl w:val="2"/>
        <w:numId w:val="13"/>
      </w:numPr>
    </w:pPr>
  </w:style>
  <w:style w:type="paragraph" w:customStyle="1" w:styleId="NumPar4">
    <w:name w:val="NumPar 4"/>
    <w:basedOn w:val="Normal"/>
    <w:next w:val="Text1"/>
    <w:pPr>
      <w:numPr>
        <w:ilvl w:val="3"/>
        <w:numId w:val="13"/>
      </w:numPr>
    </w:pPr>
  </w:style>
  <w:style w:type="paragraph" w:customStyle="1" w:styleId="NumPar5">
    <w:name w:val="NumPar 5"/>
    <w:basedOn w:val="Normal"/>
    <w:next w:val="Text2"/>
    <w:pPr>
      <w:numPr>
        <w:ilvl w:val="4"/>
        <w:numId w:val="13"/>
      </w:numPr>
    </w:pPr>
  </w:style>
  <w:style w:type="paragraph" w:customStyle="1" w:styleId="NumPar6">
    <w:name w:val="NumPar 6"/>
    <w:basedOn w:val="Normal"/>
    <w:next w:val="Text2"/>
    <w:pPr>
      <w:numPr>
        <w:ilvl w:val="5"/>
        <w:numId w:val="13"/>
      </w:numPr>
    </w:pPr>
  </w:style>
  <w:style w:type="paragraph" w:customStyle="1" w:styleId="NumPar7">
    <w:name w:val="NumPar 7"/>
    <w:basedOn w:val="Normal"/>
    <w:next w:val="Text2"/>
    <w:pPr>
      <w:numPr>
        <w:ilvl w:val="6"/>
        <w:numId w:val="1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5"/>
      </w:numPr>
    </w:pPr>
  </w:style>
  <w:style w:type="paragraph" w:customStyle="1" w:styleId="Point1number">
    <w:name w:val="Point 1 (number)"/>
    <w:basedOn w:val="Normal"/>
    <w:pPr>
      <w:numPr>
        <w:ilvl w:val="2"/>
        <w:numId w:val="15"/>
      </w:numPr>
    </w:pPr>
  </w:style>
  <w:style w:type="paragraph" w:customStyle="1" w:styleId="Point2number">
    <w:name w:val="Point 2 (number)"/>
    <w:basedOn w:val="Normal"/>
    <w:pPr>
      <w:numPr>
        <w:ilvl w:val="4"/>
        <w:numId w:val="15"/>
      </w:numPr>
    </w:pPr>
  </w:style>
  <w:style w:type="paragraph" w:customStyle="1" w:styleId="Point3number">
    <w:name w:val="Point 3 (number)"/>
    <w:basedOn w:val="Normal"/>
    <w:pPr>
      <w:numPr>
        <w:ilvl w:val="6"/>
        <w:numId w:val="15"/>
      </w:numPr>
    </w:pPr>
  </w:style>
  <w:style w:type="paragraph" w:customStyle="1" w:styleId="Point0letter">
    <w:name w:val="Point 0 (letter)"/>
    <w:basedOn w:val="Normal"/>
    <w:pPr>
      <w:numPr>
        <w:ilvl w:val="1"/>
        <w:numId w:val="15"/>
      </w:numPr>
    </w:pPr>
  </w:style>
  <w:style w:type="paragraph" w:customStyle="1" w:styleId="Point1letter">
    <w:name w:val="Point 1 (letter)"/>
    <w:basedOn w:val="Normal"/>
    <w:pPr>
      <w:numPr>
        <w:ilvl w:val="3"/>
        <w:numId w:val="15"/>
      </w:numPr>
    </w:pPr>
  </w:style>
  <w:style w:type="paragraph" w:customStyle="1" w:styleId="Point2letter">
    <w:name w:val="Point 2 (letter)"/>
    <w:basedOn w:val="Normal"/>
    <w:pPr>
      <w:numPr>
        <w:ilvl w:val="5"/>
        <w:numId w:val="15"/>
      </w:numPr>
    </w:pPr>
  </w:style>
  <w:style w:type="paragraph" w:customStyle="1" w:styleId="Point3letter">
    <w:name w:val="Point 3 (letter)"/>
    <w:basedOn w:val="Normal"/>
    <w:pPr>
      <w:numPr>
        <w:ilvl w:val="7"/>
        <w:numId w:val="15"/>
      </w:numPr>
    </w:pPr>
  </w:style>
  <w:style w:type="paragraph" w:customStyle="1" w:styleId="Point4letter">
    <w:name w:val="Point 4 (letter)"/>
    <w:basedOn w:val="Normal"/>
    <w:pPr>
      <w:numPr>
        <w:ilvl w:val="8"/>
        <w:numId w:val="15"/>
      </w:numPr>
    </w:pPr>
  </w:style>
  <w:style w:type="paragraph" w:customStyle="1" w:styleId="Bullet0">
    <w:name w:val="Bullet 0"/>
    <w:basedOn w:val="Normal"/>
    <w:pPr>
      <w:numPr>
        <w:numId w:val="16"/>
      </w:numPr>
    </w:pPr>
  </w:style>
  <w:style w:type="paragraph" w:customStyle="1" w:styleId="Bullet1">
    <w:name w:val="Bullet 1"/>
    <w:basedOn w:val="Normal"/>
    <w:pPr>
      <w:numPr>
        <w:numId w:val="17"/>
      </w:numPr>
    </w:pPr>
  </w:style>
  <w:style w:type="paragraph" w:customStyle="1" w:styleId="Bullet2">
    <w:name w:val="Bullet 2"/>
    <w:basedOn w:val="Normal"/>
    <w:pPr>
      <w:numPr>
        <w:numId w:val="18"/>
      </w:numPr>
    </w:pPr>
  </w:style>
  <w:style w:type="paragraph" w:customStyle="1" w:styleId="Bullet3">
    <w:name w:val="Bullet 3"/>
    <w:basedOn w:val="Normal"/>
    <w:pPr>
      <w:numPr>
        <w:numId w:val="19"/>
      </w:numPr>
    </w:pPr>
  </w:style>
  <w:style w:type="paragraph" w:customStyle="1" w:styleId="Bullet4">
    <w:name w:val="Bullet 4"/>
    <w:basedOn w:val="Normal"/>
    <w:pPr>
      <w:numPr>
        <w:numId w:val="2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D21B8D"/>
    <w:pPr>
      <w:tabs>
        <w:tab w:val="center" w:pos="4535"/>
        <w:tab w:val="right" w:pos="9071"/>
      </w:tabs>
      <w:spacing w:before="0"/>
    </w:pPr>
  </w:style>
  <w:style w:type="paragraph" w:customStyle="1" w:styleId="HeaderLandscape">
    <w:name w:val="HeaderLandscape"/>
    <w:basedOn w:val="Normal"/>
    <w:rsid w:val="00D21B8D"/>
    <w:pPr>
      <w:tabs>
        <w:tab w:val="center" w:pos="7285"/>
        <w:tab w:val="right" w:pos="14003"/>
      </w:tabs>
      <w:spacing w:before="0"/>
    </w:pPr>
  </w:style>
  <w:style w:type="paragraph" w:styleId="Footer">
    <w:name w:val="footer"/>
    <w:basedOn w:val="Normal"/>
    <w:link w:val="FooterChar"/>
    <w:uiPriority w:val="99"/>
    <w:unhideWhenUsed/>
    <w:rsid w:val="00D21B8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D21B8D"/>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00798">
      <w:bodyDiv w:val="1"/>
      <w:marLeft w:val="0"/>
      <w:marRight w:val="0"/>
      <w:marTop w:val="0"/>
      <w:marBottom w:val="0"/>
      <w:divBdr>
        <w:top w:val="none" w:sz="0" w:space="0" w:color="auto"/>
        <w:left w:val="none" w:sz="0" w:space="0" w:color="auto"/>
        <w:bottom w:val="none" w:sz="0" w:space="0" w:color="auto"/>
        <w:right w:val="none" w:sz="0" w:space="0" w:color="auto"/>
      </w:divBdr>
    </w:div>
    <w:div w:id="550653829">
      <w:bodyDiv w:val="1"/>
      <w:marLeft w:val="0"/>
      <w:marRight w:val="0"/>
      <w:marTop w:val="0"/>
      <w:marBottom w:val="0"/>
      <w:divBdr>
        <w:top w:val="none" w:sz="0" w:space="0" w:color="auto"/>
        <w:left w:val="none" w:sz="0" w:space="0" w:color="auto"/>
        <w:bottom w:val="none" w:sz="0" w:space="0" w:color="auto"/>
        <w:right w:val="none" w:sz="0" w:space="0" w:color="auto"/>
      </w:divBdr>
    </w:div>
    <w:div w:id="784278377">
      <w:bodyDiv w:val="1"/>
      <w:marLeft w:val="0"/>
      <w:marRight w:val="0"/>
      <w:marTop w:val="0"/>
      <w:marBottom w:val="0"/>
      <w:divBdr>
        <w:top w:val="none" w:sz="0" w:space="0" w:color="auto"/>
        <w:left w:val="none" w:sz="0" w:space="0" w:color="auto"/>
        <w:bottom w:val="none" w:sz="0" w:space="0" w:color="auto"/>
        <w:right w:val="none" w:sz="0" w:space="0" w:color="auto"/>
      </w:divBdr>
    </w:div>
    <w:div w:id="869949458">
      <w:bodyDiv w:val="1"/>
      <w:marLeft w:val="0"/>
      <w:marRight w:val="0"/>
      <w:marTop w:val="0"/>
      <w:marBottom w:val="0"/>
      <w:divBdr>
        <w:top w:val="none" w:sz="0" w:space="0" w:color="auto"/>
        <w:left w:val="none" w:sz="0" w:space="0" w:color="auto"/>
        <w:bottom w:val="none" w:sz="0" w:space="0" w:color="auto"/>
        <w:right w:val="none" w:sz="0" w:space="0" w:color="auto"/>
      </w:divBdr>
    </w:div>
    <w:div w:id="881015070">
      <w:bodyDiv w:val="1"/>
      <w:marLeft w:val="0"/>
      <w:marRight w:val="0"/>
      <w:marTop w:val="0"/>
      <w:marBottom w:val="0"/>
      <w:divBdr>
        <w:top w:val="none" w:sz="0" w:space="0" w:color="auto"/>
        <w:left w:val="none" w:sz="0" w:space="0" w:color="auto"/>
        <w:bottom w:val="none" w:sz="0" w:space="0" w:color="auto"/>
        <w:right w:val="none" w:sz="0" w:space="0" w:color="auto"/>
      </w:divBdr>
    </w:div>
    <w:div w:id="920212406">
      <w:bodyDiv w:val="1"/>
      <w:marLeft w:val="0"/>
      <w:marRight w:val="0"/>
      <w:marTop w:val="0"/>
      <w:marBottom w:val="0"/>
      <w:divBdr>
        <w:top w:val="none" w:sz="0" w:space="0" w:color="auto"/>
        <w:left w:val="none" w:sz="0" w:space="0" w:color="auto"/>
        <w:bottom w:val="none" w:sz="0" w:space="0" w:color="auto"/>
        <w:right w:val="none" w:sz="0" w:space="0" w:color="auto"/>
      </w:divBdr>
    </w:div>
    <w:div w:id="1095593330">
      <w:bodyDiv w:val="1"/>
      <w:marLeft w:val="0"/>
      <w:marRight w:val="0"/>
      <w:marTop w:val="0"/>
      <w:marBottom w:val="0"/>
      <w:divBdr>
        <w:top w:val="none" w:sz="0" w:space="0" w:color="auto"/>
        <w:left w:val="none" w:sz="0" w:space="0" w:color="auto"/>
        <w:bottom w:val="none" w:sz="0" w:space="0" w:color="auto"/>
        <w:right w:val="none" w:sz="0" w:space="0" w:color="auto"/>
      </w:divBdr>
    </w:div>
    <w:div w:id="1494568034">
      <w:bodyDiv w:val="1"/>
      <w:marLeft w:val="0"/>
      <w:marRight w:val="0"/>
      <w:marTop w:val="0"/>
      <w:marBottom w:val="0"/>
      <w:divBdr>
        <w:top w:val="none" w:sz="0" w:space="0" w:color="auto"/>
        <w:left w:val="none" w:sz="0" w:space="0" w:color="auto"/>
        <w:bottom w:val="none" w:sz="0" w:space="0" w:color="auto"/>
        <w:right w:val="none" w:sz="0" w:space="0" w:color="auto"/>
      </w:divBdr>
    </w:div>
    <w:div w:id="1989820838">
      <w:bodyDiv w:val="1"/>
      <w:marLeft w:val="0"/>
      <w:marRight w:val="0"/>
      <w:marTop w:val="0"/>
      <w:marBottom w:val="0"/>
      <w:divBdr>
        <w:top w:val="none" w:sz="0" w:space="0" w:color="auto"/>
        <w:left w:val="none" w:sz="0" w:space="0" w:color="auto"/>
        <w:bottom w:val="none" w:sz="0" w:space="0" w:color="auto"/>
        <w:right w:val="none" w:sz="0" w:space="0" w:color="auto"/>
      </w:divBdr>
    </w:div>
    <w:div w:id="21305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AA042-8990-48CF-9F49-CCC060D39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AE6E2-368D-42B0-9134-B6800FDB77A6}">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B89D5FD2-A6F3-4EB5-A6CF-7867F88AEFD4}">
  <ds:schemaRefs>
    <ds:schemaRef ds:uri="http://schemas.microsoft.com/sharepoint/v3/contenttype/forms"/>
  </ds:schemaRefs>
</ds:datastoreItem>
</file>

<file path=customXml/itemProps4.xml><?xml version="1.0" encoding="utf-8"?>
<ds:datastoreItem xmlns:ds="http://schemas.openxmlformats.org/officeDocument/2006/customXml" ds:itemID="{6F0E5ABD-5245-40BC-BB19-27A71B2B6C75}">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8</TotalTime>
  <Pages>6</Pages>
  <Words>1609</Words>
  <Characters>9174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40</cp:revision>
  <cp:lastPrinted>2025-05-08T07:59:00Z</cp:lastPrinted>
  <dcterms:created xsi:type="dcterms:W3CDTF">2025-09-16T13:52:00Z</dcterms:created>
  <dcterms:modified xsi:type="dcterms:W3CDTF">2025-09-30T15:22:00Z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2025-02-25T08:26:14Z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be3cf09d-66c6-4ba0-8026-31162a6dd493</vt:lpwstr>
  </property>
  <property fmtid="{D5CDD505-2E9C-101B-9397-08002B2CF9AE}" pid="16" name="MSIP_Label_6bd9ddd1-4d20-43f6-abfa-fc3c07406f94_ContentBits">
    <vt:lpwstr>0</vt:lpwstr>
  </property>
  <property fmtid="{D5CDD505-2E9C-101B-9397-08002B2CF9AE}" pid="17" name="ContentTypeId">
    <vt:lpwstr>0x010100BAD999D84E12C74482EA5120F5227F6F00217DECAAC21D6B43958DFE68658C192E</vt:lpwstr>
  </property>
  <property fmtid="{D5CDD505-2E9C-101B-9397-08002B2CF9AE}" pid="18" name="MediaServiceImageTags">
    <vt:lpwstr/>
  </property>
  <property fmtid="{D5CDD505-2E9C-101B-9397-08002B2CF9AE}" pid="19" name="ClassificationContentMarkingHeaderShapeIds">
    <vt:lpwstr>20238a3b,33d08159,24cbf427,4ef86fca,5453675e,568b7bab</vt:lpwstr>
  </property>
  <property fmtid="{D5CDD505-2E9C-101B-9397-08002B2CF9AE}" pid="20" name="ClassificationContentMarkingHeaderFontProps">
    <vt:lpwstr>#000000,12,Aptos</vt:lpwstr>
  </property>
  <property fmtid="{D5CDD505-2E9C-101B-9397-08002B2CF9AE}" pid="21" name="ClassificationContentMarkingHeaderText">
    <vt:lpwstr>EBA Regular Use</vt:lpwstr>
  </property>
  <property fmtid="{D5CDD505-2E9C-101B-9397-08002B2CF9AE}" pid="22" name="DQCStatus">
    <vt:lpwstr>Green (DQC version 03)</vt:lpwstr>
  </property>
</Properties>
</file>