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CF7916" w:rsidRDefault="00643AE8" w:rsidP="00643AE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7790FA3-627F-4C00-B5B0-8EC42A137D19" style="width:455.25pt;height:369.75pt">
            <v:imagedata r:id="rId11" o:title=""/>
          </v:shape>
        </w:pict>
      </w:r>
    </w:p>
    <w:p w:rsidR="00FE7FED" w:rsidRPr="00CF7916" w:rsidRDefault="00FE7FED">
      <w:pPr>
        <w:rPr>
          <w:noProof/>
        </w:rPr>
        <w:sectPr w:rsidR="00FE7FED" w:rsidRPr="00CF7916" w:rsidSect="00643AE8">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CF7916" w:rsidRDefault="00CF7916" w:rsidP="00CF7916">
      <w:pPr>
        <w:pStyle w:val="Typedudocument"/>
        <w:rPr>
          <w:noProof/>
        </w:rPr>
      </w:pPr>
      <w:bookmarkStart w:id="0" w:name="_GoBack"/>
      <w:bookmarkEnd w:id="0"/>
      <w:r w:rsidRPr="00CF7916">
        <w:rPr>
          <w:noProof/>
        </w:rPr>
        <w:lastRenderedPageBreak/>
        <w:t>KOMISJONI RAKENDUSMÄÄRUS (EL) …/…,</w:t>
      </w:r>
    </w:p>
    <w:p w:rsidR="009713B0" w:rsidRPr="00CF7916" w:rsidRDefault="003A3023" w:rsidP="00CF7916">
      <w:pPr>
        <w:pStyle w:val="Datedadoption"/>
        <w:rPr>
          <w:noProof/>
        </w:rPr>
      </w:pPr>
      <w:r>
        <w:rPr>
          <w:noProof/>
        </w:rPr>
        <w:t>1.10.2025,</w:t>
      </w:r>
    </w:p>
    <w:p w:rsidR="009713B0" w:rsidRPr="00CF7916" w:rsidRDefault="00CF7916" w:rsidP="00CF7916">
      <w:pPr>
        <w:pStyle w:val="Titreobjet"/>
        <w:rPr>
          <w:noProof/>
        </w:rPr>
      </w:pPr>
      <w:r w:rsidRPr="00CF7916">
        <w:rPr>
          <w:noProof/>
        </w:rPr>
        <w:t>millega kehtestatakse rakenduslikud tehnilised standardid Euroopa Parlamendi ja nõukogu määruse (EL) nr 260/2012 kohaldamiseks seoses ühtsete aruandevormide, juhiste ja metoodikaga aruandluse jaoks kreeditkorralduste, välkkreeditkorralduste ja maksekontode tasude taseme ning tagasilükatud tehingute osakaalu kohta</w:t>
      </w:r>
    </w:p>
    <w:p w:rsidR="009713B0" w:rsidRPr="00CF7916" w:rsidRDefault="009713B0" w:rsidP="009713B0">
      <w:pPr>
        <w:pStyle w:val="Institutionquiagit"/>
        <w:rPr>
          <w:noProof/>
        </w:rPr>
      </w:pPr>
      <w:r w:rsidRPr="00CF7916">
        <w:rPr>
          <w:noProof/>
        </w:rPr>
        <w:t>EUROOPA KOMISJON,</w:t>
      </w:r>
    </w:p>
    <w:p w:rsidR="009713B0" w:rsidRPr="00CF7916" w:rsidRDefault="009713B0" w:rsidP="009713B0">
      <w:pPr>
        <w:rPr>
          <w:noProof/>
          <w:color w:val="000000"/>
        </w:rPr>
      </w:pPr>
      <w:r w:rsidRPr="00CF7916">
        <w:rPr>
          <w:noProof/>
          <w:color w:val="000000"/>
        </w:rPr>
        <w:t>võttes arvesse Euroopa Liidu toimimise lepingut,</w:t>
      </w:r>
    </w:p>
    <w:p w:rsidR="009713B0" w:rsidRPr="00CF7916" w:rsidRDefault="009713B0" w:rsidP="009713B0">
      <w:pPr>
        <w:rPr>
          <w:noProof/>
          <w:color w:val="000000"/>
        </w:rPr>
      </w:pPr>
      <w:r w:rsidRPr="00CF7916">
        <w:rPr>
          <w:noProof/>
          <w:color w:val="000000"/>
        </w:rPr>
        <w:t>võttes arvesse Euroopa Parlamendi ja nõukogu 14. märtsi 2012. aasta määrust (EL) nr 260/2012, millega kehtestatakse eurodes tehtavatele kreedit- ja otsekorraldustele tehnilised ja ärilised nõuded ning muudetakse määrust (EÜ) nr 924/2009,</w:t>
      </w:r>
      <w:r w:rsidRPr="00CF7916">
        <w:rPr>
          <w:rStyle w:val="FootnoteReference"/>
          <w:noProof/>
          <w:color w:val="000000"/>
        </w:rPr>
        <w:footnoteReference w:id="2"/>
      </w:r>
      <w:r w:rsidRPr="00CF7916">
        <w:rPr>
          <w:noProof/>
          <w:color w:val="000000"/>
        </w:rPr>
        <w:t xml:space="preserve"> ja eriti selle artikli 15 lõike 5 kolmandat lõiku,</w:t>
      </w:r>
    </w:p>
    <w:p w:rsidR="009713B0" w:rsidRPr="00CF7916" w:rsidRDefault="009713B0" w:rsidP="009713B0">
      <w:pPr>
        <w:rPr>
          <w:noProof/>
        </w:rPr>
      </w:pPr>
      <w:r w:rsidRPr="00CF7916">
        <w:rPr>
          <w:noProof/>
        </w:rPr>
        <w:t>ning arvestades järgmist:</w:t>
      </w:r>
    </w:p>
    <w:p w:rsidR="00AC0006" w:rsidRPr="00CF7916" w:rsidRDefault="00BA19CA" w:rsidP="00BA19CA">
      <w:pPr>
        <w:pStyle w:val="ManualConsidrant"/>
        <w:rPr>
          <w:noProof/>
        </w:rPr>
      </w:pPr>
      <w:r w:rsidRPr="00BA19CA">
        <w:rPr>
          <w:noProof/>
        </w:rPr>
        <w:t>(1)</w:t>
      </w:r>
      <w:r w:rsidRPr="00BA19CA">
        <w:rPr>
          <w:noProof/>
        </w:rPr>
        <w:tab/>
      </w:r>
      <w:r w:rsidR="00925CEE" w:rsidRPr="00CF7916">
        <w:rPr>
          <w:noProof/>
        </w:rPr>
        <w:t>Määruse (EL) nr 260/2012 artikli 15 lõike 3 kohase aruande esitamine teenustasude taseme kohta peaks võimaldama komisjonil hinnata kõnealuse määruse artikli 5b lõikes 1 sätestatud välkkreeditkorralduste eest võetavate tasude reegli mõju maksekontode tasudele nii riigisiseste kui ka piiriüleste kreeditkorralduste puhul ning välkkreeditkorralduste puhul eurodes ja nende liikmesriikide omavääringus, mille rahaühik ei ole euro. Tasud, mida makseteenuse pakkuja võtab kreeditkorralduste, sealhulgas välkkreeditkorralduste eest, varieeruvad tavaliselt sõltuvalt asjaomase kreeditkorralduse tunnustest. Kõnealuseks tunnuseks võib olla näiteks, kas makseteenuse kasutaja on maksja või makse saaja, on või ei ole tarbija, või makse algatamise kanali liik. Aruanne saadetud kreeditkorralduste kohta peaks seega sisaldama jaotusi riigisiseste ja piiriüleste korralduste, makseteenuse kasutaja liigi ja makse algatamise kanali kohta.</w:t>
      </w:r>
    </w:p>
    <w:p w:rsidR="00F133B9" w:rsidRPr="00CF7916" w:rsidRDefault="00BA19CA" w:rsidP="00BA19CA">
      <w:pPr>
        <w:pStyle w:val="ManualConsidrant"/>
        <w:rPr>
          <w:noProof/>
        </w:rPr>
      </w:pPr>
      <w:r w:rsidRPr="00BA19CA">
        <w:rPr>
          <w:noProof/>
        </w:rPr>
        <w:t>(2)</w:t>
      </w:r>
      <w:r w:rsidRPr="00BA19CA">
        <w:rPr>
          <w:noProof/>
        </w:rPr>
        <w:tab/>
      </w:r>
      <w:r w:rsidR="00914C54" w:rsidRPr="00CF7916">
        <w:rPr>
          <w:noProof/>
        </w:rPr>
        <w:t>Makseteenuse pakkujad võivad valida, kas kehtestada tehingupõhised tasud kindla summana või tehingu väärtuse protsendina. Makseteenuse pakkujad võivad valida ka alternatiivse tasu võtmise skeemi, sealhulgas tehingu väärtuse eri vahemikele tugineva astmelise hinnakujunduse või lahendused, mille puhul teatav arv tehinguid kuus on tasuta ja pärast seda kohaldatakse tehingupõhist tasu. On ebasoovitav, et selline äritavade heterogeensus tooks kaasa määruse (EL) nr 260/2012 artikli 5b lõikes 1 sätestatud välkkreeditkorralduste eest võetavate tasude reegli eesmärgist kõrvalehoidmise. Korraliste ja välkkreeditkorralduste teenustasude taseme kohta teabe esitamise metoodika peaks võimaldama komisjonil hinnata makseteenuse pakkujate esitatud teavet ühtsel ja võrreldaval viisil makseteenuse pakkuja tasandil aja jooksul ja eri makseteenuse pakkujate vahel teataval ajahetkel, vaatamata sellele, et makseteenuse pakkujad kasutavad erinevaid teenustasude arvutamise meetodeid. Aruandlus peaks seega sisaldama teavet kogutasude, kreeditkorralduste, sealhulgas välkkreeditkorralduste mahu ja väärtuse kohta riigi vääringus. Aruandlus nii saadetud kui ka saadud kreeditkorralduste kohta peaks sisaldama ka jaotust tasuta ja tasuliste ülekannete kaupa.</w:t>
      </w:r>
    </w:p>
    <w:p w:rsidR="009713B0" w:rsidRPr="00CF7916" w:rsidRDefault="00BA19CA" w:rsidP="00BA19CA">
      <w:pPr>
        <w:pStyle w:val="ManualConsidrant"/>
        <w:rPr>
          <w:noProof/>
        </w:rPr>
      </w:pPr>
      <w:r w:rsidRPr="00BA19CA">
        <w:rPr>
          <w:noProof/>
        </w:rPr>
        <w:t>(3)</w:t>
      </w:r>
      <w:r w:rsidRPr="00BA19CA">
        <w:rPr>
          <w:noProof/>
        </w:rPr>
        <w:tab/>
      </w:r>
      <w:r w:rsidR="004425F3" w:rsidRPr="00CF7916">
        <w:rPr>
          <w:noProof/>
        </w:rPr>
        <w:t>Makseteenuse pakkujad peaksid täitma oma aruandluskohustust määruse (EL) nr 260/2012 artikli 15 lõikes 3 sätestatud viisil üksuse tasandil. Et järgida makseandmete statistika Euroopa Keskpangale esitamise kava, peaksid muude liikmesriikide kui oma emaettevõtja liikmesriigi territooriumil asuvad makseteenuse pakkujate filiaalid esitama oma andmed vastuvõtva liikmesriigi pädevale asutusele ning emaettevõtjad peaksid esitama andmed ise oma päritoluliikmesriigi pädevale asutusele.</w:t>
      </w:r>
    </w:p>
    <w:p w:rsidR="009713B0" w:rsidRPr="00CF7916" w:rsidRDefault="00BA19CA" w:rsidP="00BA19CA">
      <w:pPr>
        <w:pStyle w:val="ManualConsidrant"/>
        <w:rPr>
          <w:noProof/>
        </w:rPr>
      </w:pPr>
      <w:r w:rsidRPr="00BA19CA">
        <w:rPr>
          <w:noProof/>
        </w:rPr>
        <w:t>(4)</w:t>
      </w:r>
      <w:r w:rsidRPr="00BA19CA">
        <w:rPr>
          <w:noProof/>
        </w:rPr>
        <w:tab/>
      </w:r>
      <w:r w:rsidR="000D1771" w:rsidRPr="00CF7916">
        <w:rPr>
          <w:noProof/>
        </w:rPr>
        <w:t>Määruse (EL) nr 260/2012 artikli 5a lõike 8 kohaselt on makseteenuse pakkuja, kes asub liikmesriigis, mille rahaühik ei ole euro ja kes pakub oma makseteenuse kasutajatele eurodes tavapäraste kreeditkorralduste saamise ja saatmise teenust, kohustatud pakkuma oma makseteenuse kasutajatele eurodes välkkreeditkorralduste saamise teenust hiljemalt 9. jaanuariks 2027 ja eurodes välkkreeditkorralduste saatmise teenust hiljemalt 9. juuliks 2027. Samuti peaksid kõnealused makseteenuse pakkujad täitma selle määruse artikli 5b lõike 3 teise lõigu kohased nõuded, mis on seotud maksjatelt ja makse saajatelt eurodes välkkreeditkorralduste saatmise ja saamise eest võetavate tasudega, hiljemalt 9. jaanuariks 2027. Et komisjon saaks hinnata määruse (EL) nr 260/2012 mõju kreeditkorralduste, sealhulgas välkkreeditkorralduste tasude tasemele nende liikmesriikide omavääringus, mille rahaühik ei ole euro, vastavalt kõnealuse määruse artikli 15 lõike 2 punktile a, on asjakohane, et nendes liikmesriikides asuvad makseteenuse pakkujad, kes pakuvad oma makseteenuse kasutajatele eurodes tavapäraste kreeditkorralduste saamise ja saatmise teenust, esitaksid aruande omavääringus ja eurodes tehtud kreeditkorralduste, sealhulgas välkkreeditkorralduste arvu, väärtuse ja tasude kohta.</w:t>
      </w:r>
    </w:p>
    <w:p w:rsidR="009713B0" w:rsidRPr="00CF7916" w:rsidRDefault="00BA19CA" w:rsidP="00BA19CA">
      <w:pPr>
        <w:pStyle w:val="ManualConsidrant"/>
        <w:rPr>
          <w:noProof/>
        </w:rPr>
      </w:pPr>
      <w:r w:rsidRPr="00BA19CA">
        <w:rPr>
          <w:noProof/>
        </w:rPr>
        <w:t>(5)</w:t>
      </w:r>
      <w:r w:rsidRPr="00BA19CA">
        <w:rPr>
          <w:noProof/>
        </w:rPr>
        <w:tab/>
      </w:r>
      <w:r w:rsidR="009713B0" w:rsidRPr="00CF7916">
        <w:rPr>
          <w:noProof/>
        </w:rPr>
        <w:t>Määruse (EL) nr 260/2012 artikli 15 lõike 3 kohase aruande jaoks peavad makseteenuse pakkujad esitama oma pädevatele asutustele andmed maksekontode koguarvu kohta koos maksekontode kogutasude koondtasemega. Et komisjon saaks hinnata, kas maksekontode tasude võimalike muutuste ning kreeditkorralduste ja välkkreeditkorralduste tasude muutuste vahel on seos, peaks aruandlus sisaldama hooldustasude jaotust.</w:t>
      </w:r>
    </w:p>
    <w:p w:rsidR="009713B0" w:rsidRPr="00CF7916" w:rsidRDefault="00BA19CA" w:rsidP="00BA19CA">
      <w:pPr>
        <w:pStyle w:val="ManualConsidrant"/>
        <w:rPr>
          <w:noProof/>
        </w:rPr>
      </w:pPr>
      <w:r w:rsidRPr="00BA19CA">
        <w:rPr>
          <w:noProof/>
        </w:rPr>
        <w:t>(6)</w:t>
      </w:r>
      <w:r w:rsidRPr="00BA19CA">
        <w:rPr>
          <w:noProof/>
        </w:rPr>
        <w:tab/>
      </w:r>
      <w:r w:rsidR="00136075" w:rsidRPr="00CF7916">
        <w:rPr>
          <w:noProof/>
        </w:rPr>
        <w:t>Et komisjon saaks hinnata Euroopa Liidu toimimise lepingu artikli 215 kohaselt vastu võetud sihipäraste piiravate finantsmeetmete kohaldamise tõttu tagasi lükatud välkkreeditkorralduste osakaalu, ning hinnata, kas see osakaal on pärast Euroopa Parlamendi ja nõukogu määrusega (EL) 2024/886</w:t>
      </w:r>
      <w:r w:rsidR="00136075" w:rsidRPr="00CF7916">
        <w:rPr>
          <w:rStyle w:val="FootnoteReference"/>
          <w:noProof/>
        </w:rPr>
        <w:footnoteReference w:id="3"/>
      </w:r>
      <w:r w:rsidR="00136075" w:rsidRPr="00CF7916">
        <w:rPr>
          <w:noProof/>
        </w:rPr>
        <w:t xml:space="preserve"> määrusesse (EL) nr 260/2012 tehtud muudatuste kehtima hakkamist muutunud, peaksid makseteenuse pakkujad andma oma pädevatele asutustele teavet kõnealuse osakaalu kohta konkreetsel aastal, sealhulgas selliste juhtude arvu kohta, kus välkkreeditkorraldust ei täidetud või vahendid külmutati maksja või makse saaja makseteenuse pakkuja poolt.</w:t>
      </w:r>
    </w:p>
    <w:p w:rsidR="0039723A" w:rsidRPr="00CF7916" w:rsidRDefault="00BA19CA" w:rsidP="00BA19CA">
      <w:pPr>
        <w:pStyle w:val="ManualConsidrant"/>
        <w:rPr>
          <w:noProof/>
        </w:rPr>
      </w:pPr>
      <w:r w:rsidRPr="00BA19CA">
        <w:rPr>
          <w:noProof/>
        </w:rPr>
        <w:t>(7)</w:t>
      </w:r>
      <w:r w:rsidRPr="00BA19CA">
        <w:rPr>
          <w:noProof/>
        </w:rPr>
        <w:tab/>
      </w:r>
      <w:r w:rsidR="00B17DF1" w:rsidRPr="00CF7916">
        <w:rPr>
          <w:noProof/>
        </w:rPr>
        <w:t>Aruandluse ühtlustamiseks peaksid makseteenuse pakkujad kasutama Euroopa Pangandusjärelevalve veebilehelt leitavaid valideerimise valemeid ja andmepunkti mudelit. Lisaks peaksid pädevad asutused aruandluskoormuse vähendamiseks ja dubleerimise vältimiseks võimaldama oma jurisdiktsiooni alla kuuluvatel makseteenuse pakkujatel piirduda aruandluses andmepunktidega, mida ei ole varem esitatud.</w:t>
      </w:r>
    </w:p>
    <w:p w:rsidR="009713B0" w:rsidRPr="00CF7916" w:rsidRDefault="00BA19CA" w:rsidP="00BA19CA">
      <w:pPr>
        <w:pStyle w:val="ManualConsidrant"/>
        <w:rPr>
          <w:noProof/>
        </w:rPr>
      </w:pPr>
      <w:r w:rsidRPr="00BA19CA">
        <w:rPr>
          <w:noProof/>
        </w:rPr>
        <w:t>(8)</w:t>
      </w:r>
      <w:r w:rsidRPr="00BA19CA">
        <w:rPr>
          <w:noProof/>
        </w:rPr>
        <w:tab/>
      </w:r>
      <w:r w:rsidR="009713B0" w:rsidRPr="00CF7916">
        <w:rPr>
          <w:noProof/>
        </w:rPr>
        <w:t>Käesolev määrus põhineb EBA poolt komisjonile esitatud rakenduslike tehniliste standardite eelnõul.</w:t>
      </w:r>
    </w:p>
    <w:p w:rsidR="009713B0" w:rsidRPr="00CF7916" w:rsidRDefault="00BA19CA" w:rsidP="00BA19CA">
      <w:pPr>
        <w:pStyle w:val="ManualConsidrant"/>
        <w:rPr>
          <w:noProof/>
        </w:rPr>
      </w:pPr>
      <w:r w:rsidRPr="00BA19CA">
        <w:rPr>
          <w:noProof/>
        </w:rPr>
        <w:t>(9)</w:t>
      </w:r>
      <w:r w:rsidRPr="00BA19CA">
        <w:rPr>
          <w:noProof/>
        </w:rPr>
        <w:tab/>
      </w:r>
      <w:r w:rsidR="009713B0" w:rsidRPr="00CF7916">
        <w:rPr>
          <w:noProof/>
        </w:rPr>
        <w:t>EBA on läbi viinud avaliku konsultatsiooni käesoleva määruse aluseks olevate rakenduslike tehniliste standardite eelnõu kohta, analüüsinud võimalikke seonduvaid kulusid ja kasu ning küsinud nõu Euroopa Parlamendi ja nõukogu määruse (EL) nr 1093/2010 artikli 37 kohaselt loodud pangandussektori sidusrühmade kogult</w:t>
      </w:r>
      <w:r w:rsidR="009713B0" w:rsidRPr="00CF7916">
        <w:rPr>
          <w:rStyle w:val="FootnoteReference"/>
          <w:noProof/>
        </w:rPr>
        <w:footnoteReference w:id="4"/>
      </w:r>
      <w:r w:rsidR="009713B0" w:rsidRPr="00CF7916">
        <w:rPr>
          <w:noProof/>
        </w:rPr>
        <w:t>,</w:t>
      </w:r>
    </w:p>
    <w:p w:rsidR="009713B0" w:rsidRPr="00CF7916" w:rsidRDefault="009713B0" w:rsidP="009713B0">
      <w:pPr>
        <w:pStyle w:val="Formuledadoption"/>
        <w:rPr>
          <w:noProof/>
        </w:rPr>
      </w:pPr>
      <w:r w:rsidRPr="00CF7916">
        <w:rPr>
          <w:noProof/>
        </w:rPr>
        <w:t>ON VASTU VÕTNUD KÄESOLEVA MÄÄRUSE:</w:t>
      </w:r>
    </w:p>
    <w:p w:rsidR="009713B0" w:rsidRPr="00CF7916" w:rsidRDefault="009713B0" w:rsidP="009713B0">
      <w:pPr>
        <w:pStyle w:val="Titrearticle"/>
        <w:rPr>
          <w:noProof/>
        </w:rPr>
      </w:pPr>
      <w:r w:rsidRPr="00CF7916">
        <w:rPr>
          <w:noProof/>
        </w:rPr>
        <w:t>Artikkel 1</w:t>
      </w:r>
    </w:p>
    <w:p w:rsidR="009713B0" w:rsidRPr="00CF7916" w:rsidRDefault="009713B0" w:rsidP="009713B0">
      <w:pPr>
        <w:jc w:val="center"/>
        <w:rPr>
          <w:b/>
          <w:bCs/>
          <w:noProof/>
        </w:rPr>
      </w:pPr>
      <w:r w:rsidRPr="00CF7916">
        <w:rPr>
          <w:b/>
          <w:noProof/>
        </w:rPr>
        <w:t>Aruandlus tasude taseme kohta</w:t>
      </w:r>
    </w:p>
    <w:p w:rsidR="009713B0" w:rsidRPr="00CF7916" w:rsidRDefault="009713B0" w:rsidP="009713B0">
      <w:pPr>
        <w:pStyle w:val="Point0"/>
        <w:rPr>
          <w:noProof/>
        </w:rPr>
      </w:pPr>
      <w:r w:rsidRPr="00CF7916">
        <w:rPr>
          <w:noProof/>
        </w:rPr>
        <w:t>1.</w:t>
      </w:r>
      <w:r w:rsidRPr="00CF7916">
        <w:rPr>
          <w:noProof/>
        </w:rPr>
        <w:tab/>
        <w:t>Makseteenuse pakkujad esitavad aruande kreeditkorralduste, välkkreeditkorralduste ja maksekontode tasude taseme kohta, esitades I lisas toodud aruandevormides 1.1, 1.2, 2.1, 2.2 ja 3 nõutud teabe ning järgides II lisas sätestatud juhiseid.</w:t>
      </w:r>
    </w:p>
    <w:p w:rsidR="009713B0" w:rsidRPr="00CF7916" w:rsidRDefault="009713B0" w:rsidP="009713B0">
      <w:pPr>
        <w:pStyle w:val="Point0"/>
        <w:rPr>
          <w:noProof/>
        </w:rPr>
      </w:pPr>
      <w:r w:rsidRPr="00CF7916">
        <w:rPr>
          <w:noProof/>
        </w:rPr>
        <w:t>2.</w:t>
      </w:r>
      <w:r w:rsidRPr="00CF7916">
        <w:rPr>
          <w:noProof/>
        </w:rPr>
        <w:tab/>
        <w:t>Makseteenuse pakkujad esitavad aruande aasta koondandmete kohta kuni aruande esitamise aastale eelneva kalendriaasta 31. detsembrini.</w:t>
      </w:r>
    </w:p>
    <w:p w:rsidR="009713B0" w:rsidRPr="00CF7916" w:rsidRDefault="009713B0" w:rsidP="009713B0">
      <w:pPr>
        <w:pStyle w:val="Point0"/>
        <w:rPr>
          <w:noProof/>
        </w:rPr>
      </w:pPr>
      <w:r w:rsidRPr="00CF7916">
        <w:rPr>
          <w:noProof/>
        </w:rPr>
        <w:t>3.</w:t>
      </w:r>
      <w:r w:rsidRPr="00CF7916">
        <w:rPr>
          <w:noProof/>
        </w:rPr>
        <w:tab/>
        <w:t>Erandina lõikest 2 sisaldab esimene ühtlustatud aruanne koondandmeid iga aruande esitamisele eelneva aasta kohta, alates 2022. aastast ajavahemikul 26. oktoober 2022 – 31. detsember 2022.</w:t>
      </w:r>
    </w:p>
    <w:p w:rsidR="009713B0" w:rsidRPr="00CF7916" w:rsidRDefault="009713B0" w:rsidP="009713B0">
      <w:pPr>
        <w:pStyle w:val="Titrearticle"/>
        <w:rPr>
          <w:noProof/>
        </w:rPr>
      </w:pPr>
      <w:r w:rsidRPr="00CF7916">
        <w:rPr>
          <w:noProof/>
        </w:rPr>
        <w:t>Artikkel 2</w:t>
      </w:r>
    </w:p>
    <w:p w:rsidR="009713B0" w:rsidRPr="00CF7916" w:rsidRDefault="009713B0" w:rsidP="009713B0">
      <w:pPr>
        <w:jc w:val="center"/>
        <w:rPr>
          <w:b/>
          <w:bCs/>
          <w:noProof/>
        </w:rPr>
      </w:pPr>
      <w:r w:rsidRPr="00CF7916">
        <w:rPr>
          <w:b/>
          <w:noProof/>
        </w:rPr>
        <w:t>Aruanne tagasilükatud välkkreeditkorralduste osakaalu ja võrdlusperioodide kohta</w:t>
      </w:r>
    </w:p>
    <w:p w:rsidR="009713B0" w:rsidRPr="00CF7916" w:rsidRDefault="009713B0" w:rsidP="009713B0">
      <w:pPr>
        <w:pStyle w:val="Point0"/>
        <w:rPr>
          <w:noProof/>
        </w:rPr>
      </w:pPr>
      <w:r w:rsidRPr="00CF7916">
        <w:rPr>
          <w:noProof/>
        </w:rPr>
        <w:t>1.</w:t>
      </w:r>
      <w:r w:rsidRPr="00CF7916">
        <w:rPr>
          <w:noProof/>
        </w:rPr>
        <w:tab/>
        <w:t>Maksuteenuse pakkujad esitavad aruande sihipäraste piiravate finantsmeetmete kohaldamise tõttu tagasi lükatud välkkreeditkorralduste osakaalu kohta, millele on osutatud määruse (EL) nr 260/2012 artikli 15 lõikes 3, sealhulgas eraldi andmed riigisiseste ja piiriüleste maksetehingute kohta, esitades I lisas toodud aruandevormis 4 nõutud teabe ning järgides II lisas sätestatud juhiseid.</w:t>
      </w:r>
    </w:p>
    <w:p w:rsidR="009713B0" w:rsidRPr="00CF7916" w:rsidRDefault="009713B0" w:rsidP="009713B0">
      <w:pPr>
        <w:pStyle w:val="Point0"/>
        <w:rPr>
          <w:noProof/>
        </w:rPr>
      </w:pPr>
      <w:r w:rsidRPr="00CF7916">
        <w:rPr>
          <w:noProof/>
        </w:rPr>
        <w:t>2.</w:t>
      </w:r>
      <w:r w:rsidRPr="00CF7916">
        <w:rPr>
          <w:noProof/>
        </w:rPr>
        <w:tab/>
        <w:t>Aruanne sisaldab tagasilükkamiste arvu aruande esitamise aastale eelneval kalendriaastal.</w:t>
      </w:r>
    </w:p>
    <w:p w:rsidR="00AD7B15" w:rsidRPr="00CF7916" w:rsidRDefault="009713B0" w:rsidP="009713B0">
      <w:pPr>
        <w:pStyle w:val="Point0"/>
        <w:rPr>
          <w:noProof/>
        </w:rPr>
      </w:pPr>
      <w:r w:rsidRPr="00CF7916">
        <w:rPr>
          <w:noProof/>
        </w:rPr>
        <w:t>3.</w:t>
      </w:r>
      <w:r w:rsidRPr="00CF7916">
        <w:rPr>
          <w:noProof/>
        </w:rPr>
        <w:tab/>
        <w:t>Erandina lõikest 2 sisaldab esimene ühtlustatud aruanne täidetud aruandevorme, milles on toodud tagasilükkamiste arv iga esitamisele eelneva aasta kohta, alates 2022. aastast ajavahemikul 26. oktoober 2022 – 31. detsember 2022.</w:t>
      </w:r>
    </w:p>
    <w:p w:rsidR="00AD7B15" w:rsidRPr="00CF7916" w:rsidRDefault="00AD7B15">
      <w:pPr>
        <w:spacing w:before="0" w:after="200" w:line="276" w:lineRule="auto"/>
        <w:jc w:val="left"/>
        <w:rPr>
          <w:noProof/>
        </w:rPr>
      </w:pPr>
      <w:r w:rsidRPr="00CF7916">
        <w:rPr>
          <w:noProof/>
        </w:rPr>
        <w:br w:type="page"/>
      </w:r>
    </w:p>
    <w:p w:rsidR="009713B0" w:rsidRPr="00CF7916" w:rsidRDefault="009713B0" w:rsidP="009713B0">
      <w:pPr>
        <w:pStyle w:val="Titrearticle"/>
        <w:rPr>
          <w:noProof/>
        </w:rPr>
      </w:pPr>
      <w:r w:rsidRPr="00CF7916">
        <w:rPr>
          <w:noProof/>
        </w:rPr>
        <w:t>Artikkel 3</w:t>
      </w:r>
    </w:p>
    <w:p w:rsidR="009713B0" w:rsidRPr="00CF7916" w:rsidRDefault="009713B0" w:rsidP="009713B0">
      <w:pPr>
        <w:jc w:val="center"/>
        <w:rPr>
          <w:b/>
          <w:bCs/>
          <w:noProof/>
        </w:rPr>
      </w:pPr>
      <w:r w:rsidRPr="00CF7916">
        <w:rPr>
          <w:b/>
          <w:noProof/>
        </w:rPr>
        <w:t>Andmevahetuse vorming ja esitatavatele andmetele lisatav teave</w:t>
      </w:r>
    </w:p>
    <w:p w:rsidR="009713B0" w:rsidRPr="00CF7916" w:rsidRDefault="009713B0" w:rsidP="009713B0">
      <w:pPr>
        <w:rPr>
          <w:noProof/>
        </w:rPr>
      </w:pPr>
      <w:r w:rsidRPr="00CF7916">
        <w:rPr>
          <w:noProof/>
        </w:rPr>
        <w:t>Makseteenuse pakkujad esitavad käesoleva määruse artiklites 1 ja 2 osutatud teabe pädevate asutuste nõutud andmevahetuse vormingus ja esitamiskujul ning järgivad Euroopa Pangandusjärelevalve veebilehel leitavate andmepunkti mudeli ja valideerimise valemite andmepunkti määratlust. Makseteenuse pakkujad järgivad järgmisi põhimõtteid:</w:t>
      </w:r>
    </w:p>
    <w:p w:rsidR="009713B0" w:rsidRPr="00CF7916" w:rsidRDefault="00BA19CA" w:rsidP="00BA19CA">
      <w:pPr>
        <w:pStyle w:val="Point0"/>
        <w:rPr>
          <w:noProof/>
        </w:rPr>
      </w:pPr>
      <w:r w:rsidRPr="00BA19CA">
        <w:rPr>
          <w:noProof/>
        </w:rPr>
        <w:t>(a)</w:t>
      </w:r>
      <w:r w:rsidRPr="00BA19CA">
        <w:rPr>
          <w:noProof/>
        </w:rPr>
        <w:tab/>
      </w:r>
      <w:r w:rsidR="009713B0" w:rsidRPr="00CF7916">
        <w:rPr>
          <w:noProof/>
        </w:rPr>
        <w:t>teavet, mida ei ole nõutud või mis ei ole asjakohane, ei lisata esitatavatele andmetele;</w:t>
      </w:r>
    </w:p>
    <w:p w:rsidR="009713B0" w:rsidRPr="00CF7916" w:rsidRDefault="00BA19CA" w:rsidP="00BA19CA">
      <w:pPr>
        <w:pStyle w:val="Point0"/>
        <w:rPr>
          <w:noProof/>
        </w:rPr>
      </w:pPr>
      <w:r w:rsidRPr="00BA19CA">
        <w:rPr>
          <w:noProof/>
        </w:rPr>
        <w:t>(b)</w:t>
      </w:r>
      <w:r w:rsidRPr="00BA19CA">
        <w:rPr>
          <w:noProof/>
        </w:rPr>
        <w:tab/>
      </w:r>
      <w:r w:rsidR="009713B0" w:rsidRPr="00CF7916">
        <w:rPr>
          <w:noProof/>
        </w:rPr>
        <w:t>numbrilised väärtused esitatakse järgmisel viisil:</w:t>
      </w:r>
    </w:p>
    <w:p w:rsidR="009713B0" w:rsidRPr="00CF7916" w:rsidRDefault="0055071E" w:rsidP="009713B0">
      <w:pPr>
        <w:pStyle w:val="Point1"/>
        <w:rPr>
          <w:noProof/>
        </w:rPr>
      </w:pPr>
      <w:r w:rsidRPr="00CF7916">
        <w:rPr>
          <w:noProof/>
        </w:rPr>
        <w:t>i)</w:t>
      </w:r>
      <w:r w:rsidRPr="00CF7916">
        <w:rPr>
          <w:noProof/>
        </w:rPr>
        <w:tab/>
        <w:t>makseteenuse pakkujad esitavad „rahalise“ andmetüübi andmepunktid vähemalt kümne tuhande ühiku täpsusega;</w:t>
      </w:r>
    </w:p>
    <w:p w:rsidR="009713B0" w:rsidRPr="00CF7916" w:rsidRDefault="0055071E" w:rsidP="009713B0">
      <w:pPr>
        <w:pStyle w:val="Point1"/>
        <w:rPr>
          <w:noProof/>
        </w:rPr>
      </w:pPr>
      <w:r w:rsidRPr="00CF7916">
        <w:rPr>
          <w:noProof/>
        </w:rPr>
        <w:t>ii)</w:t>
      </w:r>
      <w:r w:rsidRPr="00CF7916">
        <w:rPr>
          <w:noProof/>
        </w:rPr>
        <w:tab/>
        <w:t>makseteenuse pakkujad esitavad „täisarvulise“ andmetüübi andmepunktid ilma kümnendkohtadeta, täisühiku täpsusega.</w:t>
      </w:r>
    </w:p>
    <w:p w:rsidR="009713B0" w:rsidRPr="00CF7916" w:rsidRDefault="009713B0" w:rsidP="009713B0">
      <w:pPr>
        <w:pStyle w:val="Titrearticle"/>
        <w:rPr>
          <w:noProof/>
        </w:rPr>
      </w:pPr>
      <w:r w:rsidRPr="00CF7916">
        <w:rPr>
          <w:noProof/>
        </w:rPr>
        <w:t>Artikkel 4</w:t>
      </w:r>
    </w:p>
    <w:p w:rsidR="009713B0" w:rsidRPr="00CF7916" w:rsidRDefault="009713B0" w:rsidP="009713B0">
      <w:pPr>
        <w:jc w:val="center"/>
        <w:rPr>
          <w:noProof/>
        </w:rPr>
      </w:pPr>
      <w:r w:rsidRPr="00CF7916">
        <w:rPr>
          <w:b/>
          <w:noProof/>
        </w:rPr>
        <w:t>Jõustumine</w:t>
      </w:r>
    </w:p>
    <w:p w:rsidR="009713B0" w:rsidRPr="00CF7916" w:rsidRDefault="009713B0" w:rsidP="009713B0">
      <w:pPr>
        <w:rPr>
          <w:noProof/>
        </w:rPr>
      </w:pPr>
      <w:r w:rsidRPr="00CF7916">
        <w:rPr>
          <w:noProof/>
        </w:rPr>
        <w:t xml:space="preserve">Käesolev määrus jõustub kahekümnendal päeval pärast selle avaldamist </w:t>
      </w:r>
      <w:r w:rsidRPr="00CF7916">
        <w:rPr>
          <w:i/>
          <w:noProof/>
        </w:rPr>
        <w:t>Euroopa Liidu Teatajas</w:t>
      </w:r>
      <w:r w:rsidRPr="00CF7916">
        <w:rPr>
          <w:noProof/>
        </w:rPr>
        <w:t>.</w:t>
      </w:r>
    </w:p>
    <w:p w:rsidR="009713B0" w:rsidRPr="00CF7916" w:rsidRDefault="009713B0" w:rsidP="009713B0">
      <w:pPr>
        <w:pStyle w:val="Applicationdirecte"/>
        <w:rPr>
          <w:noProof/>
        </w:rPr>
      </w:pPr>
      <w:r w:rsidRPr="00CF7916">
        <w:rPr>
          <w:noProof/>
        </w:rPr>
        <w:t>Käesolev määrus on tervikuna siduv ja vahetult kohaldatav kõikides liikmesriikides.</w:t>
      </w:r>
    </w:p>
    <w:p w:rsidR="009713B0" w:rsidRPr="00CF7916" w:rsidRDefault="003A3023" w:rsidP="00594D4C">
      <w:pPr>
        <w:pStyle w:val="Fait"/>
        <w:rPr>
          <w:noProof/>
        </w:rPr>
      </w:pPr>
      <w:r>
        <w:rPr>
          <w:noProof/>
        </w:rPr>
        <w:t>Brüssel, 1.10.2025</w:t>
      </w:r>
    </w:p>
    <w:p w:rsidR="009713B0" w:rsidRPr="00CF7916" w:rsidRDefault="009713B0" w:rsidP="00594D4C">
      <w:pPr>
        <w:pStyle w:val="Institutionquisigne"/>
        <w:rPr>
          <w:noProof/>
        </w:rPr>
      </w:pPr>
      <w:r w:rsidRPr="00CF7916">
        <w:rPr>
          <w:noProof/>
        </w:rPr>
        <w:tab/>
        <w:t>Komisjoni nimel</w:t>
      </w:r>
    </w:p>
    <w:p w:rsidR="00FE7FED" w:rsidRPr="00CF7916" w:rsidRDefault="008A23D7" w:rsidP="009713B0">
      <w:pPr>
        <w:pStyle w:val="Personnequisigne"/>
        <w:rPr>
          <w:noProof/>
        </w:rPr>
      </w:pPr>
      <w:r>
        <w:rPr>
          <w:noProof/>
        </w:rPr>
        <w:tab/>
        <w:t>president</w:t>
      </w:r>
      <w:r>
        <w:rPr>
          <w:noProof/>
        </w:rPr>
        <w:br/>
      </w:r>
      <w:r>
        <w:rPr>
          <w:noProof/>
        </w:rPr>
        <w:tab/>
        <w:t>Ursula VON DER LEYEN</w:t>
      </w:r>
    </w:p>
    <w:sectPr w:rsidR="00FE7FED" w:rsidRPr="00CF7916" w:rsidSect="00643AE8">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E8" w:rsidRPr="00643AE8" w:rsidRDefault="00643AE8" w:rsidP="00643AE8">
    <w:pPr>
      <w:pStyle w:val="Footer"/>
      <w:rPr>
        <w:rFonts w:ascii="Arial" w:hAnsi="Arial" w:cs="Arial"/>
        <w:b/>
        <w:sz w:val="48"/>
      </w:rPr>
    </w:pPr>
    <w:r w:rsidRPr="00643AE8">
      <w:rPr>
        <w:rFonts w:ascii="Arial" w:hAnsi="Arial" w:cs="Arial"/>
        <w:b/>
        <w:sz w:val="48"/>
      </w:rPr>
      <w:t>ET</w:t>
    </w:r>
    <w:r w:rsidRPr="00643AE8">
      <w:rPr>
        <w:rFonts w:ascii="Arial" w:hAnsi="Arial" w:cs="Arial"/>
        <w:b/>
        <w:sz w:val="48"/>
      </w:rPr>
      <w:tab/>
    </w:r>
    <w:r w:rsidRPr="00643AE8">
      <w:rPr>
        <w:rFonts w:ascii="Arial" w:hAnsi="Arial" w:cs="Arial"/>
        <w:b/>
        <w:sz w:val="48"/>
      </w:rPr>
      <w:tab/>
    </w:r>
    <w:r w:rsidRPr="00643AE8">
      <w:tab/>
    </w:r>
    <w:r w:rsidRPr="00643AE8">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E8" w:rsidRPr="00643AE8" w:rsidRDefault="00643AE8" w:rsidP="00643AE8">
    <w:pPr>
      <w:pStyle w:val="Footer"/>
      <w:rPr>
        <w:rFonts w:ascii="Arial" w:hAnsi="Arial" w:cs="Arial"/>
        <w:b/>
        <w:sz w:val="48"/>
      </w:rPr>
    </w:pPr>
    <w:r w:rsidRPr="00643AE8">
      <w:rPr>
        <w:rFonts w:ascii="Arial" w:hAnsi="Arial" w:cs="Arial"/>
        <w:b/>
        <w:sz w:val="48"/>
      </w:rPr>
      <w:t>ET</w:t>
    </w:r>
    <w:r w:rsidRPr="00643AE8">
      <w:rPr>
        <w:rFonts w:ascii="Arial" w:hAnsi="Arial" w:cs="Arial"/>
        <w:b/>
        <w:sz w:val="48"/>
      </w:rPr>
      <w:tab/>
    </w:r>
    <w:r w:rsidRPr="00643AE8">
      <w:rPr>
        <w:rFonts w:ascii="Arial" w:hAnsi="Arial" w:cs="Arial"/>
        <w:b/>
        <w:sz w:val="48"/>
      </w:rPr>
      <w:tab/>
    </w:r>
    <w:r w:rsidRPr="00643AE8">
      <w:tab/>
    </w:r>
    <w:r w:rsidRPr="00643AE8">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E8" w:rsidRDefault="00643A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E8" w:rsidRPr="00643AE8" w:rsidRDefault="00643AE8" w:rsidP="00643AE8">
    <w:pPr>
      <w:pStyle w:val="Footer"/>
      <w:rPr>
        <w:rFonts w:ascii="Arial" w:hAnsi="Arial" w:cs="Arial"/>
        <w:b/>
        <w:sz w:val="48"/>
      </w:rPr>
    </w:pPr>
    <w:r w:rsidRPr="00643AE8">
      <w:rPr>
        <w:rFonts w:ascii="Arial" w:hAnsi="Arial" w:cs="Arial"/>
        <w:b/>
        <w:sz w:val="48"/>
      </w:rPr>
      <w:t>ET</w:t>
    </w:r>
    <w:r w:rsidRPr="00643AE8">
      <w:rPr>
        <w:rFonts w:ascii="Arial" w:hAnsi="Arial" w:cs="Arial"/>
        <w:b/>
        <w:sz w:val="48"/>
      </w:rPr>
      <w:tab/>
    </w:r>
    <w:r>
      <w:fldChar w:fldCharType="begin"/>
    </w:r>
    <w:r>
      <w:instrText xml:space="preserve"> PAGE  \* MERGEFORMAT </w:instrText>
    </w:r>
    <w:r>
      <w:fldChar w:fldCharType="separate"/>
    </w:r>
    <w:r w:rsidR="00491954">
      <w:rPr>
        <w:noProof/>
      </w:rPr>
      <w:t>4</w:t>
    </w:r>
    <w:r>
      <w:fldChar w:fldCharType="end"/>
    </w:r>
    <w:r>
      <w:tab/>
    </w:r>
    <w:r w:rsidRPr="00643AE8">
      <w:tab/>
    </w:r>
    <w:r w:rsidRPr="00643AE8">
      <w:rPr>
        <w:rFonts w:ascii="Arial" w:hAnsi="Arial" w:cs="Arial"/>
        <w:b/>
        <w:sz w:val="48"/>
      </w:rPr>
      <w:t>ET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E8" w:rsidRDefault="00643AE8" w:rsidP="00643A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ELT L 94, 30.3.2012, lk 22, ELI: http://data.europa.eu/eli/reg/2012/260/oj. </w:t>
      </w:r>
    </w:p>
  </w:footnote>
  <w:footnote w:id="3">
    <w:p w:rsidR="00AD7B15" w:rsidRPr="00AD7B15" w:rsidRDefault="00AD7B15" w:rsidP="00D05942">
      <w:pPr>
        <w:pStyle w:val="FootnoteText"/>
        <w:ind w:left="0" w:firstLine="0"/>
      </w:pPr>
      <w:r>
        <w:rPr>
          <w:rStyle w:val="FootnoteReference"/>
        </w:rPr>
        <w:footnoteRef/>
      </w:r>
      <w:r>
        <w:tab/>
        <w:t>Euroopa Parlamendi ja nõukogu 13. märtsi 2024. aasta määrus (EL) 2024/886, millega muudetakse määrusi (EL) nr 260/2012 ja (EL) 2021/1230 ning direktiive 98/26/EÜ ja (EL) 2015/2366 eurodes välkkreeditkorralduste osas (ELT L, 2024/886, 19.3.2024, ELI: http://data.europa.eu/eli/reg/2024/886/oj).</w:t>
      </w:r>
    </w:p>
  </w:footnote>
  <w:footnote w:id="4">
    <w:p w:rsidR="009713B0" w:rsidRPr="00AD7B15" w:rsidRDefault="009713B0" w:rsidP="009713B0">
      <w:pPr>
        <w:pStyle w:val="FootnoteText"/>
      </w:pPr>
      <w:r>
        <w:rPr>
          <w:rStyle w:val="FootnoteReference"/>
        </w:rPr>
        <w:footnoteRef/>
      </w:r>
      <w:r>
        <w:tab/>
        <w:t>Euroopa Parlamendi ja nõukogu 24. novembri 2010. aasta määrus (EL) nr 1093/2010, millega asutatakse Euroopa Järelevalveasutus (Euroopa Pangandusjärelevalve), muudetakse otsust nr 716/2009/EÜ ning tunnistatakse kehtetuks komisjoni otsus 2009/78/EÜ (ELT L 331, 15.12.2010, lk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E8" w:rsidRDefault="00643A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E8" w:rsidRDefault="00643A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5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7790FA3-627F-4C00-B5B0-8EC42A137D19"/>
    <w:docVar w:name="LW_COVERPAGE_TYPE" w:val="1"/>
    <w:docVar w:name="LW_CreatedUtc" w:val="2025-02-25T08:25:43.0388982Z"/>
    <w:docVar w:name="LW_CROSSREFERENCE" w:val="&lt;UNUSED&gt;"/>
    <w:docVar w:name="LW_DATE.ADOPT.CP" w:val="1.10.2025,"/>
    <w:docVar w:name="LW_DATE.ADOPT.CP_DATEFORMAT" w:val="%DATE%,"/>
    <w:docVar w:name="LW_DATE.ADOPT.CP_ISODATE" w:val="2025-10-01"/>
    <w:docVar w:name="LW_DocType" w:val="COM"/>
    <w:docVar w:name="LW_EMISSION" w:val="1.10.2025"/>
    <w:docVar w:name="LW_EMISSION_ISODATE" w:val="2025-10-01"/>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lt;UNUSED&g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ga kehtestatakse rakenduslikud tehnilised standardid Euroopa Parlamendi ja nõukogu määruse (EL) nr 260/2012 kohaldamiseks seoses ühtsete aruandevormide, juhiste ja metoodikaga aruandluse jaoks kreeditkorralduste, välkkreeditkorralduste ja maksekontode tasude taseme ning tagasilükatud tehingute osakaalu kohta"/>
    <w:docVar w:name="LW_TYPE.DOC.CP" w:val="KOMISJONI RAKENDUSMÄÄRUS (EL) \u8230?/\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436B"/>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61BA"/>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6305B"/>
    <w:rsid w:val="00270578"/>
    <w:rsid w:val="00281B09"/>
    <w:rsid w:val="00281C35"/>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3023"/>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4E92"/>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1954"/>
    <w:rsid w:val="004936D2"/>
    <w:rsid w:val="00497ECB"/>
    <w:rsid w:val="004A4894"/>
    <w:rsid w:val="004A7134"/>
    <w:rsid w:val="004B03D1"/>
    <w:rsid w:val="004B16E5"/>
    <w:rsid w:val="004B2FFA"/>
    <w:rsid w:val="004C15AA"/>
    <w:rsid w:val="004C5916"/>
    <w:rsid w:val="004C60B0"/>
    <w:rsid w:val="004C635B"/>
    <w:rsid w:val="004C7600"/>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22AB"/>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720"/>
    <w:rsid w:val="00571DF5"/>
    <w:rsid w:val="00574D2C"/>
    <w:rsid w:val="00576696"/>
    <w:rsid w:val="00582116"/>
    <w:rsid w:val="00594D4C"/>
    <w:rsid w:val="00596FA4"/>
    <w:rsid w:val="005A206D"/>
    <w:rsid w:val="005A31F7"/>
    <w:rsid w:val="005A5967"/>
    <w:rsid w:val="005B1EB6"/>
    <w:rsid w:val="005B4B70"/>
    <w:rsid w:val="005B5F79"/>
    <w:rsid w:val="005C1F32"/>
    <w:rsid w:val="005C23A8"/>
    <w:rsid w:val="005C2C67"/>
    <w:rsid w:val="005C58BF"/>
    <w:rsid w:val="005C5BEE"/>
    <w:rsid w:val="005C77E3"/>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3AE8"/>
    <w:rsid w:val="006443C4"/>
    <w:rsid w:val="0064496B"/>
    <w:rsid w:val="006454FF"/>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3D7"/>
    <w:rsid w:val="008A2914"/>
    <w:rsid w:val="008B0DB8"/>
    <w:rsid w:val="008B6C23"/>
    <w:rsid w:val="008C0AC8"/>
    <w:rsid w:val="008C1783"/>
    <w:rsid w:val="008C258F"/>
    <w:rsid w:val="008C29E2"/>
    <w:rsid w:val="008C2B35"/>
    <w:rsid w:val="008C386A"/>
    <w:rsid w:val="008C4818"/>
    <w:rsid w:val="008C486C"/>
    <w:rsid w:val="008C4B71"/>
    <w:rsid w:val="008C5166"/>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B5DAD"/>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47A"/>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19CA"/>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0A8A"/>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77061"/>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6BFD"/>
    <w:rsid w:val="00CF7490"/>
    <w:rsid w:val="00CF787A"/>
    <w:rsid w:val="00CF7916"/>
    <w:rsid w:val="00D029AA"/>
    <w:rsid w:val="00D05942"/>
    <w:rsid w:val="00D106E8"/>
    <w:rsid w:val="00D12544"/>
    <w:rsid w:val="00D13C79"/>
    <w:rsid w:val="00D14832"/>
    <w:rsid w:val="00D15205"/>
    <w:rsid w:val="00D170AB"/>
    <w:rsid w:val="00D20381"/>
    <w:rsid w:val="00D21FD8"/>
    <w:rsid w:val="00D234CB"/>
    <w:rsid w:val="00D2656D"/>
    <w:rsid w:val="00D27B59"/>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0345"/>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579AB"/>
    <w:rsid w:val="00E60348"/>
    <w:rsid w:val="00E6043D"/>
    <w:rsid w:val="00E60C11"/>
    <w:rsid w:val="00E61C60"/>
    <w:rsid w:val="00E73351"/>
    <w:rsid w:val="00E74596"/>
    <w:rsid w:val="00E7545B"/>
    <w:rsid w:val="00E80981"/>
    <w:rsid w:val="00E81E68"/>
    <w:rsid w:val="00E84AAA"/>
    <w:rsid w:val="00E918B1"/>
    <w:rsid w:val="00E922D8"/>
    <w:rsid w:val="00E95249"/>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pPr>
      <w:keepNext/>
      <w:numPr>
        <w:numId w:val="1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et-EE"/>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643AE8"/>
    <w:rPr>
      <w:rFonts w:ascii="Times New Roman" w:hAnsi="Times New Roman" w:cs="Times New Roman"/>
      <w:sz w:val="24"/>
      <w:lang w:val="et-EE"/>
    </w:rPr>
  </w:style>
  <w:style w:type="character" w:customStyle="1" w:styleId="FooterChar">
    <w:name w:val="Footer Char"/>
    <w:basedOn w:val="DefaultParagraphFont"/>
    <w:link w:val="Footer"/>
    <w:uiPriority w:val="99"/>
    <w:rsid w:val="00643AE8"/>
    <w:rPr>
      <w:rFonts w:ascii="Times New Roman" w:hAnsi="Times New Roman" w:cs="Times New Roman"/>
      <w:sz w:val="24"/>
      <w:lang w:val="et-E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t-E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t-E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t-E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t-E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t-E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43AE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43AE8"/>
    <w:pPr>
      <w:spacing w:before="0"/>
      <w:jc w:val="right"/>
    </w:pPr>
    <w:rPr>
      <w:sz w:val="28"/>
    </w:rPr>
  </w:style>
  <w:style w:type="paragraph" w:customStyle="1" w:styleId="FooterSensitivity">
    <w:name w:val="Footer Sensitivity"/>
    <w:basedOn w:val="Normal"/>
    <w:rsid w:val="00643AE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8"/>
      </w:numPr>
    </w:pPr>
  </w:style>
  <w:style w:type="paragraph" w:customStyle="1" w:styleId="Tiret1">
    <w:name w:val="Tiret 1"/>
    <w:basedOn w:val="Point1"/>
    <w:pPr>
      <w:numPr>
        <w:numId w:val="9"/>
      </w:numPr>
    </w:pPr>
  </w:style>
  <w:style w:type="paragraph" w:customStyle="1" w:styleId="Tiret2">
    <w:name w:val="Tiret 2"/>
    <w:basedOn w:val="Point2"/>
    <w:pPr>
      <w:numPr>
        <w:numId w:val="10"/>
      </w:numPr>
    </w:pPr>
  </w:style>
  <w:style w:type="paragraph" w:customStyle="1" w:styleId="Tiret3">
    <w:name w:val="Tiret 3"/>
    <w:basedOn w:val="Point3"/>
    <w:pPr>
      <w:numPr>
        <w:numId w:val="11"/>
      </w:numPr>
    </w:pPr>
  </w:style>
  <w:style w:type="paragraph" w:customStyle="1" w:styleId="Tiret4">
    <w:name w:val="Tiret 4"/>
    <w:basedOn w:val="Point4"/>
    <w:pPr>
      <w:numPr>
        <w:numId w:val="12"/>
      </w:numPr>
    </w:pPr>
  </w:style>
  <w:style w:type="paragraph" w:customStyle="1" w:styleId="Tiret5">
    <w:name w:val="Tiret 5"/>
    <w:basedOn w:val="Point5"/>
    <w:pPr>
      <w:numPr>
        <w:numId w:val="1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4"/>
      </w:numPr>
    </w:pPr>
  </w:style>
  <w:style w:type="paragraph" w:customStyle="1" w:styleId="NumPar2">
    <w:name w:val="NumPar 2"/>
    <w:basedOn w:val="Normal"/>
    <w:next w:val="Text1"/>
    <w:pPr>
      <w:numPr>
        <w:ilvl w:val="1"/>
        <w:numId w:val="14"/>
      </w:numPr>
    </w:pPr>
  </w:style>
  <w:style w:type="paragraph" w:customStyle="1" w:styleId="NumPar3">
    <w:name w:val="NumPar 3"/>
    <w:basedOn w:val="Normal"/>
    <w:next w:val="Text1"/>
    <w:pPr>
      <w:numPr>
        <w:ilvl w:val="2"/>
        <w:numId w:val="14"/>
      </w:numPr>
    </w:pPr>
  </w:style>
  <w:style w:type="paragraph" w:customStyle="1" w:styleId="NumPar4">
    <w:name w:val="NumPar 4"/>
    <w:basedOn w:val="Normal"/>
    <w:next w:val="Text1"/>
    <w:pPr>
      <w:numPr>
        <w:ilvl w:val="3"/>
        <w:numId w:val="14"/>
      </w:numPr>
    </w:pPr>
  </w:style>
  <w:style w:type="paragraph" w:customStyle="1" w:styleId="NumPar5">
    <w:name w:val="NumPar 5"/>
    <w:basedOn w:val="Normal"/>
    <w:next w:val="Text2"/>
    <w:pPr>
      <w:numPr>
        <w:ilvl w:val="4"/>
        <w:numId w:val="14"/>
      </w:numPr>
    </w:pPr>
  </w:style>
  <w:style w:type="paragraph" w:customStyle="1" w:styleId="NumPar6">
    <w:name w:val="NumPar 6"/>
    <w:basedOn w:val="Normal"/>
    <w:next w:val="Text2"/>
    <w:pPr>
      <w:numPr>
        <w:ilvl w:val="5"/>
        <w:numId w:val="14"/>
      </w:numPr>
    </w:pPr>
  </w:style>
  <w:style w:type="paragraph" w:customStyle="1" w:styleId="NumPar7">
    <w:name w:val="NumPar 7"/>
    <w:basedOn w:val="Normal"/>
    <w:next w:val="Text2"/>
    <w:pPr>
      <w:numPr>
        <w:ilvl w:val="6"/>
        <w:numId w:val="1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6"/>
      </w:numPr>
    </w:pPr>
  </w:style>
  <w:style w:type="paragraph" w:customStyle="1" w:styleId="Point1number">
    <w:name w:val="Point 1 (number)"/>
    <w:basedOn w:val="Normal"/>
    <w:pPr>
      <w:numPr>
        <w:ilvl w:val="2"/>
        <w:numId w:val="16"/>
      </w:numPr>
    </w:pPr>
  </w:style>
  <w:style w:type="paragraph" w:customStyle="1" w:styleId="Point2number">
    <w:name w:val="Point 2 (number)"/>
    <w:basedOn w:val="Normal"/>
    <w:pPr>
      <w:numPr>
        <w:ilvl w:val="4"/>
        <w:numId w:val="16"/>
      </w:numPr>
    </w:pPr>
  </w:style>
  <w:style w:type="paragraph" w:customStyle="1" w:styleId="Point3number">
    <w:name w:val="Point 3 (number)"/>
    <w:basedOn w:val="Normal"/>
    <w:pPr>
      <w:numPr>
        <w:ilvl w:val="6"/>
        <w:numId w:val="16"/>
      </w:numPr>
    </w:pPr>
  </w:style>
  <w:style w:type="paragraph" w:customStyle="1" w:styleId="Point0letter">
    <w:name w:val="Point 0 (letter)"/>
    <w:basedOn w:val="Normal"/>
    <w:pPr>
      <w:numPr>
        <w:ilvl w:val="1"/>
        <w:numId w:val="16"/>
      </w:numPr>
    </w:pPr>
  </w:style>
  <w:style w:type="paragraph" w:customStyle="1" w:styleId="Point1letter">
    <w:name w:val="Point 1 (letter)"/>
    <w:basedOn w:val="Normal"/>
    <w:pPr>
      <w:numPr>
        <w:ilvl w:val="3"/>
        <w:numId w:val="16"/>
      </w:numPr>
    </w:pPr>
  </w:style>
  <w:style w:type="paragraph" w:customStyle="1" w:styleId="Point2letter">
    <w:name w:val="Point 2 (letter)"/>
    <w:basedOn w:val="Normal"/>
    <w:pPr>
      <w:numPr>
        <w:ilvl w:val="5"/>
        <w:numId w:val="16"/>
      </w:numPr>
    </w:pPr>
  </w:style>
  <w:style w:type="paragraph" w:customStyle="1" w:styleId="Point3letter">
    <w:name w:val="Point 3 (letter)"/>
    <w:basedOn w:val="Normal"/>
    <w:pPr>
      <w:numPr>
        <w:ilvl w:val="7"/>
        <w:numId w:val="16"/>
      </w:numPr>
    </w:pPr>
  </w:style>
  <w:style w:type="paragraph" w:customStyle="1" w:styleId="Point4letter">
    <w:name w:val="Point 4 (letter)"/>
    <w:basedOn w:val="Normal"/>
    <w:pPr>
      <w:numPr>
        <w:ilvl w:val="8"/>
        <w:numId w:val="16"/>
      </w:numPr>
    </w:pPr>
  </w:style>
  <w:style w:type="paragraph" w:customStyle="1" w:styleId="Bullet0">
    <w:name w:val="Bullet 0"/>
    <w:basedOn w:val="Normal"/>
    <w:pPr>
      <w:numPr>
        <w:numId w:val="17"/>
      </w:numPr>
    </w:pPr>
  </w:style>
  <w:style w:type="paragraph" w:customStyle="1" w:styleId="Bullet1">
    <w:name w:val="Bullet 1"/>
    <w:basedOn w:val="Normal"/>
    <w:pPr>
      <w:numPr>
        <w:numId w:val="18"/>
      </w:numPr>
    </w:pPr>
  </w:style>
  <w:style w:type="paragraph" w:customStyle="1" w:styleId="Bullet2">
    <w:name w:val="Bullet 2"/>
    <w:basedOn w:val="Normal"/>
    <w:pPr>
      <w:numPr>
        <w:numId w:val="19"/>
      </w:numPr>
    </w:pPr>
  </w:style>
  <w:style w:type="paragraph" w:customStyle="1" w:styleId="Bullet3">
    <w:name w:val="Bullet 3"/>
    <w:basedOn w:val="Normal"/>
    <w:pPr>
      <w:numPr>
        <w:numId w:val="20"/>
      </w:numPr>
    </w:pPr>
  </w:style>
  <w:style w:type="paragraph" w:customStyle="1" w:styleId="Bullet4">
    <w:name w:val="Bullet 4"/>
    <w:basedOn w:val="Normal"/>
    <w:pPr>
      <w:numPr>
        <w:numId w:val="2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643AE8"/>
    <w:pPr>
      <w:tabs>
        <w:tab w:val="center" w:pos="4535"/>
        <w:tab w:val="right" w:pos="9071"/>
      </w:tabs>
      <w:spacing w:before="0"/>
    </w:pPr>
  </w:style>
  <w:style w:type="paragraph" w:customStyle="1" w:styleId="HeaderLandscape">
    <w:name w:val="HeaderLandscape"/>
    <w:basedOn w:val="Normal"/>
    <w:rsid w:val="00643AE8"/>
    <w:pPr>
      <w:tabs>
        <w:tab w:val="center" w:pos="7285"/>
        <w:tab w:val="right" w:pos="14003"/>
      </w:tabs>
      <w:spacing w:before="0"/>
    </w:pPr>
  </w:style>
  <w:style w:type="paragraph" w:styleId="Footer">
    <w:name w:val="footer"/>
    <w:basedOn w:val="Normal"/>
    <w:link w:val="FooterChar"/>
    <w:uiPriority w:val="99"/>
    <w:unhideWhenUsed/>
    <w:rsid w:val="00643AE8"/>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43AE8"/>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4.xml><?xml version="1.0" encoding="utf-8"?>
<ds:datastoreItem xmlns:ds="http://schemas.openxmlformats.org/officeDocument/2006/customXml" ds:itemID="{66E221DC-A8BC-4579-9D90-09101FD5054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14</TotalTime>
  <Pages>5</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37</cp:revision>
  <cp:lastPrinted>2025-05-08T07:59:00Z</cp:lastPrinted>
  <dcterms:created xsi:type="dcterms:W3CDTF">2025-09-16T13:52:00Z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