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145DAF" w:rsidRDefault="005B3207" w:rsidP="005B3207">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A0564075-97B7-4686-9AF3-7CDCFC430CA0" style="width:455.25pt;height:383.25pt">
            <v:imagedata r:id="rId11" o:title=""/>
          </v:shape>
        </w:pict>
      </w:r>
    </w:p>
    <w:p w:rsidR="00FE7FED" w:rsidRPr="00145DAF" w:rsidRDefault="00FE7FED">
      <w:pPr>
        <w:rPr>
          <w:noProof/>
        </w:rPr>
        <w:sectPr w:rsidR="00FE7FED" w:rsidRPr="00145DAF" w:rsidSect="005B3207">
          <w:footerReference w:type="even" r:id="rId12"/>
          <w:footerReference w:type="default" r:id="rId13"/>
          <w:pgSz w:w="11907" w:h="16839"/>
          <w:pgMar w:top="1134" w:right="1417" w:bottom="1134" w:left="1417" w:header="709" w:footer="709" w:gutter="0"/>
          <w:pgNumType w:start="0"/>
          <w:cols w:space="720"/>
          <w:docGrid w:linePitch="360"/>
        </w:sectPr>
      </w:pPr>
    </w:p>
    <w:p w:rsidR="009713B0" w:rsidRPr="00145DAF" w:rsidRDefault="00DF1CB4" w:rsidP="00DF1CB4">
      <w:pPr>
        <w:pStyle w:val="Typedudocument"/>
        <w:rPr>
          <w:noProof/>
        </w:rPr>
      </w:pPr>
      <w:bookmarkStart w:id="0" w:name="_GoBack"/>
      <w:bookmarkEnd w:id="0"/>
      <w:r w:rsidRPr="00DF1CB4">
        <w:rPr>
          <w:noProof/>
        </w:rPr>
        <w:lastRenderedPageBreak/>
        <w:t>COMMISSION IMPLEMENTING REGULATION (EU) …/...</w:t>
      </w:r>
    </w:p>
    <w:p w:rsidR="009713B0" w:rsidRPr="00145DAF" w:rsidRDefault="00C81687" w:rsidP="00DF1CB4">
      <w:pPr>
        <w:pStyle w:val="Datedadoption"/>
        <w:rPr>
          <w:noProof/>
        </w:rPr>
      </w:pPr>
      <w:r>
        <w:rPr>
          <w:noProof/>
        </w:rPr>
        <w:t>of 1.10.2025</w:t>
      </w:r>
    </w:p>
    <w:p w:rsidR="009713B0" w:rsidRPr="00145DAF" w:rsidRDefault="00DF1CB4" w:rsidP="00DF1CB4">
      <w:pPr>
        <w:pStyle w:val="Titreobjet"/>
        <w:rPr>
          <w:noProof/>
        </w:rPr>
      </w:pPr>
      <w:r w:rsidRPr="00DF1CB4">
        <w:rPr>
          <w:noProof/>
        </w:rPr>
        <w:t>laying down implementing technical standards for the application of Regulation (EU) No 260/2012 of the European Parliament and of the Council with regard to uniform reporting templates, instructions and methodology for the reporting of the level of charges for credit transfers, instant credit transfers and payment accounts, and the share of rejected transactions</w:t>
      </w:r>
    </w:p>
    <w:p w:rsidR="009713B0" w:rsidRPr="00145DAF" w:rsidRDefault="009713B0" w:rsidP="009713B0">
      <w:pPr>
        <w:pStyle w:val="Institutionquiagit"/>
        <w:rPr>
          <w:noProof/>
        </w:rPr>
      </w:pPr>
      <w:r w:rsidRPr="00145DAF">
        <w:rPr>
          <w:noProof/>
        </w:rPr>
        <w:t>THE EUROPEAN COMMISSION,</w:t>
      </w:r>
    </w:p>
    <w:p w:rsidR="009713B0" w:rsidRPr="00145DAF" w:rsidRDefault="009713B0" w:rsidP="009713B0">
      <w:pPr>
        <w:rPr>
          <w:noProof/>
          <w:color w:val="000000"/>
        </w:rPr>
      </w:pPr>
      <w:r w:rsidRPr="00145DAF">
        <w:rPr>
          <w:noProof/>
          <w:color w:val="000000"/>
        </w:rPr>
        <w:t>Having regard to the Treaty on the Functioning of the European Union,</w:t>
      </w:r>
    </w:p>
    <w:p w:rsidR="009713B0" w:rsidRPr="00145DAF" w:rsidRDefault="009713B0" w:rsidP="009713B0">
      <w:pPr>
        <w:rPr>
          <w:noProof/>
          <w:color w:val="000000"/>
        </w:rPr>
      </w:pPr>
      <w:r w:rsidRPr="00145DAF">
        <w:rPr>
          <w:noProof/>
          <w:color w:val="000000"/>
        </w:rPr>
        <w:t>Having regard to Regulation (EU) No 260/2012 of the European Parliament and of the Council of 14 March 2012 establishing technical and business requirements for credit transfers and direct debits in euro and amending Regulation (EC) No</w:t>
      </w:r>
      <w:r w:rsidR="00E104B1" w:rsidRPr="00145DAF">
        <w:rPr>
          <w:noProof/>
          <w:color w:val="000000"/>
        </w:rPr>
        <w:t> </w:t>
      </w:r>
      <w:r w:rsidRPr="00145DAF">
        <w:rPr>
          <w:noProof/>
          <w:color w:val="000000"/>
        </w:rPr>
        <w:t>924/2009</w:t>
      </w:r>
      <w:r w:rsidR="00A8350B" w:rsidRPr="00145DAF">
        <w:rPr>
          <w:rStyle w:val="FootnoteReference"/>
          <w:noProof/>
          <w:color w:val="000000"/>
        </w:rPr>
        <w:footnoteReference w:id="2"/>
      </w:r>
      <w:r w:rsidRPr="00145DAF">
        <w:rPr>
          <w:noProof/>
          <w:color w:val="000000"/>
        </w:rPr>
        <w:t xml:space="preserve">, and in particular Article 15(5), third subparagraph thereof, </w:t>
      </w:r>
    </w:p>
    <w:p w:rsidR="009713B0" w:rsidRPr="00145DAF" w:rsidRDefault="009713B0" w:rsidP="009713B0">
      <w:pPr>
        <w:rPr>
          <w:noProof/>
        </w:rPr>
      </w:pPr>
      <w:r w:rsidRPr="00145DAF">
        <w:rPr>
          <w:noProof/>
          <w:color w:val="000000"/>
        </w:rPr>
        <w:t>Whereas</w:t>
      </w:r>
      <w:r w:rsidRPr="00145DAF">
        <w:rPr>
          <w:noProof/>
        </w:rPr>
        <w:t>:</w:t>
      </w:r>
    </w:p>
    <w:p w:rsidR="00AC0006" w:rsidRPr="00C64FFA" w:rsidRDefault="0053410F" w:rsidP="0053410F">
      <w:pPr>
        <w:pStyle w:val="ManualConsidrant"/>
        <w:rPr>
          <w:noProof/>
        </w:rPr>
      </w:pPr>
      <w:r w:rsidRPr="0053410F">
        <w:rPr>
          <w:noProof/>
        </w:rPr>
        <w:t>(1)</w:t>
      </w:r>
      <w:r w:rsidRPr="0053410F">
        <w:rPr>
          <w:noProof/>
        </w:rPr>
        <w:tab/>
      </w:r>
      <w:r w:rsidR="00925CEE" w:rsidRPr="00C64FFA">
        <w:rPr>
          <w:noProof/>
        </w:rPr>
        <w:t>T</w:t>
      </w:r>
      <w:r w:rsidR="00AC0006" w:rsidRPr="00C64FFA">
        <w:rPr>
          <w:noProof/>
        </w:rPr>
        <w:t xml:space="preserve">he reporting </w:t>
      </w:r>
      <w:r w:rsidR="00F133B9" w:rsidRPr="00C64FFA">
        <w:rPr>
          <w:noProof/>
        </w:rPr>
        <w:t xml:space="preserve">on the level of charges </w:t>
      </w:r>
      <w:r w:rsidR="00893DA7" w:rsidRPr="00C64FFA">
        <w:rPr>
          <w:noProof/>
        </w:rPr>
        <w:t xml:space="preserve">pursuant to </w:t>
      </w:r>
      <w:r w:rsidR="00AC0006" w:rsidRPr="00C64FFA">
        <w:rPr>
          <w:noProof/>
        </w:rPr>
        <w:t>Article 15(3) of Regulation (EU) No</w:t>
      </w:r>
      <w:r w:rsidR="00F951F3" w:rsidRPr="00C64FFA">
        <w:rPr>
          <w:noProof/>
        </w:rPr>
        <w:t> </w:t>
      </w:r>
      <w:r w:rsidR="00AC0006" w:rsidRPr="00C64FFA">
        <w:rPr>
          <w:noProof/>
        </w:rPr>
        <w:t>260/2012</w:t>
      </w:r>
      <w:r w:rsidR="00925CEE" w:rsidRPr="00C64FFA">
        <w:rPr>
          <w:noProof/>
        </w:rPr>
        <w:t xml:space="preserve"> should </w:t>
      </w:r>
      <w:r w:rsidR="00F951F3" w:rsidRPr="00C64FFA">
        <w:rPr>
          <w:noProof/>
        </w:rPr>
        <w:t>enable</w:t>
      </w:r>
      <w:r w:rsidR="00925CEE" w:rsidRPr="00C64FFA">
        <w:rPr>
          <w:noProof/>
        </w:rPr>
        <w:t xml:space="preserve"> </w:t>
      </w:r>
      <w:r w:rsidR="00612113" w:rsidRPr="00C64FFA">
        <w:rPr>
          <w:noProof/>
        </w:rPr>
        <w:t xml:space="preserve">the Commission </w:t>
      </w:r>
      <w:r w:rsidR="00952943" w:rsidRPr="00C64FFA">
        <w:rPr>
          <w:noProof/>
        </w:rPr>
        <w:t xml:space="preserve">to assess </w:t>
      </w:r>
      <w:r w:rsidR="004901D3" w:rsidRPr="00C64FFA">
        <w:rPr>
          <w:noProof/>
        </w:rPr>
        <w:t xml:space="preserve">the </w:t>
      </w:r>
      <w:r w:rsidR="00925CEE" w:rsidRPr="00C64FFA">
        <w:rPr>
          <w:noProof/>
        </w:rPr>
        <w:t xml:space="preserve">impact of the rule </w:t>
      </w:r>
      <w:r w:rsidR="00B42926" w:rsidRPr="00C64FFA">
        <w:rPr>
          <w:noProof/>
        </w:rPr>
        <w:t>on</w:t>
      </w:r>
      <w:r w:rsidR="00925CEE" w:rsidRPr="00C64FFA">
        <w:rPr>
          <w:noProof/>
        </w:rPr>
        <w:t xml:space="preserve"> charges </w:t>
      </w:r>
      <w:r w:rsidR="00B42926" w:rsidRPr="00C64FFA">
        <w:rPr>
          <w:noProof/>
        </w:rPr>
        <w:t xml:space="preserve">levied </w:t>
      </w:r>
      <w:r w:rsidR="00925CEE" w:rsidRPr="00C64FFA">
        <w:rPr>
          <w:noProof/>
        </w:rPr>
        <w:t>for instant credit transfers</w:t>
      </w:r>
      <w:r w:rsidR="00F951F3" w:rsidRPr="00C64FFA">
        <w:rPr>
          <w:noProof/>
        </w:rPr>
        <w:t>, as</w:t>
      </w:r>
      <w:r w:rsidR="00925CEE" w:rsidRPr="00C64FFA">
        <w:rPr>
          <w:noProof/>
        </w:rPr>
        <w:t xml:space="preserve"> laid down in </w:t>
      </w:r>
      <w:r w:rsidR="00E06ADC" w:rsidRPr="00C64FFA">
        <w:rPr>
          <w:noProof/>
        </w:rPr>
        <w:t>Article 5b(1)</w:t>
      </w:r>
      <w:r w:rsidR="00952943" w:rsidRPr="00C64FFA">
        <w:rPr>
          <w:noProof/>
        </w:rPr>
        <w:t xml:space="preserve"> of that </w:t>
      </w:r>
      <w:r w:rsidR="00925CEE" w:rsidRPr="00C64FFA">
        <w:rPr>
          <w:noProof/>
        </w:rPr>
        <w:t>Regulation</w:t>
      </w:r>
      <w:r w:rsidR="00F951F3" w:rsidRPr="00C64FFA">
        <w:rPr>
          <w:noProof/>
        </w:rPr>
        <w:t>,</w:t>
      </w:r>
      <w:r w:rsidR="003525DD" w:rsidRPr="00C64FFA">
        <w:rPr>
          <w:noProof/>
        </w:rPr>
        <w:t xml:space="preserve"> on the charges for payment accounts</w:t>
      </w:r>
      <w:r w:rsidR="00F951F3" w:rsidRPr="00C64FFA">
        <w:rPr>
          <w:noProof/>
        </w:rPr>
        <w:t xml:space="preserve">, both </w:t>
      </w:r>
      <w:r w:rsidR="003525DD" w:rsidRPr="00C64FFA">
        <w:rPr>
          <w:noProof/>
        </w:rPr>
        <w:t>for national and cross-border credit transfers</w:t>
      </w:r>
      <w:r w:rsidR="00F951F3" w:rsidRPr="00C64FFA">
        <w:rPr>
          <w:noProof/>
        </w:rPr>
        <w:t>, a</w:t>
      </w:r>
      <w:r w:rsidR="00FC0B30" w:rsidRPr="00C64FFA">
        <w:rPr>
          <w:noProof/>
        </w:rPr>
        <w:t>nd</w:t>
      </w:r>
      <w:r w:rsidR="00F951F3" w:rsidRPr="00C64FFA">
        <w:rPr>
          <w:noProof/>
        </w:rPr>
        <w:t xml:space="preserve"> for</w:t>
      </w:r>
      <w:r w:rsidR="00E4311E" w:rsidRPr="00C64FFA">
        <w:rPr>
          <w:noProof/>
        </w:rPr>
        <w:t xml:space="preserve"> instant credit transfers</w:t>
      </w:r>
      <w:r w:rsidR="003525DD" w:rsidRPr="00C64FFA">
        <w:rPr>
          <w:noProof/>
        </w:rPr>
        <w:t xml:space="preserve"> in euro and in the national currency of the Member States whose currency is no</w:t>
      </w:r>
      <w:r w:rsidR="00804319" w:rsidRPr="00C64FFA">
        <w:rPr>
          <w:noProof/>
        </w:rPr>
        <w:t>t</w:t>
      </w:r>
      <w:r w:rsidR="003525DD" w:rsidRPr="00C64FFA">
        <w:rPr>
          <w:noProof/>
        </w:rPr>
        <w:t xml:space="preserve"> the euro</w:t>
      </w:r>
      <w:r w:rsidR="00CA5FB6" w:rsidRPr="00C64FFA">
        <w:rPr>
          <w:noProof/>
        </w:rPr>
        <w:t xml:space="preserve">. Charges levied by payment service providers (PSPs) for credit transfers, including instant credit transfers, typically vary </w:t>
      </w:r>
      <w:r w:rsidR="00952943" w:rsidRPr="00C64FFA">
        <w:rPr>
          <w:noProof/>
        </w:rPr>
        <w:t>depending on the</w:t>
      </w:r>
      <w:r w:rsidR="00D21FD8" w:rsidRPr="00C64FFA">
        <w:rPr>
          <w:noProof/>
        </w:rPr>
        <w:t xml:space="preserve"> features of </w:t>
      </w:r>
      <w:r w:rsidR="00952943" w:rsidRPr="00C64FFA">
        <w:rPr>
          <w:noProof/>
        </w:rPr>
        <w:t>the</w:t>
      </w:r>
      <w:r w:rsidR="00D21FD8" w:rsidRPr="00C64FFA">
        <w:rPr>
          <w:noProof/>
        </w:rPr>
        <w:t xml:space="preserve"> credit transfer</w:t>
      </w:r>
      <w:r w:rsidR="00952943" w:rsidRPr="00C64FFA">
        <w:rPr>
          <w:noProof/>
        </w:rPr>
        <w:t xml:space="preserve"> concerned. Such features may </w:t>
      </w:r>
      <w:r w:rsidR="004901D3" w:rsidRPr="00C64FFA">
        <w:rPr>
          <w:noProof/>
        </w:rPr>
        <w:t>be</w:t>
      </w:r>
      <w:r w:rsidR="00952943" w:rsidRPr="00C64FFA">
        <w:rPr>
          <w:noProof/>
        </w:rPr>
        <w:t xml:space="preserve"> </w:t>
      </w:r>
      <w:r w:rsidR="00D21FD8" w:rsidRPr="00C64FFA">
        <w:rPr>
          <w:noProof/>
        </w:rPr>
        <w:t xml:space="preserve">whether the payment service user (PSU) is the </w:t>
      </w:r>
      <w:r w:rsidR="00CA5FB6" w:rsidRPr="00C64FFA">
        <w:rPr>
          <w:noProof/>
        </w:rPr>
        <w:t xml:space="preserve">payer </w:t>
      </w:r>
      <w:r w:rsidR="00D21FD8" w:rsidRPr="00C64FFA">
        <w:rPr>
          <w:noProof/>
        </w:rPr>
        <w:t>or the</w:t>
      </w:r>
      <w:r w:rsidR="00CA5FB6" w:rsidRPr="00C64FFA">
        <w:rPr>
          <w:noProof/>
        </w:rPr>
        <w:t xml:space="preserve"> payee</w:t>
      </w:r>
      <w:r w:rsidR="00F0743A" w:rsidRPr="00C64FFA">
        <w:rPr>
          <w:noProof/>
        </w:rPr>
        <w:t>,</w:t>
      </w:r>
      <w:r w:rsidR="00CA5FB6" w:rsidRPr="00C64FFA">
        <w:rPr>
          <w:noProof/>
        </w:rPr>
        <w:t xml:space="preserve"> </w:t>
      </w:r>
      <w:r w:rsidR="00D21FD8" w:rsidRPr="00C64FFA">
        <w:rPr>
          <w:noProof/>
        </w:rPr>
        <w:t xml:space="preserve">a consumer or not, or </w:t>
      </w:r>
      <w:r w:rsidR="00CA5FB6" w:rsidRPr="00C64FFA">
        <w:rPr>
          <w:noProof/>
        </w:rPr>
        <w:t xml:space="preserve">the type of payment initiation channel. </w:t>
      </w:r>
      <w:r w:rsidR="00952943" w:rsidRPr="00C64FFA">
        <w:rPr>
          <w:noProof/>
        </w:rPr>
        <w:t>T</w:t>
      </w:r>
      <w:r w:rsidR="00F0743A" w:rsidRPr="00C64FFA">
        <w:rPr>
          <w:noProof/>
        </w:rPr>
        <w:t xml:space="preserve">he </w:t>
      </w:r>
      <w:r w:rsidR="009F2458" w:rsidRPr="00C64FFA">
        <w:rPr>
          <w:noProof/>
        </w:rPr>
        <w:t>reporting</w:t>
      </w:r>
      <w:r w:rsidR="00F133B9" w:rsidRPr="00C64FFA">
        <w:rPr>
          <w:noProof/>
        </w:rPr>
        <w:t xml:space="preserve"> </w:t>
      </w:r>
      <w:r w:rsidR="009F2458" w:rsidRPr="00C64FFA">
        <w:rPr>
          <w:noProof/>
        </w:rPr>
        <w:t xml:space="preserve">on credit transfers sent </w:t>
      </w:r>
      <w:r w:rsidR="00F133B9" w:rsidRPr="00C64FFA">
        <w:rPr>
          <w:noProof/>
        </w:rPr>
        <w:t xml:space="preserve">should </w:t>
      </w:r>
      <w:r w:rsidR="00952943" w:rsidRPr="00C64FFA">
        <w:rPr>
          <w:noProof/>
        </w:rPr>
        <w:t xml:space="preserve">therefore </w:t>
      </w:r>
      <w:r w:rsidR="00F133B9" w:rsidRPr="00C64FFA">
        <w:rPr>
          <w:noProof/>
        </w:rPr>
        <w:t xml:space="preserve">include </w:t>
      </w:r>
      <w:r w:rsidR="00AC0006" w:rsidRPr="00C64FFA">
        <w:rPr>
          <w:noProof/>
        </w:rPr>
        <w:t>breakdowns by domestic and cross-border transfers, type of PSU</w:t>
      </w:r>
      <w:r w:rsidR="00356ADE" w:rsidRPr="00C64FFA">
        <w:rPr>
          <w:noProof/>
        </w:rPr>
        <w:t xml:space="preserve"> and</w:t>
      </w:r>
      <w:r w:rsidR="00AC0006" w:rsidRPr="00C64FFA">
        <w:rPr>
          <w:noProof/>
        </w:rPr>
        <w:t xml:space="preserve"> payment initiation channel.</w:t>
      </w:r>
      <w:r w:rsidR="009F2458" w:rsidRPr="00C64FFA">
        <w:rPr>
          <w:noProof/>
        </w:rPr>
        <w:t xml:space="preserve"> </w:t>
      </w:r>
    </w:p>
    <w:p w:rsidR="00F133B9" w:rsidRPr="00A20E96" w:rsidRDefault="0053410F" w:rsidP="0053410F">
      <w:pPr>
        <w:pStyle w:val="ManualConsidrant"/>
        <w:rPr>
          <w:noProof/>
        </w:rPr>
      </w:pPr>
      <w:r w:rsidRPr="0053410F">
        <w:rPr>
          <w:noProof/>
        </w:rPr>
        <w:t>(2)</w:t>
      </w:r>
      <w:r w:rsidRPr="0053410F">
        <w:rPr>
          <w:noProof/>
        </w:rPr>
        <w:tab/>
      </w:r>
      <w:r w:rsidR="00914C54" w:rsidRPr="00A20E96">
        <w:rPr>
          <w:noProof/>
        </w:rPr>
        <w:t xml:space="preserve">PSPs may choose to set charges </w:t>
      </w:r>
      <w:r w:rsidR="00BD7AB4" w:rsidRPr="00A20E96">
        <w:rPr>
          <w:noProof/>
        </w:rPr>
        <w:t xml:space="preserve">on a per transaction basis either in nominal terms or as </w:t>
      </w:r>
      <w:r w:rsidR="00E60C11" w:rsidRPr="00A20E96">
        <w:rPr>
          <w:noProof/>
        </w:rPr>
        <w:t>a</w:t>
      </w:r>
      <w:r w:rsidR="00BD7AB4" w:rsidRPr="00A20E96">
        <w:rPr>
          <w:noProof/>
        </w:rPr>
        <w:t xml:space="preserve"> percentage of the value of the transaction</w:t>
      </w:r>
      <w:r w:rsidR="00F308DA" w:rsidRPr="00A20E96">
        <w:rPr>
          <w:noProof/>
        </w:rPr>
        <w:t xml:space="preserve">. PSPs may also opt for </w:t>
      </w:r>
      <w:r w:rsidR="00BF6D71" w:rsidRPr="00A20E96">
        <w:rPr>
          <w:noProof/>
        </w:rPr>
        <w:t>alternative</w:t>
      </w:r>
      <w:r w:rsidR="00F308DA" w:rsidRPr="00A20E96">
        <w:rPr>
          <w:noProof/>
        </w:rPr>
        <w:t xml:space="preserve"> charging structures, </w:t>
      </w:r>
      <w:r w:rsidR="00952943" w:rsidRPr="00A20E96">
        <w:rPr>
          <w:noProof/>
        </w:rPr>
        <w:t>including</w:t>
      </w:r>
      <w:r w:rsidR="00F308DA" w:rsidRPr="00A20E96">
        <w:rPr>
          <w:noProof/>
        </w:rPr>
        <w:t xml:space="preserve"> tiered pricing </w:t>
      </w:r>
      <w:r w:rsidR="002E2315" w:rsidRPr="00A20E96">
        <w:rPr>
          <w:noProof/>
        </w:rPr>
        <w:t>based on</w:t>
      </w:r>
      <w:r w:rsidR="00F308DA" w:rsidRPr="00A20E96">
        <w:rPr>
          <w:noProof/>
        </w:rPr>
        <w:t xml:space="preserve"> </w:t>
      </w:r>
      <w:r w:rsidR="002E2315" w:rsidRPr="00A20E96">
        <w:rPr>
          <w:noProof/>
        </w:rPr>
        <w:t xml:space="preserve">different </w:t>
      </w:r>
      <w:r w:rsidR="00F308DA" w:rsidRPr="00A20E96">
        <w:rPr>
          <w:noProof/>
        </w:rPr>
        <w:t xml:space="preserve">bands </w:t>
      </w:r>
      <w:r w:rsidR="002E2315" w:rsidRPr="00A20E96">
        <w:rPr>
          <w:noProof/>
        </w:rPr>
        <w:t xml:space="preserve">of the transaction value </w:t>
      </w:r>
      <w:r w:rsidR="00F308DA" w:rsidRPr="00A20E96">
        <w:rPr>
          <w:noProof/>
        </w:rPr>
        <w:t>or approaches that</w:t>
      </w:r>
      <w:r w:rsidR="00952943" w:rsidRPr="00A20E96">
        <w:rPr>
          <w:noProof/>
        </w:rPr>
        <w:t xml:space="preserve"> have</w:t>
      </w:r>
      <w:r w:rsidR="00F308DA" w:rsidRPr="00A20E96">
        <w:rPr>
          <w:noProof/>
        </w:rPr>
        <w:t xml:space="preserve"> a certain number of transactions per month for free beyond </w:t>
      </w:r>
      <w:r w:rsidR="00E84AAA" w:rsidRPr="00A20E96">
        <w:rPr>
          <w:noProof/>
        </w:rPr>
        <w:t>which</w:t>
      </w:r>
      <w:r w:rsidR="00F308DA" w:rsidRPr="00A20E96">
        <w:rPr>
          <w:noProof/>
        </w:rPr>
        <w:t xml:space="preserve"> a charge per transaction </w:t>
      </w:r>
      <w:r w:rsidR="00952943" w:rsidRPr="00A20E96">
        <w:rPr>
          <w:noProof/>
        </w:rPr>
        <w:t>is</w:t>
      </w:r>
      <w:r w:rsidR="00F308DA" w:rsidRPr="00A20E96">
        <w:rPr>
          <w:noProof/>
        </w:rPr>
        <w:t xml:space="preserve"> applied.</w:t>
      </w:r>
      <w:r w:rsidR="000D391D" w:rsidRPr="00A20E96">
        <w:rPr>
          <w:noProof/>
        </w:rPr>
        <w:t xml:space="preserve"> It would be undesirable that </w:t>
      </w:r>
      <w:r w:rsidR="005423FA" w:rsidRPr="00A20E96">
        <w:rPr>
          <w:noProof/>
        </w:rPr>
        <w:t xml:space="preserve">such </w:t>
      </w:r>
      <w:r w:rsidR="000D391D" w:rsidRPr="00A20E96">
        <w:rPr>
          <w:noProof/>
        </w:rPr>
        <w:t>heterogeneity of commercial practices result</w:t>
      </w:r>
      <w:r w:rsidR="00952943" w:rsidRPr="00A20E96">
        <w:rPr>
          <w:noProof/>
        </w:rPr>
        <w:t>s</w:t>
      </w:r>
      <w:r w:rsidR="000D391D" w:rsidRPr="00A20E96">
        <w:rPr>
          <w:noProof/>
        </w:rPr>
        <w:t xml:space="preserve"> in the circumvention of the aim of the rule on the charges for instant credit transfers laid down in </w:t>
      </w:r>
      <w:r w:rsidR="00952943" w:rsidRPr="00A20E96">
        <w:rPr>
          <w:noProof/>
        </w:rPr>
        <w:t>Article</w:t>
      </w:r>
      <w:r w:rsidR="00E06ADC" w:rsidRPr="00A20E96">
        <w:rPr>
          <w:noProof/>
        </w:rPr>
        <w:t xml:space="preserve"> 5b(1)</w:t>
      </w:r>
      <w:r w:rsidR="00952943" w:rsidRPr="00A20E96">
        <w:rPr>
          <w:noProof/>
        </w:rPr>
        <w:t xml:space="preserve"> of </w:t>
      </w:r>
      <w:r w:rsidR="000D391D" w:rsidRPr="00A20E96">
        <w:rPr>
          <w:noProof/>
        </w:rPr>
        <w:t xml:space="preserve">Regulation (EU) No 260/2012. </w:t>
      </w:r>
      <w:r w:rsidR="00C9347C" w:rsidRPr="00A20E96">
        <w:rPr>
          <w:noProof/>
        </w:rPr>
        <w:t>T</w:t>
      </w:r>
      <w:r w:rsidR="008F5762" w:rsidRPr="00A20E96">
        <w:rPr>
          <w:noProof/>
        </w:rPr>
        <w:t xml:space="preserve">he methodology for reporting the information on the level of charges for regular and instant credit transfers </w:t>
      </w:r>
      <w:r w:rsidR="00C9347C" w:rsidRPr="00A20E96">
        <w:rPr>
          <w:noProof/>
        </w:rPr>
        <w:t xml:space="preserve">should </w:t>
      </w:r>
      <w:r w:rsidR="008413EA" w:rsidRPr="00A20E96">
        <w:rPr>
          <w:noProof/>
        </w:rPr>
        <w:t xml:space="preserve">enable </w:t>
      </w:r>
      <w:r w:rsidR="0087059E" w:rsidRPr="00A20E96">
        <w:rPr>
          <w:noProof/>
        </w:rPr>
        <w:t xml:space="preserve">the Commission </w:t>
      </w:r>
      <w:r w:rsidR="008413EA" w:rsidRPr="00A20E96">
        <w:rPr>
          <w:noProof/>
        </w:rPr>
        <w:t>to evaluate</w:t>
      </w:r>
      <w:r w:rsidR="008F5762" w:rsidRPr="00A20E96">
        <w:rPr>
          <w:noProof/>
        </w:rPr>
        <w:t xml:space="preserve"> th</w:t>
      </w:r>
      <w:r w:rsidR="00C9347C" w:rsidRPr="00A20E96">
        <w:rPr>
          <w:noProof/>
        </w:rPr>
        <w:t>e</w:t>
      </w:r>
      <w:r w:rsidR="008F5762" w:rsidRPr="00A20E96">
        <w:rPr>
          <w:noProof/>
        </w:rPr>
        <w:t xml:space="preserve"> information </w:t>
      </w:r>
      <w:r w:rsidR="00C9347C" w:rsidRPr="00A20E96">
        <w:rPr>
          <w:noProof/>
        </w:rPr>
        <w:t xml:space="preserve">provided by PSPs </w:t>
      </w:r>
      <w:r w:rsidR="008F5762" w:rsidRPr="00A20E96">
        <w:rPr>
          <w:noProof/>
        </w:rPr>
        <w:t>in a uniform and comparable manner</w:t>
      </w:r>
      <w:r w:rsidR="006A6123" w:rsidRPr="00A20E96">
        <w:rPr>
          <w:noProof/>
        </w:rPr>
        <w:t xml:space="preserve"> at the level of a PSP over time</w:t>
      </w:r>
      <w:r w:rsidR="008413EA" w:rsidRPr="00A20E96">
        <w:rPr>
          <w:noProof/>
        </w:rPr>
        <w:t xml:space="preserve"> and </w:t>
      </w:r>
      <w:r w:rsidR="006A6123" w:rsidRPr="00A20E96">
        <w:rPr>
          <w:noProof/>
        </w:rPr>
        <w:t>among different PSPs at a given point in time</w:t>
      </w:r>
      <w:r w:rsidR="00C9347C" w:rsidRPr="00A20E96">
        <w:rPr>
          <w:noProof/>
        </w:rPr>
        <w:t xml:space="preserve">, despite the different </w:t>
      </w:r>
      <w:r w:rsidR="006C4B71" w:rsidRPr="00A20E96">
        <w:rPr>
          <w:noProof/>
        </w:rPr>
        <w:t xml:space="preserve">charging </w:t>
      </w:r>
      <w:r w:rsidR="00C9347C" w:rsidRPr="00A20E96">
        <w:rPr>
          <w:noProof/>
        </w:rPr>
        <w:t>methods used by PSPs</w:t>
      </w:r>
      <w:r w:rsidR="006A6123" w:rsidRPr="00A20E96">
        <w:rPr>
          <w:noProof/>
        </w:rPr>
        <w:t>.</w:t>
      </w:r>
      <w:r w:rsidR="008F5762" w:rsidRPr="00A20E96">
        <w:rPr>
          <w:noProof/>
        </w:rPr>
        <w:t xml:space="preserve"> </w:t>
      </w:r>
      <w:r w:rsidR="008413EA" w:rsidRPr="00A20E96">
        <w:rPr>
          <w:noProof/>
        </w:rPr>
        <w:t>T</w:t>
      </w:r>
      <w:r w:rsidR="00C43AAE" w:rsidRPr="00A20E96">
        <w:rPr>
          <w:noProof/>
        </w:rPr>
        <w:t xml:space="preserve">he reporting should </w:t>
      </w:r>
      <w:r w:rsidR="008413EA" w:rsidRPr="00A20E96">
        <w:rPr>
          <w:noProof/>
        </w:rPr>
        <w:t>therefore contain</w:t>
      </w:r>
      <w:r w:rsidR="00C43AAE" w:rsidRPr="00A20E96">
        <w:rPr>
          <w:noProof/>
        </w:rPr>
        <w:t xml:space="preserve"> the information on the total </w:t>
      </w:r>
      <w:r w:rsidR="00542EE6" w:rsidRPr="00A20E96">
        <w:rPr>
          <w:noProof/>
        </w:rPr>
        <w:t xml:space="preserve">aggregated </w:t>
      </w:r>
      <w:r w:rsidR="00C43AAE" w:rsidRPr="00A20E96">
        <w:rPr>
          <w:noProof/>
        </w:rPr>
        <w:t xml:space="preserve">charges, volume and value of credit transfers, including instant credit transfers, in </w:t>
      </w:r>
      <w:r w:rsidR="00E06ADC" w:rsidRPr="00A20E96">
        <w:rPr>
          <w:noProof/>
        </w:rPr>
        <w:t xml:space="preserve">the </w:t>
      </w:r>
      <w:r w:rsidR="00C43AAE" w:rsidRPr="00A20E96">
        <w:rPr>
          <w:noProof/>
        </w:rPr>
        <w:t xml:space="preserve">national currency. The reporting on credit transfers, </w:t>
      </w:r>
      <w:r w:rsidR="00E84AAA" w:rsidRPr="00A20E96">
        <w:rPr>
          <w:noProof/>
        </w:rPr>
        <w:t>both</w:t>
      </w:r>
      <w:r w:rsidR="00C43AAE" w:rsidRPr="00A20E96">
        <w:rPr>
          <w:noProof/>
        </w:rPr>
        <w:t xml:space="preserve"> sent </w:t>
      </w:r>
      <w:r w:rsidR="00E84AAA" w:rsidRPr="00A20E96">
        <w:rPr>
          <w:noProof/>
        </w:rPr>
        <w:t>and</w:t>
      </w:r>
      <w:r w:rsidR="00C43AAE" w:rsidRPr="00A20E96">
        <w:rPr>
          <w:noProof/>
        </w:rPr>
        <w:t xml:space="preserve"> received, should also include </w:t>
      </w:r>
      <w:r w:rsidR="008413EA" w:rsidRPr="00A20E96">
        <w:rPr>
          <w:noProof/>
        </w:rPr>
        <w:t xml:space="preserve">a </w:t>
      </w:r>
      <w:r w:rsidR="00C43AAE" w:rsidRPr="00A20E96">
        <w:rPr>
          <w:noProof/>
        </w:rPr>
        <w:t>breakdown by free and paid-for credit transfers.</w:t>
      </w:r>
    </w:p>
    <w:p w:rsidR="009713B0" w:rsidRPr="00A20E96" w:rsidRDefault="0053410F" w:rsidP="0053410F">
      <w:pPr>
        <w:pStyle w:val="ManualConsidrant"/>
        <w:rPr>
          <w:noProof/>
        </w:rPr>
      </w:pPr>
      <w:r w:rsidRPr="0053410F">
        <w:rPr>
          <w:noProof/>
        </w:rPr>
        <w:lastRenderedPageBreak/>
        <w:t>(3)</w:t>
      </w:r>
      <w:r w:rsidRPr="0053410F">
        <w:rPr>
          <w:noProof/>
        </w:rPr>
        <w:tab/>
      </w:r>
      <w:r w:rsidR="004425F3" w:rsidRPr="00A20E96">
        <w:rPr>
          <w:noProof/>
        </w:rPr>
        <w:t xml:space="preserve">PSPs should </w:t>
      </w:r>
      <w:r w:rsidR="004E2937" w:rsidRPr="00A20E96">
        <w:rPr>
          <w:noProof/>
        </w:rPr>
        <w:t xml:space="preserve">comply with their </w:t>
      </w:r>
      <w:r w:rsidR="00770A0E" w:rsidRPr="00A20E96">
        <w:rPr>
          <w:noProof/>
        </w:rPr>
        <w:t>r</w:t>
      </w:r>
      <w:r w:rsidR="009713B0" w:rsidRPr="00A20E96">
        <w:rPr>
          <w:noProof/>
        </w:rPr>
        <w:t>eporting</w:t>
      </w:r>
      <w:r w:rsidR="00770A0E" w:rsidRPr="00A20E96">
        <w:rPr>
          <w:noProof/>
        </w:rPr>
        <w:t xml:space="preserve"> </w:t>
      </w:r>
      <w:r w:rsidR="004E2937" w:rsidRPr="00A20E96">
        <w:rPr>
          <w:noProof/>
        </w:rPr>
        <w:t xml:space="preserve">obligation as laid down </w:t>
      </w:r>
      <w:r w:rsidR="00770A0E" w:rsidRPr="00A20E96">
        <w:rPr>
          <w:noProof/>
        </w:rPr>
        <w:t>in Article 15(3) of Regulation (EU)</w:t>
      </w:r>
      <w:r w:rsidR="00B95AE2" w:rsidRPr="00A20E96">
        <w:rPr>
          <w:noProof/>
        </w:rPr>
        <w:t xml:space="preserve"> No 260/2012</w:t>
      </w:r>
      <w:r w:rsidR="009713B0" w:rsidRPr="00A20E96">
        <w:rPr>
          <w:noProof/>
        </w:rPr>
        <w:t xml:space="preserve"> at entity level</w:t>
      </w:r>
      <w:r w:rsidR="00530551" w:rsidRPr="00A20E96">
        <w:rPr>
          <w:noProof/>
        </w:rPr>
        <w:t>.</w:t>
      </w:r>
      <w:r w:rsidR="009713B0" w:rsidRPr="00A20E96">
        <w:rPr>
          <w:noProof/>
        </w:rPr>
        <w:t xml:space="preserve"> </w:t>
      </w:r>
      <w:r w:rsidR="00B9119D" w:rsidRPr="00A20E96">
        <w:rPr>
          <w:noProof/>
        </w:rPr>
        <w:t xml:space="preserve">To align with </w:t>
      </w:r>
      <w:r w:rsidR="00BC3B91" w:rsidRPr="00A20E96">
        <w:rPr>
          <w:noProof/>
        </w:rPr>
        <w:t xml:space="preserve">the approach of </w:t>
      </w:r>
      <w:r w:rsidR="00B9119D" w:rsidRPr="00A20E96">
        <w:rPr>
          <w:noProof/>
        </w:rPr>
        <w:t>reporting of payment statistics to the ECB</w:t>
      </w:r>
      <w:r w:rsidR="00FD15D6" w:rsidRPr="00A20E96">
        <w:rPr>
          <w:noProof/>
        </w:rPr>
        <w:t>,</w:t>
      </w:r>
      <w:r w:rsidR="00B9119D" w:rsidRPr="00A20E96" w:rsidDel="00530551">
        <w:rPr>
          <w:noProof/>
        </w:rPr>
        <w:t xml:space="preserve"> </w:t>
      </w:r>
      <w:r w:rsidR="00951211" w:rsidRPr="00A20E96">
        <w:rPr>
          <w:noProof/>
        </w:rPr>
        <w:t>b</w:t>
      </w:r>
      <w:r w:rsidR="009713B0" w:rsidRPr="00A20E96">
        <w:rPr>
          <w:noProof/>
        </w:rPr>
        <w:t xml:space="preserve">ranches of PSPs located in Member States other than </w:t>
      </w:r>
      <w:r w:rsidR="00530551" w:rsidRPr="00A20E96">
        <w:rPr>
          <w:noProof/>
        </w:rPr>
        <w:t xml:space="preserve">Member States of their </w:t>
      </w:r>
      <w:r w:rsidR="009713B0" w:rsidRPr="00A20E96">
        <w:rPr>
          <w:noProof/>
        </w:rPr>
        <w:t>parent entit</w:t>
      </w:r>
      <w:r w:rsidR="004C60B0" w:rsidRPr="00A20E96">
        <w:rPr>
          <w:noProof/>
        </w:rPr>
        <w:t>ies</w:t>
      </w:r>
      <w:r w:rsidR="003E4FA2" w:rsidRPr="00A20E96">
        <w:rPr>
          <w:noProof/>
        </w:rPr>
        <w:t xml:space="preserve"> </w:t>
      </w:r>
      <w:r w:rsidR="00530551" w:rsidRPr="00A20E96">
        <w:rPr>
          <w:noProof/>
        </w:rPr>
        <w:t xml:space="preserve">should </w:t>
      </w:r>
      <w:r w:rsidR="003E4FA2" w:rsidRPr="00A20E96">
        <w:rPr>
          <w:noProof/>
        </w:rPr>
        <w:t>submit</w:t>
      </w:r>
      <w:r w:rsidR="009713B0" w:rsidRPr="00A20E96">
        <w:rPr>
          <w:noProof/>
        </w:rPr>
        <w:t xml:space="preserve"> the</w:t>
      </w:r>
      <w:r w:rsidR="003E4FA2" w:rsidRPr="00A20E96">
        <w:rPr>
          <w:noProof/>
        </w:rPr>
        <w:t>ir</w:t>
      </w:r>
      <w:r w:rsidR="009713B0" w:rsidRPr="00A20E96">
        <w:rPr>
          <w:noProof/>
        </w:rPr>
        <w:t xml:space="preserve"> data to the competent authority</w:t>
      </w:r>
      <w:r w:rsidR="004C60B0" w:rsidRPr="00A20E96">
        <w:rPr>
          <w:noProof/>
        </w:rPr>
        <w:t xml:space="preserve"> of the host Member State</w:t>
      </w:r>
      <w:r w:rsidR="009713B0" w:rsidRPr="00A20E96">
        <w:rPr>
          <w:noProof/>
        </w:rPr>
        <w:t>, and parent entit</w:t>
      </w:r>
      <w:r w:rsidR="00D40EFF" w:rsidRPr="00A20E96">
        <w:rPr>
          <w:noProof/>
        </w:rPr>
        <w:t>ies</w:t>
      </w:r>
      <w:r w:rsidR="009713B0" w:rsidRPr="00A20E96">
        <w:rPr>
          <w:noProof/>
        </w:rPr>
        <w:t xml:space="preserve"> </w:t>
      </w:r>
      <w:r w:rsidR="00530551" w:rsidRPr="00A20E96">
        <w:rPr>
          <w:noProof/>
        </w:rPr>
        <w:t xml:space="preserve">should </w:t>
      </w:r>
      <w:r w:rsidR="009713B0" w:rsidRPr="00A20E96">
        <w:rPr>
          <w:noProof/>
        </w:rPr>
        <w:t xml:space="preserve">report for </w:t>
      </w:r>
      <w:r w:rsidR="004C60B0" w:rsidRPr="00A20E96">
        <w:rPr>
          <w:noProof/>
        </w:rPr>
        <w:t xml:space="preserve">themselves </w:t>
      </w:r>
      <w:r w:rsidR="009713B0" w:rsidRPr="00A20E96">
        <w:rPr>
          <w:noProof/>
        </w:rPr>
        <w:t>to the competent authority</w:t>
      </w:r>
      <w:r w:rsidR="004C60B0" w:rsidRPr="00A20E96">
        <w:rPr>
          <w:noProof/>
        </w:rPr>
        <w:t xml:space="preserve"> of their home Member State</w:t>
      </w:r>
      <w:r w:rsidR="009713B0" w:rsidRPr="00A20E96">
        <w:rPr>
          <w:noProof/>
        </w:rPr>
        <w:t>.</w:t>
      </w:r>
    </w:p>
    <w:p w:rsidR="009713B0" w:rsidRPr="00A20E96" w:rsidRDefault="0053410F" w:rsidP="0053410F">
      <w:pPr>
        <w:pStyle w:val="ManualConsidrant"/>
        <w:rPr>
          <w:noProof/>
        </w:rPr>
      </w:pPr>
      <w:r w:rsidRPr="0053410F">
        <w:rPr>
          <w:noProof/>
        </w:rPr>
        <w:t>(4)</w:t>
      </w:r>
      <w:r w:rsidRPr="0053410F">
        <w:rPr>
          <w:noProof/>
        </w:rPr>
        <w:tab/>
      </w:r>
      <w:r w:rsidR="000D1771" w:rsidRPr="00A20E96">
        <w:rPr>
          <w:noProof/>
        </w:rPr>
        <w:t>PSPs located in Member States whose currency is not the euro</w:t>
      </w:r>
      <w:r w:rsidR="0075651E" w:rsidRPr="00A20E96">
        <w:rPr>
          <w:noProof/>
        </w:rPr>
        <w:t xml:space="preserve"> that</w:t>
      </w:r>
      <w:r w:rsidR="000D1771" w:rsidRPr="00A20E96">
        <w:rPr>
          <w:noProof/>
        </w:rPr>
        <w:t xml:space="preserve"> </w:t>
      </w:r>
      <w:r w:rsidR="0075651E" w:rsidRPr="00A20E96">
        <w:rPr>
          <w:noProof/>
        </w:rPr>
        <w:t xml:space="preserve">offer their PSUs the payment service of receiving and sending regular credit transfers in euro </w:t>
      </w:r>
      <w:r w:rsidR="000D1771" w:rsidRPr="00A20E96">
        <w:rPr>
          <w:noProof/>
        </w:rPr>
        <w:t xml:space="preserve">have the obligation to </w:t>
      </w:r>
      <w:r w:rsidR="00244629" w:rsidRPr="00A20E96">
        <w:rPr>
          <w:noProof/>
        </w:rPr>
        <w:t>offer</w:t>
      </w:r>
      <w:r w:rsidR="000D1771" w:rsidRPr="00A20E96">
        <w:rPr>
          <w:noProof/>
        </w:rPr>
        <w:t xml:space="preserve"> their PSUs the payment service of </w:t>
      </w:r>
      <w:r w:rsidR="00C7687B" w:rsidRPr="00A20E96">
        <w:rPr>
          <w:noProof/>
        </w:rPr>
        <w:t xml:space="preserve">receiving </w:t>
      </w:r>
      <w:r w:rsidR="000D1771" w:rsidRPr="00A20E96">
        <w:rPr>
          <w:noProof/>
        </w:rPr>
        <w:t xml:space="preserve">instant credit transfers in euro </w:t>
      </w:r>
      <w:r w:rsidR="00C7687B" w:rsidRPr="00A20E96">
        <w:rPr>
          <w:noProof/>
        </w:rPr>
        <w:t>by 9 January 2027 and the payment service o</w:t>
      </w:r>
      <w:r w:rsidR="000D1771" w:rsidRPr="00A20E96">
        <w:rPr>
          <w:noProof/>
        </w:rPr>
        <w:t>f</w:t>
      </w:r>
      <w:r w:rsidR="00C7687B" w:rsidRPr="00A20E96">
        <w:rPr>
          <w:noProof/>
        </w:rPr>
        <w:t xml:space="preserve"> sending instant credit transfers in euro by 9 July</w:t>
      </w:r>
      <w:r w:rsidR="000D1771" w:rsidRPr="00A20E96">
        <w:rPr>
          <w:noProof/>
        </w:rPr>
        <w:t xml:space="preserve"> </w:t>
      </w:r>
      <w:r w:rsidR="00C7687B" w:rsidRPr="00A20E96">
        <w:rPr>
          <w:noProof/>
        </w:rPr>
        <w:t>2027,</w:t>
      </w:r>
      <w:r w:rsidR="000D1771" w:rsidRPr="00A20E96">
        <w:rPr>
          <w:noProof/>
        </w:rPr>
        <w:t xml:space="preserve"> </w:t>
      </w:r>
      <w:r w:rsidR="0075651E" w:rsidRPr="00A20E96">
        <w:rPr>
          <w:noProof/>
        </w:rPr>
        <w:t xml:space="preserve">as laid down in Article 5a(8) of Regulation (EU) No 260/2012. Those PSPs should also comply with obligations regarding the charges levied on payers and payees in respect of sending and receiving instant credit transfers in </w:t>
      </w:r>
      <w:r w:rsidR="006F68C4" w:rsidRPr="00A20E96">
        <w:rPr>
          <w:noProof/>
        </w:rPr>
        <w:t>e</w:t>
      </w:r>
      <w:r w:rsidR="0075651E" w:rsidRPr="00A20E96">
        <w:rPr>
          <w:noProof/>
        </w:rPr>
        <w:t>uro by 9 January 2027, in accordance with Article 5b(3)</w:t>
      </w:r>
      <w:r w:rsidR="006F68C4" w:rsidRPr="00A20E96">
        <w:rPr>
          <w:noProof/>
        </w:rPr>
        <w:t>,</w:t>
      </w:r>
      <w:r w:rsidR="0075651E" w:rsidRPr="00A20E96">
        <w:rPr>
          <w:noProof/>
        </w:rPr>
        <w:t xml:space="preserve"> second subparagraph</w:t>
      </w:r>
      <w:r w:rsidR="006F68C4" w:rsidRPr="00A20E96">
        <w:rPr>
          <w:noProof/>
        </w:rPr>
        <w:t>, of that Regulation</w:t>
      </w:r>
      <w:r w:rsidR="0075651E" w:rsidRPr="00A20E96">
        <w:rPr>
          <w:noProof/>
        </w:rPr>
        <w:t xml:space="preserve">. </w:t>
      </w:r>
      <w:r w:rsidR="00E06ADC" w:rsidRPr="00A20E96">
        <w:rPr>
          <w:noProof/>
        </w:rPr>
        <w:t>T</w:t>
      </w:r>
      <w:r w:rsidR="00DF7D1B" w:rsidRPr="00A20E96">
        <w:rPr>
          <w:noProof/>
        </w:rPr>
        <w:t xml:space="preserve">o </w:t>
      </w:r>
      <w:r w:rsidR="000068B4" w:rsidRPr="00A20E96">
        <w:rPr>
          <w:noProof/>
        </w:rPr>
        <w:t>enable the Commission to evaluate</w:t>
      </w:r>
      <w:r w:rsidR="00DF7D1B" w:rsidRPr="00A20E96">
        <w:rPr>
          <w:noProof/>
        </w:rPr>
        <w:t xml:space="preserve"> the impact of Regulation (EU) No 260/2012 on the level of charges for credit transfers, including instant credit transfers</w:t>
      </w:r>
      <w:r w:rsidR="00780FEA" w:rsidRPr="00A20E96">
        <w:rPr>
          <w:noProof/>
        </w:rPr>
        <w:t>,</w:t>
      </w:r>
      <w:r w:rsidR="00DF7D1B" w:rsidRPr="00A20E96">
        <w:rPr>
          <w:noProof/>
        </w:rPr>
        <w:t xml:space="preserve"> denominated in the national currency of the Member States whose currency is not the euro, </w:t>
      </w:r>
      <w:r w:rsidR="00780FEA" w:rsidRPr="00A20E96">
        <w:rPr>
          <w:noProof/>
        </w:rPr>
        <w:t>pursuant to Article 15(2), point</w:t>
      </w:r>
      <w:r w:rsidR="000068B4" w:rsidRPr="00A20E96">
        <w:rPr>
          <w:noProof/>
        </w:rPr>
        <w:t> </w:t>
      </w:r>
      <w:r w:rsidR="00780FEA" w:rsidRPr="00A20E96">
        <w:rPr>
          <w:noProof/>
        </w:rPr>
        <w:t>(a)</w:t>
      </w:r>
      <w:r w:rsidR="00951211" w:rsidRPr="00A20E96">
        <w:rPr>
          <w:noProof/>
        </w:rPr>
        <w:t>,</w:t>
      </w:r>
      <w:r w:rsidR="00780FEA" w:rsidRPr="00A20E96">
        <w:rPr>
          <w:noProof/>
        </w:rPr>
        <w:t xml:space="preserve"> of that Regulation, </w:t>
      </w:r>
      <w:r w:rsidR="000D1771" w:rsidRPr="00A20E96">
        <w:rPr>
          <w:noProof/>
        </w:rPr>
        <w:t xml:space="preserve">it is appropriate that </w:t>
      </w:r>
      <w:r w:rsidR="009713B0" w:rsidRPr="00A20E96">
        <w:rPr>
          <w:noProof/>
        </w:rPr>
        <w:t xml:space="preserve">PSPs </w:t>
      </w:r>
      <w:r w:rsidR="00C7687B" w:rsidRPr="00A20E96">
        <w:rPr>
          <w:noProof/>
        </w:rPr>
        <w:t xml:space="preserve">that are </w:t>
      </w:r>
      <w:r w:rsidR="009713B0" w:rsidRPr="00A20E96">
        <w:rPr>
          <w:noProof/>
        </w:rPr>
        <w:t xml:space="preserve">located in </w:t>
      </w:r>
      <w:r w:rsidR="00DF7D1B" w:rsidRPr="00A20E96">
        <w:rPr>
          <w:noProof/>
        </w:rPr>
        <w:t>those Member States</w:t>
      </w:r>
      <w:r w:rsidR="009713B0" w:rsidRPr="00A20E96">
        <w:rPr>
          <w:noProof/>
        </w:rPr>
        <w:t xml:space="preserve"> </w:t>
      </w:r>
      <w:r w:rsidR="00C7687B" w:rsidRPr="00A20E96">
        <w:rPr>
          <w:noProof/>
        </w:rPr>
        <w:t xml:space="preserve">and that </w:t>
      </w:r>
      <w:r w:rsidR="00244629" w:rsidRPr="00A20E96">
        <w:rPr>
          <w:noProof/>
        </w:rPr>
        <w:t>offer</w:t>
      </w:r>
      <w:r w:rsidR="00C7687B" w:rsidRPr="00A20E96">
        <w:rPr>
          <w:noProof/>
        </w:rPr>
        <w:t xml:space="preserve"> their PSUs </w:t>
      </w:r>
      <w:r w:rsidR="00244629" w:rsidRPr="00A20E96">
        <w:rPr>
          <w:noProof/>
        </w:rPr>
        <w:t>the</w:t>
      </w:r>
      <w:r w:rsidR="00C7687B" w:rsidRPr="00A20E96">
        <w:rPr>
          <w:noProof/>
        </w:rPr>
        <w:t xml:space="preserve"> payment service of receiving and sending regular credit transfers in euro </w:t>
      </w:r>
      <w:r w:rsidR="009713B0" w:rsidRPr="00A20E96">
        <w:rPr>
          <w:noProof/>
        </w:rPr>
        <w:t xml:space="preserve">should report </w:t>
      </w:r>
      <w:r w:rsidR="00160FDD" w:rsidRPr="00A20E96">
        <w:rPr>
          <w:noProof/>
        </w:rPr>
        <w:t xml:space="preserve">on the </w:t>
      </w:r>
      <w:r w:rsidR="00DF7D1B" w:rsidRPr="00A20E96">
        <w:rPr>
          <w:noProof/>
        </w:rPr>
        <w:t>numbers and values of</w:t>
      </w:r>
      <w:r w:rsidR="007A16D3" w:rsidRPr="00A20E96">
        <w:rPr>
          <w:noProof/>
        </w:rPr>
        <w:t>,</w:t>
      </w:r>
      <w:r w:rsidR="00DF7D1B" w:rsidRPr="00A20E96">
        <w:rPr>
          <w:noProof/>
        </w:rPr>
        <w:t xml:space="preserve"> and charges for</w:t>
      </w:r>
      <w:r w:rsidR="007A16D3" w:rsidRPr="00A20E96">
        <w:rPr>
          <w:noProof/>
        </w:rPr>
        <w:t>,</w:t>
      </w:r>
      <w:r w:rsidR="00DF7D1B" w:rsidRPr="00A20E96">
        <w:rPr>
          <w:noProof/>
        </w:rPr>
        <w:t xml:space="preserve"> credit transfers, including instant </w:t>
      </w:r>
      <w:r w:rsidR="009713B0" w:rsidRPr="00A20E96">
        <w:rPr>
          <w:noProof/>
        </w:rPr>
        <w:t>credit transfers</w:t>
      </w:r>
      <w:r w:rsidR="00DF7D1B" w:rsidRPr="00A20E96">
        <w:rPr>
          <w:noProof/>
        </w:rPr>
        <w:t>,</w:t>
      </w:r>
      <w:r w:rsidR="009713B0" w:rsidRPr="00A20E96">
        <w:rPr>
          <w:noProof/>
        </w:rPr>
        <w:t xml:space="preserve"> denominated in </w:t>
      </w:r>
      <w:r w:rsidR="00160FDD" w:rsidRPr="00A20E96">
        <w:rPr>
          <w:noProof/>
        </w:rPr>
        <w:t xml:space="preserve">their </w:t>
      </w:r>
      <w:r w:rsidR="009713B0" w:rsidRPr="00A20E96">
        <w:rPr>
          <w:noProof/>
        </w:rPr>
        <w:t>national currency and in euro.</w:t>
      </w:r>
    </w:p>
    <w:p w:rsidR="009713B0" w:rsidRPr="00A20E96" w:rsidRDefault="0053410F" w:rsidP="0053410F">
      <w:pPr>
        <w:pStyle w:val="ManualConsidrant"/>
        <w:rPr>
          <w:noProof/>
        </w:rPr>
      </w:pPr>
      <w:r w:rsidRPr="0053410F">
        <w:rPr>
          <w:noProof/>
        </w:rPr>
        <w:t>(5)</w:t>
      </w:r>
      <w:r w:rsidRPr="0053410F">
        <w:rPr>
          <w:noProof/>
        </w:rPr>
        <w:tab/>
      </w:r>
      <w:r w:rsidR="009713B0" w:rsidRPr="00A20E96">
        <w:rPr>
          <w:noProof/>
        </w:rPr>
        <w:t>For the purposes of the reporting in accordance with Article 15(3) of Regulation (EU) No</w:t>
      </w:r>
      <w:r w:rsidR="008413EA" w:rsidRPr="00A20E96">
        <w:rPr>
          <w:noProof/>
        </w:rPr>
        <w:t> </w:t>
      </w:r>
      <w:r w:rsidR="009713B0" w:rsidRPr="00A20E96">
        <w:rPr>
          <w:noProof/>
        </w:rPr>
        <w:t>260/2012</w:t>
      </w:r>
      <w:r w:rsidR="008413EA" w:rsidRPr="00A20E96">
        <w:rPr>
          <w:noProof/>
        </w:rPr>
        <w:t>,</w:t>
      </w:r>
      <w:r w:rsidR="009713B0" w:rsidRPr="00A20E96">
        <w:rPr>
          <w:noProof/>
        </w:rPr>
        <w:t xml:space="preserve"> PSPs should provide the</w:t>
      </w:r>
      <w:r w:rsidR="00A008CD" w:rsidRPr="00A20E96">
        <w:rPr>
          <w:noProof/>
        </w:rPr>
        <w:t>ir</w:t>
      </w:r>
      <w:r w:rsidR="009713B0" w:rsidRPr="00A20E96">
        <w:rPr>
          <w:noProof/>
        </w:rPr>
        <w:t xml:space="preserve"> competent authorities with data on</w:t>
      </w:r>
      <w:r w:rsidR="00E327E6" w:rsidRPr="00A20E96">
        <w:rPr>
          <w:noProof/>
        </w:rPr>
        <w:t xml:space="preserve"> the </w:t>
      </w:r>
      <w:r w:rsidR="007A16D3" w:rsidRPr="00A20E96">
        <w:rPr>
          <w:noProof/>
        </w:rPr>
        <w:t xml:space="preserve">total </w:t>
      </w:r>
      <w:r w:rsidR="00E327E6" w:rsidRPr="00A20E96">
        <w:rPr>
          <w:noProof/>
        </w:rPr>
        <w:t xml:space="preserve">number of payment accounts </w:t>
      </w:r>
      <w:r w:rsidR="00A6338B" w:rsidRPr="00A20E96">
        <w:rPr>
          <w:noProof/>
        </w:rPr>
        <w:t>and with</w:t>
      </w:r>
      <w:r w:rsidR="009713B0" w:rsidRPr="00A20E96">
        <w:rPr>
          <w:noProof/>
        </w:rPr>
        <w:t xml:space="preserve"> </w:t>
      </w:r>
      <w:r w:rsidR="004163A8" w:rsidRPr="00A20E96">
        <w:rPr>
          <w:noProof/>
        </w:rPr>
        <w:t xml:space="preserve">the </w:t>
      </w:r>
      <w:r w:rsidR="007A16D3" w:rsidRPr="00A20E96">
        <w:rPr>
          <w:noProof/>
        </w:rPr>
        <w:t xml:space="preserve">aggregated </w:t>
      </w:r>
      <w:r w:rsidR="009713B0" w:rsidRPr="00A20E96">
        <w:rPr>
          <w:noProof/>
        </w:rPr>
        <w:t>level of total charges for payment accounts</w:t>
      </w:r>
      <w:r w:rsidR="00B12237" w:rsidRPr="00A20E96">
        <w:rPr>
          <w:noProof/>
        </w:rPr>
        <w:t>.</w:t>
      </w:r>
      <w:r w:rsidR="009713B0" w:rsidRPr="00A20E96">
        <w:rPr>
          <w:noProof/>
        </w:rPr>
        <w:t xml:space="preserve"> </w:t>
      </w:r>
      <w:r w:rsidR="00A6338B" w:rsidRPr="00A20E96">
        <w:rPr>
          <w:noProof/>
        </w:rPr>
        <w:t>To enable</w:t>
      </w:r>
      <w:r w:rsidR="000068B4" w:rsidRPr="00A20E96">
        <w:rPr>
          <w:noProof/>
        </w:rPr>
        <w:t xml:space="preserve"> the Commission</w:t>
      </w:r>
      <w:r w:rsidR="00A6338B" w:rsidRPr="00A20E96">
        <w:rPr>
          <w:noProof/>
        </w:rPr>
        <w:t xml:space="preserve"> to assess whether there is a link between potential changes in the charges for payment accounts and changes in the charges for credit transfers and instant credit transfers, t</w:t>
      </w:r>
      <w:r w:rsidR="00B12237" w:rsidRPr="00A20E96">
        <w:rPr>
          <w:noProof/>
        </w:rPr>
        <w:t xml:space="preserve">he reporting should </w:t>
      </w:r>
      <w:r w:rsidR="009713B0" w:rsidRPr="00A20E96">
        <w:rPr>
          <w:noProof/>
        </w:rPr>
        <w:t>includ</w:t>
      </w:r>
      <w:r w:rsidR="00B12237" w:rsidRPr="00A20E96">
        <w:rPr>
          <w:noProof/>
        </w:rPr>
        <w:t>e</w:t>
      </w:r>
      <w:r w:rsidR="009713B0" w:rsidRPr="00A20E96">
        <w:rPr>
          <w:noProof/>
        </w:rPr>
        <w:t xml:space="preserve"> breakdowns for maintenance fees.</w:t>
      </w:r>
    </w:p>
    <w:p w:rsidR="009713B0" w:rsidRPr="00A20E96" w:rsidRDefault="0053410F" w:rsidP="0053410F">
      <w:pPr>
        <w:pStyle w:val="ManualConsidrant"/>
        <w:rPr>
          <w:noProof/>
        </w:rPr>
      </w:pPr>
      <w:r w:rsidRPr="0053410F">
        <w:rPr>
          <w:noProof/>
        </w:rPr>
        <w:t>(6)</w:t>
      </w:r>
      <w:r w:rsidRPr="0053410F">
        <w:rPr>
          <w:noProof/>
        </w:rPr>
        <w:tab/>
      </w:r>
      <w:r w:rsidR="00136075" w:rsidRPr="00A20E96">
        <w:rPr>
          <w:noProof/>
        </w:rPr>
        <w:t xml:space="preserve">To enable </w:t>
      </w:r>
      <w:r w:rsidR="006033A9" w:rsidRPr="00A20E96">
        <w:rPr>
          <w:noProof/>
        </w:rPr>
        <w:t xml:space="preserve">the Commission </w:t>
      </w:r>
      <w:r w:rsidR="00136075" w:rsidRPr="00A20E96">
        <w:rPr>
          <w:noProof/>
        </w:rPr>
        <w:t>to assess the share of rejected instant credit transfers due to the application of targeted financial restrictive measures adopted in accordance with Article 215 of the Treaty</w:t>
      </w:r>
      <w:r w:rsidR="00374796" w:rsidRPr="00A20E96">
        <w:rPr>
          <w:noProof/>
        </w:rPr>
        <w:t xml:space="preserve"> on the Functioning of the European Union</w:t>
      </w:r>
      <w:r w:rsidR="00136075" w:rsidRPr="00A20E96">
        <w:rPr>
          <w:noProof/>
        </w:rPr>
        <w:t>,</w:t>
      </w:r>
      <w:r w:rsidR="00F35509" w:rsidRPr="00A20E96">
        <w:rPr>
          <w:noProof/>
        </w:rPr>
        <w:t xml:space="preserve"> and to assess whether that share has changed </w:t>
      </w:r>
      <w:r w:rsidR="005432C7" w:rsidRPr="00A20E96">
        <w:rPr>
          <w:noProof/>
        </w:rPr>
        <w:t>after</w:t>
      </w:r>
      <w:r w:rsidR="00F35509" w:rsidRPr="00A20E96">
        <w:rPr>
          <w:noProof/>
        </w:rPr>
        <w:t xml:space="preserve"> the amendments to Regulation (EU) No 260/2012</w:t>
      </w:r>
      <w:r w:rsidR="00561C47" w:rsidRPr="00A20E96">
        <w:rPr>
          <w:noProof/>
        </w:rPr>
        <w:t xml:space="preserve"> </w:t>
      </w:r>
      <w:r w:rsidR="007A16D3" w:rsidRPr="00A20E96">
        <w:rPr>
          <w:noProof/>
        </w:rPr>
        <w:t xml:space="preserve">introduced by </w:t>
      </w:r>
      <w:r w:rsidR="00561C47" w:rsidRPr="00A20E96">
        <w:rPr>
          <w:noProof/>
        </w:rPr>
        <w:t>Regulation (EU) 2024/886</w:t>
      </w:r>
      <w:r w:rsidR="00AD7B15" w:rsidRPr="00A20E96">
        <w:rPr>
          <w:noProof/>
        </w:rPr>
        <w:t xml:space="preserve"> of the European Parliament and of the Council</w:t>
      </w:r>
      <w:r w:rsidR="00AD7B15" w:rsidRPr="00A20E96">
        <w:rPr>
          <w:rStyle w:val="FootnoteReference"/>
          <w:noProof/>
        </w:rPr>
        <w:footnoteReference w:id="3"/>
      </w:r>
      <w:r w:rsidR="00F35509" w:rsidRPr="00A20E96">
        <w:rPr>
          <w:noProof/>
        </w:rPr>
        <w:t xml:space="preserve"> </w:t>
      </w:r>
      <w:r w:rsidR="005432C7" w:rsidRPr="00A20E96">
        <w:rPr>
          <w:noProof/>
        </w:rPr>
        <w:t xml:space="preserve">have </w:t>
      </w:r>
      <w:r w:rsidR="000068B4" w:rsidRPr="00A20E96">
        <w:rPr>
          <w:noProof/>
        </w:rPr>
        <w:t>started to apply</w:t>
      </w:r>
      <w:r w:rsidR="00F35509" w:rsidRPr="00A20E96">
        <w:rPr>
          <w:noProof/>
        </w:rPr>
        <w:t>, PSPs should provide the</w:t>
      </w:r>
      <w:r w:rsidR="005432C7" w:rsidRPr="00A20E96">
        <w:rPr>
          <w:noProof/>
        </w:rPr>
        <w:t>ir</w:t>
      </w:r>
      <w:r w:rsidR="00F35509" w:rsidRPr="00A20E96">
        <w:rPr>
          <w:noProof/>
        </w:rPr>
        <w:t xml:space="preserve"> competent authorities with data on that share in a given year, including the number of instances where instant credit transfers were not executed or funds were frozen on the side of the payer’s </w:t>
      </w:r>
      <w:r w:rsidR="00677FED" w:rsidRPr="00A20E96">
        <w:rPr>
          <w:noProof/>
        </w:rPr>
        <w:t>or</w:t>
      </w:r>
      <w:r w:rsidR="00F35509" w:rsidRPr="00A20E96">
        <w:rPr>
          <w:noProof/>
        </w:rPr>
        <w:t xml:space="preserve"> payee’s PSP.</w:t>
      </w:r>
      <w:r w:rsidR="00626E74" w:rsidRPr="00A20E96">
        <w:rPr>
          <w:noProof/>
        </w:rPr>
        <w:t xml:space="preserve"> </w:t>
      </w:r>
    </w:p>
    <w:p w:rsidR="0039723A" w:rsidRPr="00C64FFA" w:rsidRDefault="0053410F" w:rsidP="0053410F">
      <w:pPr>
        <w:pStyle w:val="ManualConsidrant"/>
        <w:rPr>
          <w:noProof/>
        </w:rPr>
      </w:pPr>
      <w:r w:rsidRPr="0053410F">
        <w:rPr>
          <w:noProof/>
        </w:rPr>
        <w:t>(7)</w:t>
      </w:r>
      <w:r w:rsidRPr="0053410F">
        <w:rPr>
          <w:noProof/>
        </w:rPr>
        <w:tab/>
      </w:r>
      <w:r w:rsidR="00B17DF1" w:rsidRPr="00C64FFA">
        <w:rPr>
          <w:noProof/>
        </w:rPr>
        <w:t xml:space="preserve">To </w:t>
      </w:r>
      <w:r w:rsidR="00BD5B82">
        <w:rPr>
          <w:noProof/>
        </w:rPr>
        <w:t xml:space="preserve">harmonise </w:t>
      </w:r>
      <w:r w:rsidR="0039723A" w:rsidRPr="00C64FFA">
        <w:rPr>
          <w:noProof/>
        </w:rPr>
        <w:t>reporting, PSPs should use the data point model and the validation formulae made available on the website of the European Banking Authority (EBA).</w:t>
      </w:r>
      <w:r w:rsidR="00141C39" w:rsidRPr="00C64FFA">
        <w:rPr>
          <w:noProof/>
        </w:rPr>
        <w:t xml:space="preserve"> In addition, to </w:t>
      </w:r>
      <w:r w:rsidR="00BD5B82" w:rsidRPr="00C64FFA">
        <w:rPr>
          <w:noProof/>
        </w:rPr>
        <w:t>reduce the burden of reporting</w:t>
      </w:r>
      <w:r w:rsidR="00BD5B82">
        <w:rPr>
          <w:noProof/>
        </w:rPr>
        <w:t>, and</w:t>
      </w:r>
      <w:r w:rsidR="00BD5B82" w:rsidRPr="00C64FFA">
        <w:rPr>
          <w:noProof/>
        </w:rPr>
        <w:t xml:space="preserve"> </w:t>
      </w:r>
      <w:r w:rsidR="00141C39" w:rsidRPr="00C64FFA">
        <w:rPr>
          <w:noProof/>
        </w:rPr>
        <w:t>avoid any duplication, competent authorities should be able to allow PSPs located in their jurisdiction to</w:t>
      </w:r>
      <w:r w:rsidR="0098199B" w:rsidRPr="00C64FFA">
        <w:rPr>
          <w:noProof/>
        </w:rPr>
        <w:t xml:space="preserve"> limit the</w:t>
      </w:r>
      <w:r w:rsidR="00141C39" w:rsidRPr="00C64FFA">
        <w:rPr>
          <w:noProof/>
        </w:rPr>
        <w:t xml:space="preserve"> report</w:t>
      </w:r>
      <w:r w:rsidR="0098199B" w:rsidRPr="00C64FFA">
        <w:rPr>
          <w:noProof/>
        </w:rPr>
        <w:t xml:space="preserve">ing to those </w:t>
      </w:r>
      <w:r w:rsidR="00141C39" w:rsidRPr="00C64FFA">
        <w:rPr>
          <w:noProof/>
        </w:rPr>
        <w:t xml:space="preserve">data points that have </w:t>
      </w:r>
      <w:r w:rsidR="009A2B3E" w:rsidRPr="00C64FFA">
        <w:rPr>
          <w:noProof/>
        </w:rPr>
        <w:t xml:space="preserve">not </w:t>
      </w:r>
      <w:r w:rsidR="00141C39" w:rsidRPr="00C64FFA">
        <w:rPr>
          <w:noProof/>
        </w:rPr>
        <w:t>been previously submitted.</w:t>
      </w:r>
    </w:p>
    <w:p w:rsidR="009713B0" w:rsidRPr="00C64FFA" w:rsidRDefault="0053410F" w:rsidP="0053410F">
      <w:pPr>
        <w:pStyle w:val="ManualConsidrant"/>
        <w:rPr>
          <w:noProof/>
        </w:rPr>
      </w:pPr>
      <w:r w:rsidRPr="0053410F">
        <w:rPr>
          <w:noProof/>
        </w:rPr>
        <w:t>(8)</w:t>
      </w:r>
      <w:r w:rsidRPr="0053410F">
        <w:rPr>
          <w:noProof/>
        </w:rPr>
        <w:tab/>
      </w:r>
      <w:r w:rsidR="009713B0" w:rsidRPr="00C64FFA">
        <w:rPr>
          <w:noProof/>
        </w:rPr>
        <w:t xml:space="preserve">This </w:t>
      </w:r>
      <w:r w:rsidR="009713B0" w:rsidRPr="00C64FFA">
        <w:rPr>
          <w:iCs/>
          <w:noProof/>
        </w:rPr>
        <w:t>Regulation</w:t>
      </w:r>
      <w:r w:rsidR="009713B0" w:rsidRPr="00C64FFA">
        <w:rPr>
          <w:noProof/>
        </w:rPr>
        <w:t xml:space="preserve"> is based on the draft implementing technical standards submitted to the Commission by the </w:t>
      </w:r>
      <w:r w:rsidR="00954A2A" w:rsidRPr="00C64FFA">
        <w:rPr>
          <w:noProof/>
        </w:rPr>
        <w:t>EBA</w:t>
      </w:r>
      <w:r w:rsidR="009713B0" w:rsidRPr="00C64FFA">
        <w:rPr>
          <w:noProof/>
        </w:rPr>
        <w:t>.</w:t>
      </w:r>
    </w:p>
    <w:p w:rsidR="009713B0" w:rsidRPr="00C64FFA" w:rsidRDefault="0053410F" w:rsidP="0053410F">
      <w:pPr>
        <w:pStyle w:val="ManualConsidrant"/>
        <w:rPr>
          <w:noProof/>
        </w:rPr>
      </w:pPr>
      <w:r w:rsidRPr="0053410F">
        <w:rPr>
          <w:noProof/>
        </w:rPr>
        <w:t>(9)</w:t>
      </w:r>
      <w:r w:rsidRPr="0053410F">
        <w:rPr>
          <w:noProof/>
        </w:rPr>
        <w:tab/>
      </w:r>
      <w:r w:rsidR="009713B0" w:rsidRPr="00C64FFA">
        <w:rPr>
          <w:noProof/>
        </w:rPr>
        <w:t xml:space="preserve">The </w:t>
      </w:r>
      <w:r w:rsidR="009713B0" w:rsidRPr="00C64FFA">
        <w:rPr>
          <w:iCs/>
          <w:noProof/>
        </w:rPr>
        <w:t>E</w:t>
      </w:r>
      <w:r w:rsidR="00954A2A" w:rsidRPr="00C64FFA">
        <w:rPr>
          <w:iCs/>
          <w:noProof/>
        </w:rPr>
        <w:t>BA</w:t>
      </w:r>
      <w:r w:rsidR="009713B0" w:rsidRPr="00C64FFA">
        <w:rPr>
          <w:noProof/>
        </w:rPr>
        <w:t xml:space="preserve"> has conducted open public consultations on the draft implementing technical standards on which this Regulation is based, analysed the potential related costs and benefits and requested the advice of the Banking Stakeholder Group established in accordance with Article 37 of Regulation (EU) No</w:t>
      </w:r>
      <w:r w:rsidR="008836F9" w:rsidRPr="00C64FFA">
        <w:rPr>
          <w:noProof/>
        </w:rPr>
        <w:t> </w:t>
      </w:r>
      <w:r w:rsidR="009713B0" w:rsidRPr="00C64FFA">
        <w:rPr>
          <w:noProof/>
        </w:rPr>
        <w:t>1093/2010 of the European Parliament and of the Council</w:t>
      </w:r>
      <w:r w:rsidR="009713B0" w:rsidRPr="00C64FFA">
        <w:rPr>
          <w:rStyle w:val="FootnoteReference"/>
          <w:noProof/>
        </w:rPr>
        <w:footnoteReference w:id="4"/>
      </w:r>
      <w:r w:rsidR="009713B0" w:rsidRPr="00C64FFA">
        <w:rPr>
          <w:noProof/>
        </w:rPr>
        <w:t>,</w:t>
      </w:r>
    </w:p>
    <w:p w:rsidR="009713B0" w:rsidRPr="00C64FFA" w:rsidRDefault="009713B0" w:rsidP="009713B0">
      <w:pPr>
        <w:pStyle w:val="Formuledadoption"/>
        <w:rPr>
          <w:noProof/>
        </w:rPr>
      </w:pPr>
      <w:r w:rsidRPr="00C64FFA">
        <w:rPr>
          <w:noProof/>
        </w:rPr>
        <w:t>HAS ADOPTED THIS REGULATION:</w:t>
      </w:r>
    </w:p>
    <w:p w:rsidR="009713B0" w:rsidRPr="00C64FFA" w:rsidRDefault="009713B0" w:rsidP="009713B0">
      <w:pPr>
        <w:pStyle w:val="Titrearticle"/>
        <w:rPr>
          <w:noProof/>
        </w:rPr>
      </w:pPr>
      <w:r w:rsidRPr="00C64FFA">
        <w:rPr>
          <w:noProof/>
        </w:rPr>
        <w:t>Article 1</w:t>
      </w:r>
    </w:p>
    <w:p w:rsidR="009713B0" w:rsidRPr="00C64FFA" w:rsidRDefault="009713B0" w:rsidP="009713B0">
      <w:pPr>
        <w:jc w:val="center"/>
        <w:rPr>
          <w:b/>
          <w:bCs/>
          <w:noProof/>
        </w:rPr>
      </w:pPr>
      <w:r w:rsidRPr="00C64FFA">
        <w:rPr>
          <w:b/>
          <w:bCs/>
          <w:noProof/>
        </w:rPr>
        <w:t xml:space="preserve">Reporting on </w:t>
      </w:r>
      <w:r w:rsidR="00A54C7E" w:rsidRPr="00C64FFA">
        <w:rPr>
          <w:b/>
          <w:bCs/>
          <w:noProof/>
        </w:rPr>
        <w:t xml:space="preserve">the </w:t>
      </w:r>
      <w:r w:rsidRPr="00C64FFA">
        <w:rPr>
          <w:b/>
          <w:bCs/>
          <w:noProof/>
        </w:rPr>
        <w:t>level of charges</w:t>
      </w:r>
    </w:p>
    <w:p w:rsidR="009713B0" w:rsidRPr="00C64FFA" w:rsidRDefault="009713B0" w:rsidP="009713B0">
      <w:pPr>
        <w:pStyle w:val="Point0"/>
        <w:rPr>
          <w:noProof/>
        </w:rPr>
      </w:pPr>
      <w:r w:rsidRPr="00C64FFA">
        <w:rPr>
          <w:noProof/>
        </w:rPr>
        <w:t>1.</w:t>
      </w:r>
      <w:r w:rsidRPr="00C64FFA">
        <w:rPr>
          <w:noProof/>
        </w:rPr>
        <w:tab/>
        <w:t xml:space="preserve">PSPs shall report </w:t>
      </w:r>
      <w:r w:rsidR="00316FD9" w:rsidRPr="00C64FFA">
        <w:rPr>
          <w:noProof/>
        </w:rPr>
        <w:t xml:space="preserve">on </w:t>
      </w:r>
      <w:r w:rsidRPr="00C64FFA">
        <w:rPr>
          <w:noProof/>
        </w:rPr>
        <w:t xml:space="preserve">the </w:t>
      </w:r>
      <w:r w:rsidR="002B1522" w:rsidRPr="00C64FFA">
        <w:rPr>
          <w:noProof/>
        </w:rPr>
        <w:t xml:space="preserve">level of </w:t>
      </w:r>
      <w:r w:rsidRPr="00C64FFA">
        <w:rPr>
          <w:noProof/>
        </w:rPr>
        <w:t xml:space="preserve">charges for credit transfers, instant credit transfers and payment accounts by submitting the information specified in templates </w:t>
      </w:r>
      <w:r w:rsidR="002102D8" w:rsidRPr="00C64FFA">
        <w:rPr>
          <w:noProof/>
        </w:rPr>
        <w:t>1.1, 1.2, 2.1</w:t>
      </w:r>
      <w:r w:rsidR="00AB50BC" w:rsidRPr="00C64FFA">
        <w:rPr>
          <w:noProof/>
        </w:rPr>
        <w:t xml:space="preserve">, </w:t>
      </w:r>
      <w:r w:rsidR="002102D8" w:rsidRPr="00C64FFA">
        <w:rPr>
          <w:noProof/>
        </w:rPr>
        <w:t xml:space="preserve">2.2 </w:t>
      </w:r>
      <w:r w:rsidR="00AB50BC" w:rsidRPr="00C64FFA">
        <w:rPr>
          <w:noProof/>
        </w:rPr>
        <w:t xml:space="preserve">and 3 </w:t>
      </w:r>
      <w:r w:rsidR="004B2FFA" w:rsidRPr="00C64FFA">
        <w:rPr>
          <w:noProof/>
        </w:rPr>
        <w:t xml:space="preserve">set out </w:t>
      </w:r>
      <w:r w:rsidRPr="00C64FFA">
        <w:rPr>
          <w:noProof/>
        </w:rPr>
        <w:t>in Annex I and in accordance with the instructions set out in Annex II.</w:t>
      </w:r>
    </w:p>
    <w:p w:rsidR="009713B0" w:rsidRPr="00C64FFA" w:rsidRDefault="009713B0" w:rsidP="009713B0">
      <w:pPr>
        <w:pStyle w:val="Point0"/>
        <w:rPr>
          <w:noProof/>
        </w:rPr>
      </w:pPr>
      <w:r w:rsidRPr="00C64FFA">
        <w:rPr>
          <w:noProof/>
        </w:rPr>
        <w:t>2.</w:t>
      </w:r>
      <w:r w:rsidRPr="00C64FFA">
        <w:rPr>
          <w:noProof/>
        </w:rPr>
        <w:tab/>
        <w:t xml:space="preserve">PSPs shall report the annual aggregate figures up until 31 of December of the calendar year preceding the year </w:t>
      </w:r>
      <w:r w:rsidR="00A54C7E" w:rsidRPr="00C64FFA">
        <w:rPr>
          <w:noProof/>
        </w:rPr>
        <w:t xml:space="preserve">in which </w:t>
      </w:r>
      <w:r w:rsidRPr="00C64FFA">
        <w:rPr>
          <w:noProof/>
        </w:rPr>
        <w:t xml:space="preserve">the report </w:t>
      </w:r>
      <w:r w:rsidR="00A54C7E" w:rsidRPr="00C64FFA">
        <w:rPr>
          <w:noProof/>
        </w:rPr>
        <w:t>is</w:t>
      </w:r>
      <w:r w:rsidRPr="00C64FFA">
        <w:rPr>
          <w:noProof/>
        </w:rPr>
        <w:t xml:space="preserve"> submitted.</w:t>
      </w:r>
    </w:p>
    <w:p w:rsidR="009713B0" w:rsidRPr="00C64FFA" w:rsidRDefault="009713B0" w:rsidP="009713B0">
      <w:pPr>
        <w:pStyle w:val="Point0"/>
        <w:rPr>
          <w:noProof/>
        </w:rPr>
      </w:pPr>
      <w:r w:rsidRPr="00C64FFA">
        <w:rPr>
          <w:noProof/>
        </w:rPr>
        <w:t>3.</w:t>
      </w:r>
      <w:r w:rsidRPr="00C64FFA">
        <w:rPr>
          <w:noProof/>
        </w:rPr>
        <w:tab/>
        <w:t xml:space="preserve">By way of derogation from paragraph </w:t>
      </w:r>
      <w:r w:rsidR="004B2FFA" w:rsidRPr="00C64FFA">
        <w:rPr>
          <w:noProof/>
        </w:rPr>
        <w:t>2</w:t>
      </w:r>
      <w:r w:rsidRPr="00C64FFA">
        <w:rPr>
          <w:noProof/>
        </w:rPr>
        <w:t xml:space="preserve">, the first harmonised report shall </w:t>
      </w:r>
      <w:r w:rsidR="004442AF" w:rsidRPr="00C64FFA">
        <w:rPr>
          <w:noProof/>
        </w:rPr>
        <w:t xml:space="preserve">contain </w:t>
      </w:r>
      <w:r w:rsidRPr="00C64FFA">
        <w:rPr>
          <w:noProof/>
        </w:rPr>
        <w:t>aggregate figures for each year preceding the year</w:t>
      </w:r>
      <w:r w:rsidR="00A54C7E" w:rsidRPr="00C64FFA">
        <w:rPr>
          <w:noProof/>
        </w:rPr>
        <w:t xml:space="preserve"> in which</w:t>
      </w:r>
      <w:r w:rsidRPr="00C64FFA">
        <w:rPr>
          <w:noProof/>
        </w:rPr>
        <w:t xml:space="preserve"> the report is submitted, starting with the period of 26 October 2022 – 31 December 2022, for 2022.</w:t>
      </w:r>
    </w:p>
    <w:p w:rsidR="009713B0" w:rsidRPr="00C64FFA" w:rsidRDefault="009713B0" w:rsidP="009713B0">
      <w:pPr>
        <w:pStyle w:val="Titrearticle"/>
        <w:rPr>
          <w:noProof/>
        </w:rPr>
      </w:pPr>
      <w:r w:rsidRPr="00C64FFA">
        <w:rPr>
          <w:noProof/>
        </w:rPr>
        <w:t>Article 2</w:t>
      </w:r>
    </w:p>
    <w:p w:rsidR="009713B0" w:rsidRPr="00C64FFA" w:rsidRDefault="009713B0" w:rsidP="009713B0">
      <w:pPr>
        <w:jc w:val="center"/>
        <w:rPr>
          <w:b/>
          <w:bCs/>
          <w:noProof/>
        </w:rPr>
      </w:pPr>
      <w:r w:rsidRPr="00C64FFA">
        <w:rPr>
          <w:b/>
          <w:bCs/>
          <w:noProof/>
        </w:rPr>
        <w:t xml:space="preserve">Reporting of share of rejected </w:t>
      </w:r>
      <w:r w:rsidR="00CE1C7A" w:rsidRPr="00C64FFA">
        <w:rPr>
          <w:b/>
          <w:bCs/>
          <w:noProof/>
        </w:rPr>
        <w:t>instant credit transfer</w:t>
      </w:r>
      <w:r w:rsidRPr="00C64FFA">
        <w:rPr>
          <w:b/>
          <w:bCs/>
          <w:noProof/>
        </w:rPr>
        <w:t xml:space="preserve"> transactions and reference periods</w:t>
      </w:r>
    </w:p>
    <w:p w:rsidR="009713B0" w:rsidRPr="00C64FFA" w:rsidRDefault="009713B0" w:rsidP="009713B0">
      <w:pPr>
        <w:pStyle w:val="Point0"/>
        <w:rPr>
          <w:noProof/>
        </w:rPr>
      </w:pPr>
      <w:r w:rsidRPr="00C64FFA">
        <w:rPr>
          <w:noProof/>
        </w:rPr>
        <w:t>1.</w:t>
      </w:r>
      <w:r w:rsidRPr="00C64FFA">
        <w:rPr>
          <w:noProof/>
        </w:rPr>
        <w:tab/>
        <w:t xml:space="preserve">PSPs shall report the share of </w:t>
      </w:r>
      <w:r w:rsidR="00CE1C7A" w:rsidRPr="00C64FFA">
        <w:rPr>
          <w:noProof/>
        </w:rPr>
        <w:t xml:space="preserve">instant credit transfer </w:t>
      </w:r>
      <w:r w:rsidRPr="00C64FFA">
        <w:rPr>
          <w:noProof/>
        </w:rPr>
        <w:t xml:space="preserve">transactions </w:t>
      </w:r>
      <w:r w:rsidR="00251D78" w:rsidRPr="00C64FFA">
        <w:rPr>
          <w:noProof/>
        </w:rPr>
        <w:t xml:space="preserve">that have been rejected due to targeted financial restrictive measures, </w:t>
      </w:r>
      <w:r w:rsidRPr="00C64FFA">
        <w:rPr>
          <w:noProof/>
        </w:rPr>
        <w:t>as referred to in Article</w:t>
      </w:r>
      <w:r w:rsidR="00251D78" w:rsidRPr="00C64FFA">
        <w:rPr>
          <w:noProof/>
        </w:rPr>
        <w:t> </w:t>
      </w:r>
      <w:r w:rsidRPr="00C64FFA">
        <w:rPr>
          <w:noProof/>
        </w:rPr>
        <w:t>15(3) of Regulation (EU) No 260/2012, including separate data for national and cross-border transactions, by submitting the information specified in template</w:t>
      </w:r>
      <w:r w:rsidR="00535135" w:rsidRPr="00C64FFA">
        <w:rPr>
          <w:noProof/>
        </w:rPr>
        <w:t xml:space="preserve"> 4 set out</w:t>
      </w:r>
      <w:r w:rsidRPr="00C64FFA">
        <w:rPr>
          <w:noProof/>
        </w:rPr>
        <w:t xml:space="preserve"> in Annex I and in accordance with the instructions set out in Annex II.</w:t>
      </w:r>
    </w:p>
    <w:p w:rsidR="009713B0" w:rsidRPr="00C64FFA" w:rsidRDefault="009713B0" w:rsidP="009713B0">
      <w:pPr>
        <w:pStyle w:val="Point0"/>
        <w:rPr>
          <w:noProof/>
        </w:rPr>
      </w:pPr>
      <w:r w:rsidRPr="00C64FFA">
        <w:rPr>
          <w:noProof/>
        </w:rPr>
        <w:t>2.</w:t>
      </w:r>
      <w:r w:rsidRPr="00C64FFA">
        <w:rPr>
          <w:noProof/>
        </w:rPr>
        <w:tab/>
        <w:t xml:space="preserve">The reports shall include the number of rejections for the calendar year preceding the year </w:t>
      </w:r>
      <w:r w:rsidR="00A54C7E" w:rsidRPr="00C64FFA">
        <w:rPr>
          <w:noProof/>
        </w:rPr>
        <w:t xml:space="preserve">in which </w:t>
      </w:r>
      <w:r w:rsidRPr="00C64FFA">
        <w:rPr>
          <w:noProof/>
        </w:rPr>
        <w:t>the report is submitted.</w:t>
      </w:r>
    </w:p>
    <w:p w:rsidR="00AD7B15" w:rsidRPr="00C64FFA" w:rsidRDefault="009713B0" w:rsidP="009713B0">
      <w:pPr>
        <w:pStyle w:val="Point0"/>
        <w:rPr>
          <w:noProof/>
        </w:rPr>
      </w:pPr>
      <w:r w:rsidRPr="00C64FFA">
        <w:rPr>
          <w:noProof/>
        </w:rPr>
        <w:t>3.</w:t>
      </w:r>
      <w:r w:rsidRPr="00C64FFA">
        <w:rPr>
          <w:noProof/>
        </w:rPr>
        <w:tab/>
        <w:t xml:space="preserve">By way of derogation from paragraph </w:t>
      </w:r>
      <w:r w:rsidR="00E34F0D" w:rsidRPr="00C64FFA">
        <w:rPr>
          <w:noProof/>
        </w:rPr>
        <w:t>2</w:t>
      </w:r>
      <w:r w:rsidRPr="00C64FFA">
        <w:rPr>
          <w:noProof/>
        </w:rPr>
        <w:t xml:space="preserve">, the first harmonised report shall </w:t>
      </w:r>
      <w:r w:rsidR="00251D78" w:rsidRPr="00C64FFA">
        <w:rPr>
          <w:noProof/>
        </w:rPr>
        <w:t xml:space="preserve">contain </w:t>
      </w:r>
      <w:r w:rsidRPr="00C64FFA">
        <w:rPr>
          <w:noProof/>
        </w:rPr>
        <w:t xml:space="preserve">the completed templates with the number of rejections for each year preceding the year </w:t>
      </w:r>
      <w:r w:rsidR="00A54C7E" w:rsidRPr="00C64FFA">
        <w:rPr>
          <w:noProof/>
        </w:rPr>
        <w:t xml:space="preserve">in which </w:t>
      </w:r>
      <w:r w:rsidRPr="00C64FFA">
        <w:rPr>
          <w:noProof/>
        </w:rPr>
        <w:t>the report is submitted, starting with the period of 26 October 2022 – 31 December 2022, for 2022.</w:t>
      </w:r>
    </w:p>
    <w:p w:rsidR="00AD7B15" w:rsidRPr="00C64FFA" w:rsidRDefault="00AD7B15">
      <w:pPr>
        <w:spacing w:before="0" w:after="200" w:line="276" w:lineRule="auto"/>
        <w:jc w:val="left"/>
        <w:rPr>
          <w:noProof/>
        </w:rPr>
      </w:pPr>
      <w:r w:rsidRPr="00C64FFA">
        <w:rPr>
          <w:noProof/>
        </w:rPr>
        <w:br w:type="page"/>
      </w:r>
    </w:p>
    <w:p w:rsidR="009713B0" w:rsidRPr="00C64FFA" w:rsidRDefault="009713B0" w:rsidP="009713B0">
      <w:pPr>
        <w:pStyle w:val="Titrearticle"/>
        <w:rPr>
          <w:noProof/>
        </w:rPr>
      </w:pPr>
      <w:r w:rsidRPr="00C64FFA">
        <w:rPr>
          <w:noProof/>
        </w:rPr>
        <w:t>Article 3</w:t>
      </w:r>
    </w:p>
    <w:p w:rsidR="009713B0" w:rsidRPr="00C64FFA" w:rsidRDefault="009713B0" w:rsidP="009713B0">
      <w:pPr>
        <w:jc w:val="center"/>
        <w:rPr>
          <w:b/>
          <w:bCs/>
          <w:noProof/>
        </w:rPr>
      </w:pPr>
      <w:r w:rsidRPr="00C64FFA">
        <w:rPr>
          <w:b/>
          <w:bCs/>
          <w:noProof/>
        </w:rPr>
        <w:t>Data exchange formats and information accompanying submissions</w:t>
      </w:r>
    </w:p>
    <w:p w:rsidR="009713B0" w:rsidRPr="00C64FFA" w:rsidRDefault="009713B0" w:rsidP="009713B0">
      <w:pPr>
        <w:rPr>
          <w:noProof/>
        </w:rPr>
      </w:pPr>
      <w:r w:rsidRPr="00C64FFA">
        <w:rPr>
          <w:noProof/>
        </w:rPr>
        <w:t>PSPs shall submit the information referred to in</w:t>
      </w:r>
      <w:r w:rsidR="00A54C7E" w:rsidRPr="00C64FFA">
        <w:rPr>
          <w:noProof/>
        </w:rPr>
        <w:t xml:space="preserve"> Articles 1 and 2 of</w:t>
      </w:r>
      <w:r w:rsidR="001D08D6" w:rsidRPr="00C64FFA">
        <w:rPr>
          <w:noProof/>
        </w:rPr>
        <w:t xml:space="preserve"> this Regulation</w:t>
      </w:r>
      <w:r w:rsidRPr="00C64FFA">
        <w:rPr>
          <w:noProof/>
        </w:rPr>
        <w:t xml:space="preserve"> in the data exchange formats and representations specified by the competent authorities, </w:t>
      </w:r>
      <w:r w:rsidR="000C4F0E" w:rsidRPr="00C64FFA">
        <w:rPr>
          <w:noProof/>
        </w:rPr>
        <w:t xml:space="preserve">and </w:t>
      </w:r>
      <w:r w:rsidRPr="00C64FFA">
        <w:rPr>
          <w:noProof/>
        </w:rPr>
        <w:t>respect the data point definition of the data point model and the validation formulae made available on the EBA website</w:t>
      </w:r>
      <w:r w:rsidR="008C29E2" w:rsidRPr="00C64FFA">
        <w:rPr>
          <w:noProof/>
        </w:rPr>
        <w:t>. PSPs shall</w:t>
      </w:r>
      <w:r w:rsidRPr="00C64FFA">
        <w:rPr>
          <w:noProof/>
        </w:rPr>
        <w:t xml:space="preserve"> comply with the following specifications:</w:t>
      </w:r>
    </w:p>
    <w:p w:rsidR="009713B0" w:rsidRPr="00C64FFA" w:rsidRDefault="0053410F" w:rsidP="0053410F">
      <w:pPr>
        <w:pStyle w:val="Point0"/>
        <w:rPr>
          <w:noProof/>
        </w:rPr>
      </w:pPr>
      <w:r w:rsidRPr="0053410F">
        <w:rPr>
          <w:noProof/>
        </w:rPr>
        <w:t>(a)</w:t>
      </w:r>
      <w:r w:rsidRPr="0053410F">
        <w:rPr>
          <w:noProof/>
        </w:rPr>
        <w:tab/>
      </w:r>
      <w:r w:rsidR="009713B0" w:rsidRPr="00C64FFA">
        <w:rPr>
          <w:noProof/>
        </w:rPr>
        <w:t>information that is not required or not applicable shall not be included in a data submission;</w:t>
      </w:r>
    </w:p>
    <w:p w:rsidR="009713B0" w:rsidRPr="00C64FFA" w:rsidRDefault="0053410F" w:rsidP="0053410F">
      <w:pPr>
        <w:pStyle w:val="Point0"/>
        <w:rPr>
          <w:noProof/>
        </w:rPr>
      </w:pPr>
      <w:r w:rsidRPr="0053410F">
        <w:rPr>
          <w:noProof/>
        </w:rPr>
        <w:t>(b)</w:t>
      </w:r>
      <w:r w:rsidRPr="0053410F">
        <w:rPr>
          <w:noProof/>
        </w:rPr>
        <w:tab/>
      </w:r>
      <w:r w:rsidR="009713B0" w:rsidRPr="00C64FFA">
        <w:rPr>
          <w:noProof/>
        </w:rPr>
        <w:t>numerical values shall be submitted as follows:</w:t>
      </w:r>
    </w:p>
    <w:p w:rsidR="009713B0" w:rsidRPr="00C64FFA" w:rsidRDefault="0055071E" w:rsidP="009713B0">
      <w:pPr>
        <w:pStyle w:val="Point1"/>
        <w:rPr>
          <w:noProof/>
        </w:rPr>
      </w:pPr>
      <w:r w:rsidRPr="00C64FFA">
        <w:rPr>
          <w:noProof/>
        </w:rPr>
        <w:t>(i)</w:t>
      </w:r>
      <w:r w:rsidR="009713B0" w:rsidRPr="00C64FFA">
        <w:rPr>
          <w:noProof/>
        </w:rPr>
        <w:tab/>
      </w:r>
      <w:r w:rsidR="00DB3D14" w:rsidRPr="00C64FFA">
        <w:rPr>
          <w:noProof/>
        </w:rPr>
        <w:t>PSPs</w:t>
      </w:r>
      <w:r w:rsidR="009713B0" w:rsidRPr="00C64FFA">
        <w:rPr>
          <w:noProof/>
        </w:rPr>
        <w:t xml:space="preserve"> shall report data points with the data type ‘Monetary’ using a minimum precision equivalent to thousands of units;</w:t>
      </w:r>
    </w:p>
    <w:p w:rsidR="009713B0" w:rsidRPr="00C64FFA" w:rsidRDefault="0055071E" w:rsidP="009713B0">
      <w:pPr>
        <w:pStyle w:val="Point1"/>
        <w:rPr>
          <w:noProof/>
        </w:rPr>
      </w:pPr>
      <w:r w:rsidRPr="00C64FFA">
        <w:rPr>
          <w:noProof/>
        </w:rPr>
        <w:t>(ii)</w:t>
      </w:r>
      <w:r w:rsidR="009713B0" w:rsidRPr="00C64FFA">
        <w:rPr>
          <w:noProof/>
        </w:rPr>
        <w:tab/>
      </w:r>
      <w:r w:rsidR="00DB3D14" w:rsidRPr="00C64FFA">
        <w:rPr>
          <w:noProof/>
        </w:rPr>
        <w:t>PSPs</w:t>
      </w:r>
      <w:r w:rsidR="009713B0" w:rsidRPr="00C64FFA">
        <w:rPr>
          <w:noProof/>
        </w:rPr>
        <w:t xml:space="preserve"> shall not use decimals when reporting data points with the data type ‘Integer’ and shall use a precision equivalent to units.</w:t>
      </w:r>
    </w:p>
    <w:p w:rsidR="009713B0" w:rsidRPr="00C64FFA" w:rsidRDefault="009713B0" w:rsidP="009713B0">
      <w:pPr>
        <w:pStyle w:val="Titrearticle"/>
        <w:rPr>
          <w:noProof/>
        </w:rPr>
      </w:pPr>
      <w:r w:rsidRPr="00C64FFA">
        <w:rPr>
          <w:noProof/>
        </w:rPr>
        <w:t>Article 4</w:t>
      </w:r>
    </w:p>
    <w:p w:rsidR="009713B0" w:rsidRPr="00C64FFA" w:rsidRDefault="009713B0" w:rsidP="009713B0">
      <w:pPr>
        <w:jc w:val="center"/>
        <w:rPr>
          <w:noProof/>
        </w:rPr>
      </w:pPr>
      <w:r w:rsidRPr="00C64FFA">
        <w:rPr>
          <w:b/>
          <w:bCs/>
          <w:noProof/>
        </w:rPr>
        <w:t>Entry into force</w:t>
      </w:r>
    </w:p>
    <w:p w:rsidR="009713B0" w:rsidRPr="00C64FFA" w:rsidRDefault="009713B0" w:rsidP="009713B0">
      <w:pPr>
        <w:rPr>
          <w:noProof/>
        </w:rPr>
      </w:pPr>
      <w:r w:rsidRPr="00C64FFA">
        <w:rPr>
          <w:noProof/>
        </w:rPr>
        <w:t xml:space="preserve">This Regulation shall enter into force on the twentieth day following that of its publication in the </w:t>
      </w:r>
      <w:r w:rsidRPr="00C64FFA">
        <w:rPr>
          <w:i/>
          <w:noProof/>
        </w:rPr>
        <w:t>Official Journal of the European Union</w:t>
      </w:r>
      <w:r w:rsidRPr="00C64FFA">
        <w:rPr>
          <w:noProof/>
        </w:rPr>
        <w:t>.</w:t>
      </w:r>
    </w:p>
    <w:p w:rsidR="009713B0" w:rsidRPr="00C64FFA" w:rsidRDefault="009713B0" w:rsidP="009713B0">
      <w:pPr>
        <w:pStyle w:val="Applicationdirecte"/>
        <w:rPr>
          <w:noProof/>
        </w:rPr>
      </w:pPr>
      <w:r w:rsidRPr="00C64FFA">
        <w:rPr>
          <w:noProof/>
        </w:rPr>
        <w:t>This Regulation shall be binding in its entirety and directly applicable in all Member States.</w:t>
      </w:r>
    </w:p>
    <w:p w:rsidR="009713B0" w:rsidRPr="00C64FFA" w:rsidRDefault="00C81687" w:rsidP="00BF4D4D">
      <w:pPr>
        <w:pStyle w:val="Fait"/>
        <w:rPr>
          <w:noProof/>
        </w:rPr>
      </w:pPr>
      <w:r>
        <w:rPr>
          <w:noProof/>
        </w:rPr>
        <w:t>Done at Brussels, 1.10.2025</w:t>
      </w:r>
    </w:p>
    <w:p w:rsidR="009713B0" w:rsidRPr="00C64FFA" w:rsidRDefault="009713B0" w:rsidP="00BF4D4D">
      <w:pPr>
        <w:pStyle w:val="Institutionquisigne"/>
        <w:rPr>
          <w:noProof/>
        </w:rPr>
      </w:pPr>
      <w:r w:rsidRPr="00C64FFA">
        <w:rPr>
          <w:noProof/>
        </w:rPr>
        <w:tab/>
        <w:t>For the Commission</w:t>
      </w:r>
    </w:p>
    <w:p w:rsidR="00FE7FED" w:rsidRPr="00A20E96" w:rsidRDefault="001B55ED" w:rsidP="009713B0">
      <w:pPr>
        <w:pStyle w:val="Personnequisigne"/>
        <w:rPr>
          <w:noProof/>
          <w:lang w:val="de-DE"/>
        </w:rPr>
      </w:pPr>
      <w:r>
        <w:rPr>
          <w:noProof/>
        </w:rPr>
        <w:tab/>
        <w:t>The President</w:t>
      </w:r>
      <w:r>
        <w:rPr>
          <w:noProof/>
        </w:rPr>
        <w:br/>
      </w:r>
      <w:r>
        <w:rPr>
          <w:noProof/>
        </w:rPr>
        <w:tab/>
        <w:t>Ursula VON DER LEYEN</w:t>
      </w:r>
    </w:p>
    <w:sectPr w:rsidR="00FE7FED" w:rsidRPr="00A20E96" w:rsidSect="005B3207">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207" w:rsidRPr="005B3207" w:rsidRDefault="005B3207" w:rsidP="005B3207">
    <w:pPr>
      <w:pStyle w:val="Footer"/>
      <w:rPr>
        <w:rFonts w:ascii="Arial" w:hAnsi="Arial" w:cs="Arial"/>
        <w:b/>
        <w:sz w:val="48"/>
      </w:rPr>
    </w:pPr>
    <w:r w:rsidRPr="005B3207">
      <w:rPr>
        <w:rFonts w:ascii="Arial" w:hAnsi="Arial" w:cs="Arial"/>
        <w:b/>
        <w:sz w:val="48"/>
      </w:rPr>
      <w:t>EN</w:t>
    </w:r>
    <w:r w:rsidRPr="005B3207">
      <w:rPr>
        <w:rFonts w:ascii="Arial" w:hAnsi="Arial" w:cs="Arial"/>
        <w:b/>
        <w:sz w:val="48"/>
      </w:rPr>
      <w:tab/>
    </w:r>
    <w:r w:rsidRPr="005B3207">
      <w:rPr>
        <w:rFonts w:ascii="Arial" w:hAnsi="Arial" w:cs="Arial"/>
        <w:b/>
        <w:sz w:val="48"/>
      </w:rPr>
      <w:tab/>
    </w:r>
    <w:r w:rsidRPr="005B3207">
      <w:tab/>
    </w:r>
    <w:r w:rsidRPr="005B3207">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207" w:rsidRPr="005B3207" w:rsidRDefault="005B3207" w:rsidP="005B3207">
    <w:pPr>
      <w:pStyle w:val="Footer"/>
      <w:rPr>
        <w:rFonts w:ascii="Arial" w:hAnsi="Arial" w:cs="Arial"/>
        <w:b/>
        <w:sz w:val="48"/>
      </w:rPr>
    </w:pPr>
    <w:r w:rsidRPr="005B3207">
      <w:rPr>
        <w:rFonts w:ascii="Arial" w:hAnsi="Arial" w:cs="Arial"/>
        <w:b/>
        <w:sz w:val="48"/>
      </w:rPr>
      <w:t>EN</w:t>
    </w:r>
    <w:r w:rsidRPr="005B3207">
      <w:rPr>
        <w:rFonts w:ascii="Arial" w:hAnsi="Arial" w:cs="Arial"/>
        <w:b/>
        <w:sz w:val="48"/>
      </w:rPr>
      <w:tab/>
    </w:r>
    <w:r w:rsidRPr="005B3207">
      <w:rPr>
        <w:rFonts w:ascii="Arial" w:hAnsi="Arial" w:cs="Arial"/>
        <w:b/>
        <w:sz w:val="48"/>
      </w:rPr>
      <w:tab/>
    </w:r>
    <w:r w:rsidRPr="005B3207">
      <w:tab/>
    </w:r>
    <w:r w:rsidRPr="005B3207">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207" w:rsidRDefault="005B320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207" w:rsidRPr="005B3207" w:rsidRDefault="005B3207" w:rsidP="005B3207">
    <w:pPr>
      <w:pStyle w:val="Footer"/>
      <w:rPr>
        <w:rFonts w:ascii="Arial" w:hAnsi="Arial" w:cs="Arial"/>
        <w:b/>
        <w:sz w:val="48"/>
      </w:rPr>
    </w:pPr>
    <w:r w:rsidRPr="005B3207">
      <w:rPr>
        <w:rFonts w:ascii="Arial" w:hAnsi="Arial" w:cs="Arial"/>
        <w:b/>
        <w:sz w:val="48"/>
      </w:rPr>
      <w:t>EN</w:t>
    </w:r>
    <w:r w:rsidRPr="005B3207">
      <w:rPr>
        <w:rFonts w:ascii="Arial" w:hAnsi="Arial" w:cs="Arial"/>
        <w:b/>
        <w:sz w:val="48"/>
      </w:rPr>
      <w:tab/>
    </w:r>
    <w:r>
      <w:fldChar w:fldCharType="begin"/>
    </w:r>
    <w:r>
      <w:instrText xml:space="preserve"> PAGE  \* MERGEFORMAT </w:instrText>
    </w:r>
    <w:r>
      <w:fldChar w:fldCharType="separate"/>
    </w:r>
    <w:r w:rsidR="00BF4D4D">
      <w:rPr>
        <w:noProof/>
      </w:rPr>
      <w:t>4</w:t>
    </w:r>
    <w:r>
      <w:fldChar w:fldCharType="end"/>
    </w:r>
    <w:r>
      <w:tab/>
    </w:r>
    <w:r w:rsidRPr="005B3207">
      <w:tab/>
    </w:r>
    <w:r w:rsidRPr="005B3207">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207" w:rsidRDefault="005B3207" w:rsidP="005B32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A20E96" w:rsidRDefault="00A8350B">
      <w:pPr>
        <w:pStyle w:val="FootnoteText"/>
        <w:rPr>
          <w:lang w:val="en-US"/>
        </w:rPr>
      </w:pPr>
      <w:r w:rsidRPr="00156590">
        <w:rPr>
          <w:rStyle w:val="FootnoteReference"/>
        </w:rPr>
        <w:footnoteRef/>
      </w:r>
      <w:r w:rsidR="00156590" w:rsidRPr="00A20E96">
        <w:rPr>
          <w:lang w:val="en-US"/>
        </w:rPr>
        <w:tab/>
      </w:r>
      <w:r w:rsidR="00460097" w:rsidRPr="00A20E96">
        <w:rPr>
          <w:lang w:val="en-US"/>
        </w:rPr>
        <w:t>OJ L 94, 30.3.2012, p. 22,</w:t>
      </w:r>
      <w:r w:rsidR="004E047A" w:rsidRPr="00A20E96">
        <w:rPr>
          <w:lang w:val="en-US"/>
        </w:rPr>
        <w:t xml:space="preserve"> ELI: http://data.europa.eu/eli/reg/2012/260/oj.</w:t>
      </w:r>
      <w:r w:rsidR="00460097" w:rsidRPr="00A20E96">
        <w:rPr>
          <w:lang w:val="en-US"/>
        </w:rPr>
        <w:t xml:space="preserve"> </w:t>
      </w:r>
    </w:p>
  </w:footnote>
  <w:footnote w:id="3">
    <w:p w:rsidR="00AD7B15" w:rsidRPr="00AD7B15" w:rsidRDefault="00AD7B15" w:rsidP="00D05942">
      <w:pPr>
        <w:pStyle w:val="FootnoteText"/>
        <w:ind w:left="0" w:firstLine="0"/>
      </w:pPr>
      <w:r w:rsidRPr="00156590">
        <w:rPr>
          <w:rStyle w:val="FootnoteReference"/>
        </w:rPr>
        <w:footnoteRef/>
      </w:r>
      <w:r w:rsidR="00156590">
        <w:tab/>
      </w:r>
      <w:r w:rsidRPr="00E1502C">
        <w:t>Regulation (EU) 2024/886 of the European Parliament and of the Council of 13 March 2024 amending</w:t>
      </w:r>
      <w:r w:rsidR="00D05942">
        <w:t xml:space="preserve"> </w:t>
      </w:r>
      <w:r w:rsidRPr="00E1502C">
        <w:t>Regulations (EU) No 260/2012 and (EU) 2021/1230 and Directives 98/26/EC and (EU) 2015/2366 as regards instant credit transfers in euro (OJ L, 2024/886, 19.3.2024, ELI: http://data.europa.eu/eli/reg/2024/886/oj).</w:t>
      </w:r>
    </w:p>
  </w:footnote>
  <w:footnote w:id="4">
    <w:p w:rsidR="009713B0" w:rsidRPr="00AD7B15" w:rsidRDefault="009713B0" w:rsidP="009713B0">
      <w:pPr>
        <w:pStyle w:val="FootnoteText"/>
      </w:pPr>
      <w:r w:rsidRPr="00AD7B15">
        <w:rPr>
          <w:rStyle w:val="FootnoteReference"/>
        </w:rPr>
        <w:footnoteRef/>
      </w:r>
      <w:r w:rsidRPr="00AD7B15">
        <w:tab/>
        <w:t>Regulation (EU) No 1093/2010 of the European Parliament and of the Council of 24 November 2010 establishing a European Supervisory Authority (European Banking Authority), amending Decision No 716/2009/EC and repealing Commission Decision 2009/78/EC (OJ L 331, 15.12.2010, p.12, ELI: </w:t>
      </w:r>
      <w:r w:rsidR="00FC0B30" w:rsidRPr="00AD7B15">
        <w:t>http://data.europa.eu/eli/reg/2010/1093/oj</w:t>
      </w:r>
      <w:r w:rsidRPr="00AD7B15">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207" w:rsidRDefault="005B32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207" w:rsidRDefault="005B32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2:5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A0564075-97B7-4686-9AF3-7CDCFC430CA0"/>
    <w:docVar w:name="LW_COVERPAGE_TYPE" w:val="1"/>
    <w:docVar w:name="LW_CreatedUtc" w:val="2025-02-25T08:25:43.0388982Z"/>
    <w:docVar w:name="LW_CROSSREFERENCE" w:val="&lt;UNUSED&gt;"/>
    <w:docVar w:name="LW_DATE.ADOPT.CP" w:val="of 1.10.2025"/>
    <w:docVar w:name="LW_DATE.ADOPT.CP_DATEFORMAT" w:val="of %DATE%"/>
    <w:docVar w:name="LW_DATE.ADOPT.CP_ISODATE" w:val="2025-10-01"/>
    <w:docVar w:name="LW_DocType" w:val="COM"/>
    <w:docVar w:name="LW_EMISSION" w:val="1.10.2025"/>
    <w:docVar w:name="LW_EMISSION_ISODATE" w:val="2025-10-01"/>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lt;UNUSED&gt;"/>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aying down implementing technical standards for the application of Regulation (EU) No 260/2012 of the European Parliament and of the Council with regard to uniform reporting templates, instructions and methodology for the reporting of the level of charges for credit transfers, instant credit transfers and payment accounts, and the share of rejected transactions"/>
    <w:docVar w:name="LW_TYPE.DOC.CP" w:val="COMMISSION IMPLEMENTING REGULATION (EU) \u8230?/..."/>
    <w:docVar w:name="LwApiVersions" w:val="LW4CoDe 1.24.5.0; LW 9.0, Build 20240221"/>
  </w:docVars>
  <w:rsids>
    <w:rsidRoot w:val="00FE7FED"/>
    <w:rsid w:val="00001BC7"/>
    <w:rsid w:val="000066ED"/>
    <w:rsid w:val="000068B4"/>
    <w:rsid w:val="000079A5"/>
    <w:rsid w:val="00014C12"/>
    <w:rsid w:val="00016168"/>
    <w:rsid w:val="00025818"/>
    <w:rsid w:val="0002592C"/>
    <w:rsid w:val="0002598B"/>
    <w:rsid w:val="00033F48"/>
    <w:rsid w:val="000373AB"/>
    <w:rsid w:val="000421B5"/>
    <w:rsid w:val="00042488"/>
    <w:rsid w:val="0004347B"/>
    <w:rsid w:val="00047478"/>
    <w:rsid w:val="000504E3"/>
    <w:rsid w:val="0006406A"/>
    <w:rsid w:val="000642D0"/>
    <w:rsid w:val="00072E61"/>
    <w:rsid w:val="000744DD"/>
    <w:rsid w:val="00075170"/>
    <w:rsid w:val="000758A1"/>
    <w:rsid w:val="000768B7"/>
    <w:rsid w:val="0008161A"/>
    <w:rsid w:val="0008224E"/>
    <w:rsid w:val="000847C4"/>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2FE9"/>
    <w:rsid w:val="000E50E2"/>
    <w:rsid w:val="000E7CB2"/>
    <w:rsid w:val="000F0AA0"/>
    <w:rsid w:val="000F26D8"/>
    <w:rsid w:val="000F4AF6"/>
    <w:rsid w:val="001030E9"/>
    <w:rsid w:val="00104199"/>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D6D"/>
    <w:rsid w:val="001840A1"/>
    <w:rsid w:val="001913B0"/>
    <w:rsid w:val="00191CEA"/>
    <w:rsid w:val="00197613"/>
    <w:rsid w:val="001A1FA1"/>
    <w:rsid w:val="001A5381"/>
    <w:rsid w:val="001A6744"/>
    <w:rsid w:val="001A7B61"/>
    <w:rsid w:val="001B081E"/>
    <w:rsid w:val="001B55ED"/>
    <w:rsid w:val="001C0071"/>
    <w:rsid w:val="001C0950"/>
    <w:rsid w:val="001C3C75"/>
    <w:rsid w:val="001C6408"/>
    <w:rsid w:val="001C7C6B"/>
    <w:rsid w:val="001D08D6"/>
    <w:rsid w:val="001D6BB7"/>
    <w:rsid w:val="001E0062"/>
    <w:rsid w:val="001E7D14"/>
    <w:rsid w:val="001F78E3"/>
    <w:rsid w:val="00203CF1"/>
    <w:rsid w:val="002102D8"/>
    <w:rsid w:val="00210337"/>
    <w:rsid w:val="00215208"/>
    <w:rsid w:val="002174F2"/>
    <w:rsid w:val="00220F9F"/>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70578"/>
    <w:rsid w:val="00281B09"/>
    <w:rsid w:val="00285BEE"/>
    <w:rsid w:val="00287FAC"/>
    <w:rsid w:val="00293F82"/>
    <w:rsid w:val="0029533F"/>
    <w:rsid w:val="002A2EE8"/>
    <w:rsid w:val="002A5779"/>
    <w:rsid w:val="002A5E80"/>
    <w:rsid w:val="002B1522"/>
    <w:rsid w:val="002B30AF"/>
    <w:rsid w:val="002B4662"/>
    <w:rsid w:val="002C0286"/>
    <w:rsid w:val="002C10B5"/>
    <w:rsid w:val="002C1A4F"/>
    <w:rsid w:val="002C5B13"/>
    <w:rsid w:val="002D2260"/>
    <w:rsid w:val="002D2CC4"/>
    <w:rsid w:val="002D2E8B"/>
    <w:rsid w:val="002D3A91"/>
    <w:rsid w:val="002D6964"/>
    <w:rsid w:val="002E15CA"/>
    <w:rsid w:val="002E2315"/>
    <w:rsid w:val="002E3165"/>
    <w:rsid w:val="002E53A7"/>
    <w:rsid w:val="002F1C71"/>
    <w:rsid w:val="002F1EE7"/>
    <w:rsid w:val="002F4C83"/>
    <w:rsid w:val="00303696"/>
    <w:rsid w:val="00311576"/>
    <w:rsid w:val="003119D5"/>
    <w:rsid w:val="00311E05"/>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57C0"/>
    <w:rsid w:val="00365DE4"/>
    <w:rsid w:val="00374796"/>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67C"/>
    <w:rsid w:val="003E4FA2"/>
    <w:rsid w:val="003E5CF0"/>
    <w:rsid w:val="003F018F"/>
    <w:rsid w:val="003F0EC5"/>
    <w:rsid w:val="003F1E03"/>
    <w:rsid w:val="004019E8"/>
    <w:rsid w:val="00403029"/>
    <w:rsid w:val="00404CFA"/>
    <w:rsid w:val="00405044"/>
    <w:rsid w:val="00411FBF"/>
    <w:rsid w:val="00412F99"/>
    <w:rsid w:val="00412FDD"/>
    <w:rsid w:val="00415B42"/>
    <w:rsid w:val="004163A8"/>
    <w:rsid w:val="00421245"/>
    <w:rsid w:val="0042648E"/>
    <w:rsid w:val="00427029"/>
    <w:rsid w:val="00427E22"/>
    <w:rsid w:val="00431B0E"/>
    <w:rsid w:val="00432F41"/>
    <w:rsid w:val="0043372F"/>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36D2"/>
    <w:rsid w:val="00497ECB"/>
    <w:rsid w:val="004A4894"/>
    <w:rsid w:val="004A7134"/>
    <w:rsid w:val="004B03D1"/>
    <w:rsid w:val="004B2FFA"/>
    <w:rsid w:val="004C15AA"/>
    <w:rsid w:val="004C5916"/>
    <w:rsid w:val="004C60B0"/>
    <w:rsid w:val="004C635B"/>
    <w:rsid w:val="004C79F1"/>
    <w:rsid w:val="004D084C"/>
    <w:rsid w:val="004D4226"/>
    <w:rsid w:val="004E047A"/>
    <w:rsid w:val="004E1BAA"/>
    <w:rsid w:val="004E2937"/>
    <w:rsid w:val="004E572C"/>
    <w:rsid w:val="004E7796"/>
    <w:rsid w:val="004F15B9"/>
    <w:rsid w:val="00501867"/>
    <w:rsid w:val="0050376F"/>
    <w:rsid w:val="00503AAA"/>
    <w:rsid w:val="00507BC8"/>
    <w:rsid w:val="00520EC8"/>
    <w:rsid w:val="00523CF7"/>
    <w:rsid w:val="0052515F"/>
    <w:rsid w:val="005261A7"/>
    <w:rsid w:val="00530551"/>
    <w:rsid w:val="00531AAF"/>
    <w:rsid w:val="00532147"/>
    <w:rsid w:val="005330E9"/>
    <w:rsid w:val="0053410F"/>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6FA4"/>
    <w:rsid w:val="005A206D"/>
    <w:rsid w:val="005A31F7"/>
    <w:rsid w:val="005A5967"/>
    <w:rsid w:val="005B1EB6"/>
    <w:rsid w:val="005B3207"/>
    <w:rsid w:val="005B4B70"/>
    <w:rsid w:val="005B5F79"/>
    <w:rsid w:val="005C1F32"/>
    <w:rsid w:val="005C23A8"/>
    <w:rsid w:val="005C2C67"/>
    <w:rsid w:val="005C58BF"/>
    <w:rsid w:val="005C5BEE"/>
    <w:rsid w:val="005D090B"/>
    <w:rsid w:val="005D2EB4"/>
    <w:rsid w:val="005D4C37"/>
    <w:rsid w:val="005D67F4"/>
    <w:rsid w:val="005E141A"/>
    <w:rsid w:val="00602DFC"/>
    <w:rsid w:val="006033A9"/>
    <w:rsid w:val="00604C25"/>
    <w:rsid w:val="0060533B"/>
    <w:rsid w:val="0060742C"/>
    <w:rsid w:val="00612113"/>
    <w:rsid w:val="006158F4"/>
    <w:rsid w:val="006162FE"/>
    <w:rsid w:val="00620589"/>
    <w:rsid w:val="00626B53"/>
    <w:rsid w:val="00626E74"/>
    <w:rsid w:val="006307D8"/>
    <w:rsid w:val="00633C43"/>
    <w:rsid w:val="00637401"/>
    <w:rsid w:val="00637578"/>
    <w:rsid w:val="00637A53"/>
    <w:rsid w:val="00642ABC"/>
    <w:rsid w:val="006443C4"/>
    <w:rsid w:val="0064496B"/>
    <w:rsid w:val="00645810"/>
    <w:rsid w:val="00653EFF"/>
    <w:rsid w:val="006563C0"/>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44B8"/>
    <w:rsid w:val="006A6123"/>
    <w:rsid w:val="006A6C38"/>
    <w:rsid w:val="006A74A3"/>
    <w:rsid w:val="006B0215"/>
    <w:rsid w:val="006B62A8"/>
    <w:rsid w:val="006B7EB5"/>
    <w:rsid w:val="006C06F3"/>
    <w:rsid w:val="006C4B71"/>
    <w:rsid w:val="006D3161"/>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154FF"/>
    <w:rsid w:val="00720C74"/>
    <w:rsid w:val="00722EF3"/>
    <w:rsid w:val="00724289"/>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2313"/>
    <w:rsid w:val="00764A2C"/>
    <w:rsid w:val="00770A0E"/>
    <w:rsid w:val="00770C5B"/>
    <w:rsid w:val="00773331"/>
    <w:rsid w:val="00774B5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128A"/>
    <w:rsid w:val="0083272F"/>
    <w:rsid w:val="00835D9A"/>
    <w:rsid w:val="0083730D"/>
    <w:rsid w:val="00840128"/>
    <w:rsid w:val="008413EA"/>
    <w:rsid w:val="00841AE1"/>
    <w:rsid w:val="00847508"/>
    <w:rsid w:val="008525C0"/>
    <w:rsid w:val="008553FF"/>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B0DB8"/>
    <w:rsid w:val="008B6C23"/>
    <w:rsid w:val="008C0AC8"/>
    <w:rsid w:val="008C258F"/>
    <w:rsid w:val="008C29E2"/>
    <w:rsid w:val="008C2B35"/>
    <w:rsid w:val="008C386A"/>
    <w:rsid w:val="008C4818"/>
    <w:rsid w:val="008C486C"/>
    <w:rsid w:val="008C4B71"/>
    <w:rsid w:val="008C5385"/>
    <w:rsid w:val="008C6C71"/>
    <w:rsid w:val="008C6CB4"/>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5CEE"/>
    <w:rsid w:val="00930421"/>
    <w:rsid w:val="00930648"/>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927FD"/>
    <w:rsid w:val="00994CA3"/>
    <w:rsid w:val="00996030"/>
    <w:rsid w:val="0099612E"/>
    <w:rsid w:val="0099719C"/>
    <w:rsid w:val="009A2B3E"/>
    <w:rsid w:val="009B28D4"/>
    <w:rsid w:val="009C1173"/>
    <w:rsid w:val="009C6440"/>
    <w:rsid w:val="009C69FE"/>
    <w:rsid w:val="009D1DF0"/>
    <w:rsid w:val="009D60FA"/>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69EE"/>
    <w:rsid w:val="00A409A9"/>
    <w:rsid w:val="00A43A59"/>
    <w:rsid w:val="00A514E3"/>
    <w:rsid w:val="00A51981"/>
    <w:rsid w:val="00A54C7E"/>
    <w:rsid w:val="00A55753"/>
    <w:rsid w:val="00A607D3"/>
    <w:rsid w:val="00A61EB7"/>
    <w:rsid w:val="00A62121"/>
    <w:rsid w:val="00A6338B"/>
    <w:rsid w:val="00A71A56"/>
    <w:rsid w:val="00A72B2F"/>
    <w:rsid w:val="00A744A9"/>
    <w:rsid w:val="00A75188"/>
    <w:rsid w:val="00A80233"/>
    <w:rsid w:val="00A813B3"/>
    <w:rsid w:val="00A8350B"/>
    <w:rsid w:val="00A8635C"/>
    <w:rsid w:val="00AA2317"/>
    <w:rsid w:val="00AA3CA4"/>
    <w:rsid w:val="00AA7D65"/>
    <w:rsid w:val="00AB14B1"/>
    <w:rsid w:val="00AB1C6F"/>
    <w:rsid w:val="00AB297D"/>
    <w:rsid w:val="00AB3556"/>
    <w:rsid w:val="00AB3B3D"/>
    <w:rsid w:val="00AB50BC"/>
    <w:rsid w:val="00AB6762"/>
    <w:rsid w:val="00AC0006"/>
    <w:rsid w:val="00AC13E5"/>
    <w:rsid w:val="00AC36A5"/>
    <w:rsid w:val="00AC67B2"/>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D63"/>
    <w:rsid w:val="00B53B73"/>
    <w:rsid w:val="00B552A9"/>
    <w:rsid w:val="00B62E49"/>
    <w:rsid w:val="00B65EDF"/>
    <w:rsid w:val="00B674DA"/>
    <w:rsid w:val="00B71A89"/>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F1DAA"/>
    <w:rsid w:val="00BF2FE5"/>
    <w:rsid w:val="00BF3180"/>
    <w:rsid w:val="00BF4D4D"/>
    <w:rsid w:val="00BF6D71"/>
    <w:rsid w:val="00BF7F77"/>
    <w:rsid w:val="00C00730"/>
    <w:rsid w:val="00C01E11"/>
    <w:rsid w:val="00C12301"/>
    <w:rsid w:val="00C14615"/>
    <w:rsid w:val="00C263CE"/>
    <w:rsid w:val="00C272D0"/>
    <w:rsid w:val="00C27DF8"/>
    <w:rsid w:val="00C3410B"/>
    <w:rsid w:val="00C411B0"/>
    <w:rsid w:val="00C43AAE"/>
    <w:rsid w:val="00C44190"/>
    <w:rsid w:val="00C442F9"/>
    <w:rsid w:val="00C50BFD"/>
    <w:rsid w:val="00C60F19"/>
    <w:rsid w:val="00C64FFA"/>
    <w:rsid w:val="00C67CD8"/>
    <w:rsid w:val="00C70712"/>
    <w:rsid w:val="00C70E12"/>
    <w:rsid w:val="00C714E1"/>
    <w:rsid w:val="00C716B4"/>
    <w:rsid w:val="00C71B6C"/>
    <w:rsid w:val="00C7687B"/>
    <w:rsid w:val="00C81687"/>
    <w:rsid w:val="00C85915"/>
    <w:rsid w:val="00C90983"/>
    <w:rsid w:val="00C91E13"/>
    <w:rsid w:val="00C9233E"/>
    <w:rsid w:val="00C9347C"/>
    <w:rsid w:val="00C93B85"/>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4CB"/>
    <w:rsid w:val="00D2656D"/>
    <w:rsid w:val="00D324E1"/>
    <w:rsid w:val="00D352B4"/>
    <w:rsid w:val="00D353BF"/>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B0501"/>
    <w:rsid w:val="00DB250A"/>
    <w:rsid w:val="00DB3C35"/>
    <w:rsid w:val="00DB3D14"/>
    <w:rsid w:val="00DB6B05"/>
    <w:rsid w:val="00DC04AA"/>
    <w:rsid w:val="00DC32EC"/>
    <w:rsid w:val="00DC551D"/>
    <w:rsid w:val="00DC60AA"/>
    <w:rsid w:val="00DD50D0"/>
    <w:rsid w:val="00DD57BC"/>
    <w:rsid w:val="00DD6A74"/>
    <w:rsid w:val="00DE0B07"/>
    <w:rsid w:val="00DE2ADF"/>
    <w:rsid w:val="00DF085D"/>
    <w:rsid w:val="00DF1A15"/>
    <w:rsid w:val="00DF1CB4"/>
    <w:rsid w:val="00DF324D"/>
    <w:rsid w:val="00DF792D"/>
    <w:rsid w:val="00DF7D1B"/>
    <w:rsid w:val="00E00723"/>
    <w:rsid w:val="00E0498A"/>
    <w:rsid w:val="00E04C8B"/>
    <w:rsid w:val="00E0505F"/>
    <w:rsid w:val="00E06ADC"/>
    <w:rsid w:val="00E104B1"/>
    <w:rsid w:val="00E1502C"/>
    <w:rsid w:val="00E21874"/>
    <w:rsid w:val="00E258F8"/>
    <w:rsid w:val="00E30766"/>
    <w:rsid w:val="00E3171F"/>
    <w:rsid w:val="00E31C61"/>
    <w:rsid w:val="00E31F15"/>
    <w:rsid w:val="00E327E6"/>
    <w:rsid w:val="00E34F0D"/>
    <w:rsid w:val="00E35CB0"/>
    <w:rsid w:val="00E3769D"/>
    <w:rsid w:val="00E420D2"/>
    <w:rsid w:val="00E4311E"/>
    <w:rsid w:val="00E448AB"/>
    <w:rsid w:val="00E54884"/>
    <w:rsid w:val="00E57015"/>
    <w:rsid w:val="00E60348"/>
    <w:rsid w:val="00E6043D"/>
    <w:rsid w:val="00E60C11"/>
    <w:rsid w:val="00E61C60"/>
    <w:rsid w:val="00E73351"/>
    <w:rsid w:val="00E74596"/>
    <w:rsid w:val="00E80981"/>
    <w:rsid w:val="00E81E68"/>
    <w:rsid w:val="00E84AAA"/>
    <w:rsid w:val="00E922D8"/>
    <w:rsid w:val="00E9561F"/>
    <w:rsid w:val="00E95689"/>
    <w:rsid w:val="00EA277C"/>
    <w:rsid w:val="00EA38FC"/>
    <w:rsid w:val="00EA3971"/>
    <w:rsid w:val="00EA3C60"/>
    <w:rsid w:val="00EA3D90"/>
    <w:rsid w:val="00EA5973"/>
    <w:rsid w:val="00EA64C3"/>
    <w:rsid w:val="00EB039C"/>
    <w:rsid w:val="00EB2C34"/>
    <w:rsid w:val="00EB4BCD"/>
    <w:rsid w:val="00EB72E1"/>
    <w:rsid w:val="00EC6C39"/>
    <w:rsid w:val="00EC78BD"/>
    <w:rsid w:val="00EC7DBC"/>
    <w:rsid w:val="00ED0099"/>
    <w:rsid w:val="00ED02D5"/>
    <w:rsid w:val="00ED297C"/>
    <w:rsid w:val="00EE1C59"/>
    <w:rsid w:val="00EE3BEE"/>
    <w:rsid w:val="00EE613B"/>
    <w:rsid w:val="00EE7555"/>
    <w:rsid w:val="00EF35ED"/>
    <w:rsid w:val="00F02E3E"/>
    <w:rsid w:val="00F04DAB"/>
    <w:rsid w:val="00F0743A"/>
    <w:rsid w:val="00F105CA"/>
    <w:rsid w:val="00F133B9"/>
    <w:rsid w:val="00F13429"/>
    <w:rsid w:val="00F16F48"/>
    <w:rsid w:val="00F17A3B"/>
    <w:rsid w:val="00F229A7"/>
    <w:rsid w:val="00F308C1"/>
    <w:rsid w:val="00F308DA"/>
    <w:rsid w:val="00F35509"/>
    <w:rsid w:val="00F36671"/>
    <w:rsid w:val="00F40A90"/>
    <w:rsid w:val="00F41E71"/>
    <w:rsid w:val="00F424E2"/>
    <w:rsid w:val="00F46ECF"/>
    <w:rsid w:val="00F53272"/>
    <w:rsid w:val="00F558D2"/>
    <w:rsid w:val="00F56FF1"/>
    <w:rsid w:val="00F6156F"/>
    <w:rsid w:val="00F66B95"/>
    <w:rsid w:val="00F672C7"/>
    <w:rsid w:val="00F67493"/>
    <w:rsid w:val="00F6791B"/>
    <w:rsid w:val="00F75BAC"/>
    <w:rsid w:val="00F824D3"/>
    <w:rsid w:val="00F84BE4"/>
    <w:rsid w:val="00F8766D"/>
    <w:rsid w:val="00F91E2B"/>
    <w:rsid w:val="00F92092"/>
    <w:rsid w:val="00F951F3"/>
    <w:rsid w:val="00F95871"/>
    <w:rsid w:val="00FA00A7"/>
    <w:rsid w:val="00FA7030"/>
    <w:rsid w:val="00FA7B48"/>
    <w:rsid w:val="00FB0717"/>
    <w:rsid w:val="00FB4D9B"/>
    <w:rsid w:val="00FB7673"/>
    <w:rsid w:val="00FB7914"/>
    <w:rsid w:val="00FC0031"/>
    <w:rsid w:val="00FC0B30"/>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1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5"/>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5"/>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5"/>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5"/>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5"/>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en-GB"/>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lang w:val="en-GB"/>
    </w:rPr>
  </w:style>
  <w:style w:type="character" w:customStyle="1" w:styleId="HeaderChar">
    <w:name w:val="Header Char"/>
    <w:basedOn w:val="DefaultParagraphFont"/>
    <w:link w:val="Header"/>
    <w:uiPriority w:val="99"/>
    <w:rsid w:val="005B3207"/>
    <w:rPr>
      <w:rFonts w:ascii="Times New Roman" w:hAnsi="Times New Roman" w:cs="Times New Roman"/>
      <w:sz w:val="24"/>
      <w:lang w:val="en-GB"/>
    </w:rPr>
  </w:style>
  <w:style w:type="character" w:customStyle="1" w:styleId="FooterChar">
    <w:name w:val="Footer Char"/>
    <w:basedOn w:val="DefaultParagraphFont"/>
    <w:link w:val="Footer"/>
    <w:uiPriority w:val="99"/>
    <w:rsid w:val="005B3207"/>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5B3207"/>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5B3207"/>
    <w:pPr>
      <w:spacing w:before="0"/>
      <w:jc w:val="right"/>
    </w:pPr>
    <w:rPr>
      <w:sz w:val="28"/>
    </w:rPr>
  </w:style>
  <w:style w:type="paragraph" w:customStyle="1" w:styleId="FooterSensitivity">
    <w:name w:val="Footer Sensitivity"/>
    <w:basedOn w:val="Normal"/>
    <w:rsid w:val="005B3207"/>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8"/>
      </w:numPr>
    </w:pPr>
  </w:style>
  <w:style w:type="paragraph" w:customStyle="1" w:styleId="Tiret1">
    <w:name w:val="Tiret 1"/>
    <w:basedOn w:val="Point1"/>
    <w:pPr>
      <w:numPr>
        <w:numId w:val="9"/>
      </w:numPr>
    </w:pPr>
  </w:style>
  <w:style w:type="paragraph" w:customStyle="1" w:styleId="Tiret2">
    <w:name w:val="Tiret 2"/>
    <w:basedOn w:val="Point2"/>
    <w:pPr>
      <w:numPr>
        <w:numId w:val="10"/>
      </w:numPr>
    </w:pPr>
  </w:style>
  <w:style w:type="paragraph" w:customStyle="1" w:styleId="Tiret3">
    <w:name w:val="Tiret 3"/>
    <w:basedOn w:val="Point3"/>
    <w:pPr>
      <w:numPr>
        <w:numId w:val="11"/>
      </w:numPr>
    </w:pPr>
  </w:style>
  <w:style w:type="paragraph" w:customStyle="1" w:styleId="Tiret4">
    <w:name w:val="Tiret 4"/>
    <w:basedOn w:val="Point4"/>
    <w:pPr>
      <w:numPr>
        <w:numId w:val="12"/>
      </w:numPr>
    </w:pPr>
  </w:style>
  <w:style w:type="paragraph" w:customStyle="1" w:styleId="Tiret5">
    <w:name w:val="Tiret 5"/>
    <w:basedOn w:val="Point5"/>
    <w:pPr>
      <w:numPr>
        <w:numId w:val="13"/>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4"/>
      </w:numPr>
    </w:pPr>
  </w:style>
  <w:style w:type="paragraph" w:customStyle="1" w:styleId="NumPar2">
    <w:name w:val="NumPar 2"/>
    <w:basedOn w:val="Normal"/>
    <w:next w:val="Text1"/>
    <w:pPr>
      <w:numPr>
        <w:ilvl w:val="1"/>
        <w:numId w:val="14"/>
      </w:numPr>
    </w:pPr>
  </w:style>
  <w:style w:type="paragraph" w:customStyle="1" w:styleId="NumPar3">
    <w:name w:val="NumPar 3"/>
    <w:basedOn w:val="Normal"/>
    <w:next w:val="Text1"/>
    <w:pPr>
      <w:numPr>
        <w:ilvl w:val="2"/>
        <w:numId w:val="14"/>
      </w:numPr>
    </w:pPr>
  </w:style>
  <w:style w:type="paragraph" w:customStyle="1" w:styleId="NumPar4">
    <w:name w:val="NumPar 4"/>
    <w:basedOn w:val="Normal"/>
    <w:next w:val="Text1"/>
    <w:pPr>
      <w:numPr>
        <w:ilvl w:val="3"/>
        <w:numId w:val="14"/>
      </w:numPr>
    </w:pPr>
  </w:style>
  <w:style w:type="paragraph" w:customStyle="1" w:styleId="NumPar5">
    <w:name w:val="NumPar 5"/>
    <w:basedOn w:val="Normal"/>
    <w:next w:val="Text2"/>
    <w:pPr>
      <w:numPr>
        <w:ilvl w:val="4"/>
        <w:numId w:val="14"/>
      </w:numPr>
    </w:pPr>
  </w:style>
  <w:style w:type="paragraph" w:customStyle="1" w:styleId="NumPar6">
    <w:name w:val="NumPar 6"/>
    <w:basedOn w:val="Normal"/>
    <w:next w:val="Text2"/>
    <w:pPr>
      <w:numPr>
        <w:ilvl w:val="5"/>
        <w:numId w:val="14"/>
      </w:numPr>
    </w:pPr>
  </w:style>
  <w:style w:type="paragraph" w:customStyle="1" w:styleId="NumPar7">
    <w:name w:val="NumPar 7"/>
    <w:basedOn w:val="Normal"/>
    <w:next w:val="Text2"/>
    <w:pPr>
      <w:numPr>
        <w:ilvl w:val="6"/>
        <w:numId w:val="14"/>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6"/>
      </w:numPr>
    </w:pPr>
  </w:style>
  <w:style w:type="paragraph" w:customStyle="1" w:styleId="Point1number">
    <w:name w:val="Point 1 (number)"/>
    <w:basedOn w:val="Normal"/>
    <w:pPr>
      <w:numPr>
        <w:ilvl w:val="2"/>
        <w:numId w:val="16"/>
      </w:numPr>
    </w:pPr>
  </w:style>
  <w:style w:type="paragraph" w:customStyle="1" w:styleId="Point2number">
    <w:name w:val="Point 2 (number)"/>
    <w:basedOn w:val="Normal"/>
    <w:pPr>
      <w:numPr>
        <w:ilvl w:val="4"/>
        <w:numId w:val="16"/>
      </w:numPr>
    </w:pPr>
  </w:style>
  <w:style w:type="paragraph" w:customStyle="1" w:styleId="Point3number">
    <w:name w:val="Point 3 (number)"/>
    <w:basedOn w:val="Normal"/>
    <w:pPr>
      <w:numPr>
        <w:ilvl w:val="6"/>
        <w:numId w:val="16"/>
      </w:numPr>
    </w:pPr>
  </w:style>
  <w:style w:type="paragraph" w:customStyle="1" w:styleId="Point0letter">
    <w:name w:val="Point 0 (letter)"/>
    <w:basedOn w:val="Normal"/>
    <w:pPr>
      <w:numPr>
        <w:ilvl w:val="1"/>
        <w:numId w:val="16"/>
      </w:numPr>
    </w:pPr>
  </w:style>
  <w:style w:type="paragraph" w:customStyle="1" w:styleId="Point1letter">
    <w:name w:val="Point 1 (letter)"/>
    <w:basedOn w:val="Normal"/>
    <w:pPr>
      <w:numPr>
        <w:ilvl w:val="3"/>
        <w:numId w:val="16"/>
      </w:numPr>
    </w:pPr>
  </w:style>
  <w:style w:type="paragraph" w:customStyle="1" w:styleId="Point2letter">
    <w:name w:val="Point 2 (letter)"/>
    <w:basedOn w:val="Normal"/>
    <w:pPr>
      <w:numPr>
        <w:ilvl w:val="5"/>
        <w:numId w:val="16"/>
      </w:numPr>
    </w:pPr>
  </w:style>
  <w:style w:type="paragraph" w:customStyle="1" w:styleId="Point3letter">
    <w:name w:val="Point 3 (letter)"/>
    <w:basedOn w:val="Normal"/>
    <w:pPr>
      <w:numPr>
        <w:ilvl w:val="7"/>
        <w:numId w:val="16"/>
      </w:numPr>
    </w:pPr>
  </w:style>
  <w:style w:type="paragraph" w:customStyle="1" w:styleId="Point4letter">
    <w:name w:val="Point 4 (letter)"/>
    <w:basedOn w:val="Normal"/>
    <w:pPr>
      <w:numPr>
        <w:ilvl w:val="8"/>
        <w:numId w:val="16"/>
      </w:numPr>
    </w:pPr>
  </w:style>
  <w:style w:type="paragraph" w:customStyle="1" w:styleId="Bullet0">
    <w:name w:val="Bullet 0"/>
    <w:basedOn w:val="Normal"/>
    <w:pPr>
      <w:numPr>
        <w:numId w:val="17"/>
      </w:numPr>
    </w:pPr>
  </w:style>
  <w:style w:type="paragraph" w:customStyle="1" w:styleId="Bullet1">
    <w:name w:val="Bullet 1"/>
    <w:basedOn w:val="Normal"/>
    <w:pPr>
      <w:numPr>
        <w:numId w:val="18"/>
      </w:numPr>
    </w:pPr>
  </w:style>
  <w:style w:type="paragraph" w:customStyle="1" w:styleId="Bullet2">
    <w:name w:val="Bullet 2"/>
    <w:basedOn w:val="Normal"/>
    <w:pPr>
      <w:numPr>
        <w:numId w:val="19"/>
      </w:numPr>
    </w:pPr>
  </w:style>
  <w:style w:type="paragraph" w:customStyle="1" w:styleId="Bullet3">
    <w:name w:val="Bullet 3"/>
    <w:basedOn w:val="Normal"/>
    <w:pPr>
      <w:numPr>
        <w:numId w:val="20"/>
      </w:numPr>
    </w:pPr>
  </w:style>
  <w:style w:type="paragraph" w:customStyle="1" w:styleId="Bullet4">
    <w:name w:val="Bullet 4"/>
    <w:basedOn w:val="Normal"/>
    <w:pPr>
      <w:numPr>
        <w:numId w:val="21"/>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2"/>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5B3207"/>
    <w:pPr>
      <w:tabs>
        <w:tab w:val="center" w:pos="4535"/>
        <w:tab w:val="right" w:pos="9071"/>
      </w:tabs>
      <w:spacing w:before="0"/>
    </w:pPr>
  </w:style>
  <w:style w:type="paragraph" w:customStyle="1" w:styleId="HeaderLandscape">
    <w:name w:val="HeaderLandscape"/>
    <w:basedOn w:val="Normal"/>
    <w:rsid w:val="005B3207"/>
    <w:pPr>
      <w:tabs>
        <w:tab w:val="center" w:pos="7285"/>
        <w:tab w:val="right" w:pos="14003"/>
      </w:tabs>
      <w:spacing w:before="0"/>
    </w:pPr>
  </w:style>
  <w:style w:type="paragraph" w:styleId="Footer">
    <w:name w:val="footer"/>
    <w:basedOn w:val="Normal"/>
    <w:link w:val="FooterChar"/>
    <w:uiPriority w:val="99"/>
    <w:unhideWhenUsed/>
    <w:rsid w:val="005B3207"/>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B3207"/>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2.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8BA2D2-1A55-409E-9D70-9EC9261DB23F}">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5</TotalTime>
  <Pages>5</Pages>
  <Words>1472</Words>
  <Characters>8394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27</cp:revision>
  <cp:lastPrinted>2025-05-08T07:59:00Z</cp:lastPrinted>
  <dcterms:created xsi:type="dcterms:W3CDTF">2025-09-16T13:52:00Z</dcterms:created>
  <dcterms:modified xsi:type="dcterms:W3CDTF">2025-09-30T15:22:00Z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