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492C09" w:rsidRDefault="009268EF" w:rsidP="009268EF">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6AFC005D-EF7D-4397-BED2-67A1717A9DF3" style="width:455.25pt;height:383.25pt">
            <v:imagedata r:id="rId11" o:title=""/>
          </v:shape>
        </w:pict>
      </w:r>
    </w:p>
    <w:p w:rsidR="00FE7FED" w:rsidRPr="00492C09" w:rsidRDefault="00FE7FED">
      <w:pPr>
        <w:rPr>
          <w:noProof/>
        </w:rPr>
        <w:sectPr w:rsidR="00FE7FED" w:rsidRPr="00492C09" w:rsidSect="009268EF">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rsidR="009713B0" w:rsidRPr="00492C09" w:rsidRDefault="00492C09" w:rsidP="00492C09">
      <w:pPr>
        <w:pStyle w:val="Typedudocument"/>
        <w:rPr>
          <w:noProof/>
        </w:rPr>
      </w:pPr>
      <w:bookmarkStart w:id="0" w:name="_GoBack"/>
      <w:bookmarkEnd w:id="0"/>
      <w:r w:rsidRPr="00492C09">
        <w:rPr>
          <w:noProof/>
        </w:rPr>
        <w:lastRenderedPageBreak/>
        <w:t>ΕΚΤΕΛΕΣΤΙΚΟΣ ΚΑΝΟΝΙΣΜΟΣ (ΕΕ) …/... ΤΗΣ ΕΠΙΤΡΟΠΗΣ</w:t>
      </w:r>
    </w:p>
    <w:p w:rsidR="009713B0" w:rsidRPr="00492C09" w:rsidRDefault="00DD437C" w:rsidP="00492C09">
      <w:pPr>
        <w:pStyle w:val="Datedadoption"/>
        <w:rPr>
          <w:noProof/>
        </w:rPr>
      </w:pPr>
      <w:r>
        <w:rPr>
          <w:noProof/>
        </w:rPr>
        <w:t>της 1.10.2025</w:t>
      </w:r>
    </w:p>
    <w:p w:rsidR="009713B0" w:rsidRPr="00492C09" w:rsidRDefault="00492C09" w:rsidP="00492C09">
      <w:pPr>
        <w:pStyle w:val="Titreobjet"/>
        <w:rPr>
          <w:noProof/>
        </w:rPr>
      </w:pPr>
      <w:r w:rsidRPr="00492C09">
        <w:rPr>
          <w:noProof/>
        </w:rPr>
        <w:t>για τον καθορισμό εκτελεστικών τεχνικών προτύπων για την εφαρμογή του κανονισμού (ΕΕ) αριθ. 260/2012 του Ευρωπαϊκού Κοινοβουλίου και του Συμβουλίου όσον αφορά τα ενιαία υποδείγματα υποβολής αναφορών, τις οδηγίες και τη μεθοδολογία αναφοράς του ύψους των επιβαρύνσεων για μεταφορές πίστωσης, άμεσες μεταφορές πίστωσης και λογαριασμούς πληρωμών, καθώς και το ποσοστό των απορριφθεισών πράξεων</w:t>
      </w:r>
    </w:p>
    <w:p w:rsidR="009713B0" w:rsidRPr="00492C09" w:rsidRDefault="009713B0" w:rsidP="009713B0">
      <w:pPr>
        <w:pStyle w:val="Institutionquiagit"/>
        <w:rPr>
          <w:noProof/>
        </w:rPr>
      </w:pPr>
      <w:r w:rsidRPr="00492C09">
        <w:rPr>
          <w:noProof/>
        </w:rPr>
        <w:t>Η ΕΥΡΩΠΑΪΚΗ ΕΠΙΤΡΟΠΗ,</w:t>
      </w:r>
    </w:p>
    <w:p w:rsidR="009713B0" w:rsidRPr="00492C09" w:rsidRDefault="009713B0" w:rsidP="009713B0">
      <w:pPr>
        <w:rPr>
          <w:noProof/>
          <w:color w:val="000000"/>
        </w:rPr>
      </w:pPr>
      <w:r w:rsidRPr="00492C09">
        <w:rPr>
          <w:noProof/>
          <w:color w:val="000000"/>
        </w:rPr>
        <w:t>Έχοντας υπόψη τη Συνθήκη για τη λειτουργία της Ευρωπαϊκής Ένωσης,</w:t>
      </w:r>
    </w:p>
    <w:p w:rsidR="009713B0" w:rsidRPr="00492C09" w:rsidRDefault="009713B0" w:rsidP="009713B0">
      <w:pPr>
        <w:rPr>
          <w:noProof/>
          <w:color w:val="000000"/>
        </w:rPr>
      </w:pPr>
      <w:r w:rsidRPr="00492C09">
        <w:rPr>
          <w:noProof/>
          <w:color w:val="000000"/>
        </w:rPr>
        <w:t>Έχοντας υπόψη τον κανονισμό (ΕΕ) αριθ. 260/2012 του Ευρωπαϊκού Κοινοβουλίου και του Συμβουλίου, της 14ης Μαρτίου 2012, σχετικά με την καθιέρωση τεχνικών απαιτήσεων και επιχειρηματικών κανόνων για τις μεταφορές πίστωσης και τις άμεσες χρεώσεις σε ευρώ και με την τροποποίηση του κανονισμού (ΕΚ) αριθ. 924/2009</w:t>
      </w:r>
      <w:r w:rsidRPr="00492C09">
        <w:rPr>
          <w:rStyle w:val="FootnoteReference"/>
          <w:noProof/>
          <w:color w:val="000000"/>
        </w:rPr>
        <w:footnoteReference w:id="2"/>
      </w:r>
      <w:r w:rsidRPr="00492C09">
        <w:rPr>
          <w:noProof/>
          <w:color w:val="000000"/>
        </w:rPr>
        <w:t xml:space="preserve">, ιδίως το άρθρο 15 παράγραφος 5 τρίτο εδάφιο, </w:t>
      </w:r>
    </w:p>
    <w:p w:rsidR="009713B0" w:rsidRPr="00492C09" w:rsidRDefault="009713B0" w:rsidP="009713B0">
      <w:pPr>
        <w:rPr>
          <w:noProof/>
        </w:rPr>
      </w:pPr>
      <w:r w:rsidRPr="00492C09">
        <w:rPr>
          <w:noProof/>
          <w:color w:val="000000"/>
        </w:rPr>
        <w:t>Εκτιμώντας τα ακόλουθα:</w:t>
      </w:r>
    </w:p>
    <w:p w:rsidR="00AC0006" w:rsidRPr="00492C09" w:rsidRDefault="00EA5988" w:rsidP="00EA5988">
      <w:pPr>
        <w:pStyle w:val="ManualConsidrant"/>
        <w:rPr>
          <w:noProof/>
        </w:rPr>
      </w:pPr>
      <w:r w:rsidRPr="00EA5988">
        <w:rPr>
          <w:noProof/>
        </w:rPr>
        <w:t>(1)</w:t>
      </w:r>
      <w:r w:rsidRPr="00EA5988">
        <w:rPr>
          <w:noProof/>
        </w:rPr>
        <w:tab/>
      </w:r>
      <w:r w:rsidR="00925CEE" w:rsidRPr="00492C09">
        <w:rPr>
          <w:noProof/>
        </w:rPr>
        <w:t xml:space="preserve">Μέσω της υποβολής αναφορών σχετικά με το ύψος των επιβαρύνσεων σύμφωνα με το άρθρο 15 παράγραφος 3 του κανονισμού (ΕΕ) αριθ. 260/2012, η Επιτροπή θα πρέπει να έχει τη δυνατότητα να αξιολογεί τον αντίκτυπο του κανόνα σχετικά με τις επιβαρύνσεις που επιβάλλονται για άμεσες μεταφορές πίστωσης, όπως ορίζεται στο άρθρο 5β παράγραφος 1 του εν λόγω κανονισμού, τις επιβαρύνσεις για λογαριασμούς πληρωμών, τόσο για εθνικές όσο και για διασυνοριακές μεταφορές πίστωσης, καθώς και για άμεσες μεταφορές πίστωσης σε ευρώ και στο εθνικό νόμισμα των κρατών μελών των οποίων το νόμισμα δεν είναι το ευρώ. Οι επιβαρύνσεις που επιβάλλονται από τους παρόχους υπηρεσιών πληρωμών (στο εξής: πάροχοι ΥΠ) για μεταφορές πίστωσης, συμπεριλαμβανομένων των άμεσων μεταφορών πίστωσης, συνήθως ποικίλλουν ανάλογα με τα χαρακτηριστικά της εκάστοτε μεταφοράς πίστωσης. Τα χαρακτηριστικά αυτά μπορεί να είναι αν ο χρήστης υπηρεσιών πληρωμών (στο εξής: χρήστης ΥΠ) είναι ο πληρωτής ή ο δικαιούχος, καταναλωτής ή όχι, ή το είδος του διαύλου εκκίνησης πληρωμής. Συνεπώς, η υποβολή αναφορών σχετικά με τις αποσταλείσες μεταφορές πίστωσης θα πρέπει να περιλαμβάνει αναλύσεις ανά εγχώρια και διασυνοριακή μεταφορά, είδος χρήστη ΥΠ και δίαυλο εκκίνησης πληρωμής. </w:t>
      </w:r>
    </w:p>
    <w:p w:rsidR="00F133B9" w:rsidRPr="00492C09" w:rsidRDefault="00EA5988" w:rsidP="00EA5988">
      <w:pPr>
        <w:pStyle w:val="ManualConsidrant"/>
        <w:rPr>
          <w:noProof/>
        </w:rPr>
      </w:pPr>
      <w:r w:rsidRPr="00EA5988">
        <w:rPr>
          <w:noProof/>
        </w:rPr>
        <w:t>(2)</w:t>
      </w:r>
      <w:r w:rsidRPr="00EA5988">
        <w:rPr>
          <w:noProof/>
        </w:rPr>
        <w:tab/>
      </w:r>
      <w:r w:rsidR="00914C54" w:rsidRPr="00492C09">
        <w:rPr>
          <w:noProof/>
        </w:rPr>
        <w:t>Οι πάροχοι ΥΠ μπορούν να επιλέξουν να καθορίζουν επιβαρύνσεις ανά συναλλαγή είτε σε ονομαστικούς όρους είτε ως ποσοστό της αξίας της συναλλαγής. Οι πάροχοι ΥΠ μπορούν επίσης να επιλέξουν εναλλακτικές δομές χρέωσης, συμπεριλαμβανομένης της κλιμακωτής τιμολόγησης με βάση διαφορετικό εύρος της συναλλακτικής αξίας, ή προσεγγίσεις που έχουν ορισμένο αριθμό δωρεάν συναλλαγών ανά μήνα, πέραν των οποίων επιβάλλεται χρέωση ανά συναλλαγή. Δεν θα ήταν επιθυμητό η εν λόγω ανομοιογένεια των εμπορικών πρακτικών να έχει ως αποτέλεσμα την καταστρατήγηση του στόχου του κανόνα σχετικά με τις επιβαρύνσεις για τις άμεσες μεταφορές πίστωσης που προβλέπεται στο άρθρο 5β παράγραφος 1 του κανονισμού (ΕΕ) αριθ. 260/2012. Η μεθοδολογία για την υποβολή των πληροφοριών σχετικά με το ύψος των επιβαρύνσεων για τις τακτικές και τις άμεσες μεταφορές πίστωσης θα πρέπει να δίνει τη δυνατότητα στην Επιτροπή να αξιολογεί τις πληροφορίες που παρέχουν οι πάροχοι ΥΠ με ομοιόμορφο και συγκρίσιμο τρόπο σε επίπεδο παρόχου ΥΠ σε βάθος χρόνου και μεταξύ διαφορετικών παρόχων ΥΠ σε δεδομένη χρονική στιγμή, παρά τις διαφορετικές μεθόδους χρέωσης που χρησιμοποιούν οι πάροχοι ΥΠ. Επομένως, η υποβαλλόμενη αναφορά θα πρέπει να περιέχει τις πληροφορίες σχετικά με τις συνολικές συγκεντρωτικές επιβαρύνσεις, τον όγκο και την αξία των μεταφορών πίστωσης, συμπεριλαμβανομένων των άμεσων μεταφορών πίστωσης, στο εθνικό νόμισμα. Η υποβολή αναφορών σχετικά με τις μεταφορές πίστωσης, τόσο αυτές που αποστέλλονται όσο και εκείνες που λαμβάνονται, θα πρέπει επίσης να περιλαμβάνει ανάλυση ανά δωρεάν και πληρωτέα μεταφορά πίστωσης.</w:t>
      </w:r>
    </w:p>
    <w:p w:rsidR="009713B0" w:rsidRPr="00492C09" w:rsidRDefault="00EA5988" w:rsidP="00EA5988">
      <w:pPr>
        <w:pStyle w:val="ManualConsidrant"/>
        <w:rPr>
          <w:noProof/>
        </w:rPr>
      </w:pPr>
      <w:r w:rsidRPr="00EA5988">
        <w:rPr>
          <w:noProof/>
        </w:rPr>
        <w:t>(3)</w:t>
      </w:r>
      <w:r w:rsidRPr="00EA5988">
        <w:rPr>
          <w:noProof/>
        </w:rPr>
        <w:tab/>
      </w:r>
      <w:r w:rsidR="004425F3" w:rsidRPr="00492C09">
        <w:rPr>
          <w:noProof/>
        </w:rPr>
        <w:t>Οι πάροχοι ΥΠ θα πρέπει να συμμορφώνονται με την υποχρέωση υποβολής αναφορών που υπέχουν, όπως ορίζεται στο άρθρο 15 παράγραφος 3 του κανονισμού (ΕΕ) αριθ. 260/2012 σε επίπεδο οντότητας. Προκειμένου να ευθυγραμμιστούν με την προσέγγιση της αναφοράς στατιστικών πληρωμών στην ΕΚΤ, τα υποκαταστήματα των παρόχων ΥΠ που βρίσκονται σε διαφορετικά κράτη μέλη από αυτά των μητρικών τους οντοτήτων θα πρέπει να υποβάλλουν τα δεδομένα τους στην αρμόδια αρχή του κράτους μέλους υποδοχής και οι μητρικές οντότητες θα πρέπει να υποβάλλουν οι ίδιες τα στοιχεία τους στην αρμόδια αρχή του κράτους μέλους καταγωγής τους.</w:t>
      </w:r>
    </w:p>
    <w:p w:rsidR="009713B0" w:rsidRPr="00492C09" w:rsidRDefault="00EA5988" w:rsidP="00EA5988">
      <w:pPr>
        <w:pStyle w:val="ManualConsidrant"/>
        <w:rPr>
          <w:noProof/>
        </w:rPr>
      </w:pPr>
      <w:r w:rsidRPr="00EA5988">
        <w:rPr>
          <w:noProof/>
        </w:rPr>
        <w:t>(4)</w:t>
      </w:r>
      <w:r w:rsidRPr="00EA5988">
        <w:rPr>
          <w:noProof/>
        </w:rPr>
        <w:tab/>
      </w:r>
      <w:r w:rsidR="000D1771" w:rsidRPr="00492C09">
        <w:rPr>
          <w:noProof/>
        </w:rPr>
        <w:t>Οι πάροχοι ΥΠ που βρίσκονται σε κράτη μέλη των οποίων το νόμισμα δεν είναι το ευρώ και προσφέρουν στους οικείους χρήστες ΥΠ την υπηρεσία πληρωμής για λήψη και αποστολή τακτικών μεταφορών πίστωσης σε ευρώ έχουν την υποχρέωση να προσφέρουν στους οικείους χρήστες ΥΠ την υπηρεσία πληρωμής για τη λήψη άμεσων μεταφορών πίστωσης σε ευρώ έως τις 9 Ιανουαρίου 2027 και την υπηρεσία πληρωμής για την αποστολή άμεσων μεταφορών πίστωσης σε ευρώ έως τις 9 Ιουλίου 2027, όπως ορίζεται στο άρθρο 5α παράγραφος 8 του κανονισμού (ΕΕ) αριθ. 260/2012. Οι εν λόγω πάροχοι ΥΠ θα πρέπει επίσης να συμμορφώνονται με τις υποχρεώσεις σχετικά με τις επιβαρύνσεις που επιβάλλονται στους πληρωτές και τους δικαιούχους όσον αφορά την αποστολή και τη λήψη άμεσων μεταφορών πίστωσης σε ευρώ έως τις 9 Ιανουαρίου 2027, σύμφωνα με το άρθρο 5β παράγραφος 3 δεύτερο εδάφιο του εν λόγω κανονισμού. Για να μπορέσει η Επιτροπή να αξιολογήσει τον αντίκτυπο του κανονισμού (ΕΕ) αριθ. 260/2012 στο ύψος των επιβαρύνσεων για τις μεταφορές πίστωσης, συμπεριλαμβανομένων των άμεσων μεταφορών πίστωσης, που εκφράζονται στο εθνικό νόμισμα των κρατών μελών των οποίων το νόμισμα δεν είναι το ευρώ, σύμφωνα με το άρθρο 15 παράγραφος 2 στοιχείο α) του εν λόγω κανονισμού, είναι σκόπιμο οι πάροχοι ΥΠ που βρίσκονται στα εν λόγω κράτη μέλη και προσφέρουν στους οικείους χρήστες ΥΠ την υπηρεσία πληρωμής για λήψη και αποστολή τακτικών μεταφορών πίστωσης σε ευρώ να υποβάλλουν αναφορές σχετικά με τους αριθμούς και την αξία των μεταφορών πίστωσης και τις σχετικές επιβαρύνσεις, συμπεριλαμβανομένων των άμεσων μεταφορών πίστωσης, εκφρασμένων στο εθνικό τους νόμισμα και σε ευρώ.</w:t>
      </w:r>
    </w:p>
    <w:p w:rsidR="009713B0" w:rsidRPr="00492C09" w:rsidRDefault="00EA5988" w:rsidP="00EA5988">
      <w:pPr>
        <w:pStyle w:val="ManualConsidrant"/>
        <w:rPr>
          <w:noProof/>
        </w:rPr>
      </w:pPr>
      <w:r w:rsidRPr="00EA5988">
        <w:rPr>
          <w:noProof/>
        </w:rPr>
        <w:t>(5)</w:t>
      </w:r>
      <w:r w:rsidRPr="00EA5988">
        <w:rPr>
          <w:noProof/>
        </w:rPr>
        <w:tab/>
      </w:r>
      <w:r w:rsidR="009713B0" w:rsidRPr="00492C09">
        <w:rPr>
          <w:noProof/>
        </w:rPr>
        <w:t>Για τους σκοπούς της υποβολής αναφορών σύμφωνα με το άρθρο 15 παράγραφος 3 του κανονισμού (ΕΕ) αριθ. 260/2012, οι πάροχοι ΥΠ θα πρέπει να παρέχουν στις αρμόδιες αρχές τους δεδομένα σχετικά με τον συνολικό αριθμό των λογαριασμών πληρωμών και το συγκεντρωτικό επίπεδο των συνολικών επιβαρύνσεων για τους λογαριασμούς πληρωμών. Για να μπορέσει η Επιτροπή να αξιολογήσει αν υπάρχει σχέση μεταξύ πιθανών αλλαγών στις επιβαρύνσεις για λογαριασμούς πληρωμών και αλλαγών στις επιβαρύνσεις για μεταφορές πίστωσης και άμεσες μεταφορές πίστωσης, η αναφορά θα πρέπει να περιλαμβάνει αναλύσεις για τα τέλη τήρησης λογαριασμών.</w:t>
      </w:r>
    </w:p>
    <w:p w:rsidR="009713B0" w:rsidRPr="00492C09" w:rsidRDefault="00EA5988" w:rsidP="00EA5988">
      <w:pPr>
        <w:pStyle w:val="ManualConsidrant"/>
        <w:rPr>
          <w:noProof/>
        </w:rPr>
      </w:pPr>
      <w:r w:rsidRPr="00EA5988">
        <w:rPr>
          <w:noProof/>
        </w:rPr>
        <w:t>(6)</w:t>
      </w:r>
      <w:r w:rsidRPr="00EA5988">
        <w:rPr>
          <w:noProof/>
        </w:rPr>
        <w:tab/>
      </w:r>
      <w:r w:rsidR="00136075" w:rsidRPr="00492C09">
        <w:rPr>
          <w:noProof/>
        </w:rPr>
        <w:t>Για να μπορέσει η Επιτροπή να αξιολογήσει το ποσοστό των απορριφθεισών άμεσων μεταφορών πίστωσης λόγω της εφαρμογής στοχευμένων οικονομικά περιοριστικών μέτρων που εγκρίθηκαν σύμφωνα με το άρθρο 215 της Συνθήκης για τη λειτουργία της Ευρωπαϊκής Ένωσης, και να αξιολογήσει αν το εν λόγω ποσοστό έχει αλλάξει μετά την έναρξη εφαρμογής των τροποποιήσεων του κανονισμού (ΕΕ) αριθ. 260/2012 που θεσπίστηκαν με τον κανονισμό (ΕΕ) 2024/886 του Ευρωπαϊκού Κοινοβουλίου και του Συμβουλίου</w:t>
      </w:r>
      <w:r w:rsidR="00136075" w:rsidRPr="00492C09">
        <w:rPr>
          <w:rStyle w:val="FootnoteReference"/>
          <w:noProof/>
        </w:rPr>
        <w:footnoteReference w:id="3"/>
      </w:r>
      <w:r w:rsidR="00136075" w:rsidRPr="00492C09">
        <w:rPr>
          <w:noProof/>
        </w:rPr>
        <w:t xml:space="preserve">, οι πάροχοι ΥΠ θα πρέπει να παρέχουν στις αρμόδιες αρχές τους δεδομένα σχετικά με το εν λόγω ποσοστό σε ένα δεδομένο έτος, συμπεριλαμβανομένου του αριθμού των περιπτώσεων στις οποίες οι άμεσες μεταφορές πίστωσης δεν εκτελέστηκαν ή τα κεφάλαια δεσμεύτηκαν από την πλευρά του παρόχου ΥΠ του πληρωτή ή του δικαιούχου. </w:t>
      </w:r>
    </w:p>
    <w:p w:rsidR="0039723A" w:rsidRPr="00492C09" w:rsidRDefault="00EA5988" w:rsidP="00EA5988">
      <w:pPr>
        <w:pStyle w:val="ManualConsidrant"/>
        <w:rPr>
          <w:noProof/>
        </w:rPr>
      </w:pPr>
      <w:r w:rsidRPr="00EA5988">
        <w:rPr>
          <w:noProof/>
        </w:rPr>
        <w:t>(7)</w:t>
      </w:r>
      <w:r w:rsidRPr="00EA5988">
        <w:rPr>
          <w:noProof/>
        </w:rPr>
        <w:tab/>
      </w:r>
      <w:r w:rsidR="00B17DF1" w:rsidRPr="00492C09">
        <w:rPr>
          <w:noProof/>
        </w:rPr>
        <w:t>Για την εναρμόνιση της υποβολής αναφορών, οι πάροχοι ΥΠ θα πρέπει να χρησιμοποιούν το μοντέλο σημείων δεδομένων και τους μαθηματικούς τύπους επικύρωσης που διατίθενται στον ιστότοπο της Ευρωπαϊκής Αρχής Τραπεζών (στο εξής: ΕΑΤ). Επιπλέον, για να μειωθεί ο φόρτος της υποβολής αναφορών και να αποφευχθεί οποιαδήποτε αλληλεπικάλυψη, οι αρμόδιες αρχές θα πρέπει να είναι σε θέση να επιτρέπουν στους παρόχους ΥΠ που βρίσκονται στη δικαιοδοσία τους να περιορίζουν την αναφορά στα σημεία δεδομένων που δεν έχουν υποβληθεί προηγουμένως.</w:t>
      </w:r>
    </w:p>
    <w:p w:rsidR="009713B0" w:rsidRPr="00492C09" w:rsidRDefault="00EA5988" w:rsidP="00EA5988">
      <w:pPr>
        <w:pStyle w:val="ManualConsidrant"/>
        <w:rPr>
          <w:noProof/>
        </w:rPr>
      </w:pPr>
      <w:r w:rsidRPr="00EA5988">
        <w:rPr>
          <w:noProof/>
        </w:rPr>
        <w:t>(8)</w:t>
      </w:r>
      <w:r w:rsidRPr="00EA5988">
        <w:rPr>
          <w:noProof/>
        </w:rPr>
        <w:tab/>
      </w:r>
      <w:r w:rsidR="009713B0" w:rsidRPr="00492C09">
        <w:rPr>
          <w:noProof/>
        </w:rPr>
        <w:t>Ο παρών κανονισμός βασίζεται στα σχέδια εκτελεστικών τεχνικών προτύπων που υπέβαλε η ΕΑΤ στην Επιτροπή.</w:t>
      </w:r>
    </w:p>
    <w:p w:rsidR="009713B0" w:rsidRPr="00492C09" w:rsidRDefault="00EA5988" w:rsidP="00EA5988">
      <w:pPr>
        <w:pStyle w:val="ManualConsidrant"/>
        <w:rPr>
          <w:noProof/>
        </w:rPr>
      </w:pPr>
      <w:r w:rsidRPr="00EA5988">
        <w:rPr>
          <w:noProof/>
        </w:rPr>
        <w:t>(9)</w:t>
      </w:r>
      <w:r w:rsidRPr="00EA5988">
        <w:rPr>
          <w:noProof/>
        </w:rPr>
        <w:tab/>
      </w:r>
      <w:r w:rsidR="009713B0" w:rsidRPr="00492C09">
        <w:rPr>
          <w:noProof/>
        </w:rPr>
        <w:t>Η ΕΑΤ διεξήγαγε ανοικτές δημόσιες διαβουλεύσεις σχετικά με τα σχέδια εκτελεστικών τεχνικών προτύπων στα οποία βασίζεται ο παρών κανονισμός, ανέλυσε τα ενδεχόμενα συναφή κόστη και τα οφέλη και ζήτησε τη γνώμη της ομάδας τραπεζικών συμφεροντούχων, που συστάθηκε σύμφωνα με το άρθρο 37 του κανονισμού (ΕΕ) αριθ. 1093/2010 του Ευρωπαϊκού Κοινοβουλίου και του Συμβουλίου</w:t>
      </w:r>
      <w:r w:rsidR="009713B0" w:rsidRPr="00492C09">
        <w:rPr>
          <w:rStyle w:val="FootnoteReference"/>
          <w:noProof/>
        </w:rPr>
        <w:footnoteReference w:id="4"/>
      </w:r>
      <w:r w:rsidR="009713B0" w:rsidRPr="00492C09">
        <w:rPr>
          <w:noProof/>
        </w:rPr>
        <w:t>,</w:t>
      </w:r>
    </w:p>
    <w:p w:rsidR="009713B0" w:rsidRPr="00492C09" w:rsidRDefault="009713B0" w:rsidP="009713B0">
      <w:pPr>
        <w:pStyle w:val="Formuledadoption"/>
        <w:rPr>
          <w:noProof/>
        </w:rPr>
      </w:pPr>
      <w:r w:rsidRPr="00492C09">
        <w:rPr>
          <w:noProof/>
        </w:rPr>
        <w:t>ΕΞΕΔΩΣΕ ΤΟΝ ΠΑΡΟΝΤΑ ΚΑΝΟΝΙΣΜΟ:</w:t>
      </w:r>
    </w:p>
    <w:p w:rsidR="009713B0" w:rsidRPr="00492C09" w:rsidRDefault="009713B0" w:rsidP="009713B0">
      <w:pPr>
        <w:pStyle w:val="Titrearticle"/>
        <w:rPr>
          <w:noProof/>
        </w:rPr>
      </w:pPr>
      <w:r w:rsidRPr="00492C09">
        <w:rPr>
          <w:noProof/>
        </w:rPr>
        <w:t>Άρθρο 1</w:t>
      </w:r>
    </w:p>
    <w:p w:rsidR="009713B0" w:rsidRPr="00492C09" w:rsidRDefault="009713B0" w:rsidP="009713B0">
      <w:pPr>
        <w:jc w:val="center"/>
        <w:rPr>
          <w:b/>
          <w:bCs/>
          <w:noProof/>
        </w:rPr>
      </w:pPr>
      <w:r w:rsidRPr="00492C09">
        <w:rPr>
          <w:b/>
          <w:noProof/>
        </w:rPr>
        <w:t>Υποβολή αναφορών σχετικά με το ύψος των επιβαρύνσεων</w:t>
      </w:r>
    </w:p>
    <w:p w:rsidR="009713B0" w:rsidRPr="00492C09" w:rsidRDefault="009713B0" w:rsidP="009713B0">
      <w:pPr>
        <w:pStyle w:val="Point0"/>
        <w:rPr>
          <w:noProof/>
        </w:rPr>
      </w:pPr>
      <w:r w:rsidRPr="00492C09">
        <w:rPr>
          <w:noProof/>
        </w:rPr>
        <w:t>1.</w:t>
      </w:r>
      <w:r w:rsidRPr="00492C09">
        <w:rPr>
          <w:noProof/>
        </w:rPr>
        <w:tab/>
        <w:t>Οι πάροχοι ΥΠ υποβάλλουν στοιχεία σχετικά με το ύψος των επιβαρύνσεων για μεταφορές πίστωσης, άμεσες μεταφορές πίστωσης και λογαριασμούς πληρωμών υποβάλλοντας τις πληροφορίες που ορίζονται στα υποδείγματα 1.1, 1.2, 2.1, 2.2 και 3 του παραρτήματος I και σύμφωνα με τις οδηγίες που παρατίθενται στο παράρτημα II.</w:t>
      </w:r>
    </w:p>
    <w:p w:rsidR="009713B0" w:rsidRPr="00492C09" w:rsidRDefault="009713B0" w:rsidP="009713B0">
      <w:pPr>
        <w:pStyle w:val="Point0"/>
        <w:rPr>
          <w:noProof/>
        </w:rPr>
      </w:pPr>
      <w:r w:rsidRPr="00492C09">
        <w:rPr>
          <w:noProof/>
        </w:rPr>
        <w:t>2.</w:t>
      </w:r>
      <w:r w:rsidRPr="00492C09">
        <w:rPr>
          <w:noProof/>
        </w:rPr>
        <w:tab/>
        <w:t>Οι πάροχοι ΥΠ υποβάλλουν τα ετήσια συγκεντρωτικά αριθμητικά στοιχεία έως τις 31 Δεκεμβρίου του ημερολογιακού έτους που προηγείται του έτους υποβολής της αναφοράς.</w:t>
      </w:r>
    </w:p>
    <w:p w:rsidR="009713B0" w:rsidRPr="00492C09" w:rsidRDefault="009713B0" w:rsidP="009713B0">
      <w:pPr>
        <w:pStyle w:val="Point0"/>
        <w:rPr>
          <w:noProof/>
        </w:rPr>
      </w:pPr>
      <w:r w:rsidRPr="00492C09">
        <w:rPr>
          <w:noProof/>
        </w:rPr>
        <w:t>3.</w:t>
      </w:r>
      <w:r w:rsidRPr="00492C09">
        <w:rPr>
          <w:noProof/>
        </w:rPr>
        <w:tab/>
        <w:t>Κατά παρέκκλιση από την παράγραφο 2, η πρώτη εναρμονισμένη αναφορά περιέχει συγκεντρωτικά στοιχεία για κάθε έτος που προηγείται του έτους υποβολής της αναφοράς, αρχής γενομένης από την περίοδο που εκτείνεται από τις 26 Οκτωβρίου 2022 έως τις 31 Δεκεμβρίου 2022, για το 2022.</w:t>
      </w:r>
    </w:p>
    <w:p w:rsidR="009713B0" w:rsidRPr="00492C09" w:rsidRDefault="009713B0" w:rsidP="009713B0">
      <w:pPr>
        <w:pStyle w:val="Titrearticle"/>
        <w:rPr>
          <w:noProof/>
        </w:rPr>
      </w:pPr>
      <w:r w:rsidRPr="00492C09">
        <w:rPr>
          <w:noProof/>
        </w:rPr>
        <w:t>Άρθρο 2</w:t>
      </w:r>
    </w:p>
    <w:p w:rsidR="009713B0" w:rsidRPr="00492C09" w:rsidRDefault="009713B0" w:rsidP="009713B0">
      <w:pPr>
        <w:jc w:val="center"/>
        <w:rPr>
          <w:b/>
          <w:bCs/>
          <w:noProof/>
        </w:rPr>
      </w:pPr>
      <w:r w:rsidRPr="00492C09">
        <w:rPr>
          <w:b/>
          <w:noProof/>
        </w:rPr>
        <w:t>Αναφορά του ποσοστού των απορριφθεισών πράξεων άμεσης μεταφοράς πίστωσης και των περιόδων αναφοράς</w:t>
      </w:r>
    </w:p>
    <w:p w:rsidR="009713B0" w:rsidRPr="00492C09" w:rsidRDefault="009713B0" w:rsidP="009713B0">
      <w:pPr>
        <w:pStyle w:val="Point0"/>
        <w:rPr>
          <w:noProof/>
        </w:rPr>
      </w:pPr>
      <w:r w:rsidRPr="00492C09">
        <w:rPr>
          <w:noProof/>
        </w:rPr>
        <w:t>1.</w:t>
      </w:r>
      <w:r w:rsidRPr="00492C09">
        <w:rPr>
          <w:noProof/>
        </w:rPr>
        <w:tab/>
        <w:t>Οι πάροχοι ΥΠ αναφέρουν το ποσοστό των πράξεων άμεσης μεταφοράς πίστωσης που έχουν απορριφθεί λόγω στοχευμένων οικονομικά περιοριστικών μέτρων, όπως αναφέρεται στο άρθρο 15 παράγραφος 3 του κανονισμού (ΕΕ) αριθ. 260/2012, συμπεριλαμβανομένων χωριστών δεδομένων για εθνικές και διασυνοριακές πράξεις, υποβάλλοντας τις πληροφορίες που ορίζονται στο υπόδειγμα 4 του παραρτήματος I και σύμφωνα με τις οδηγίες που παρατίθενται στο παράρτημα II.</w:t>
      </w:r>
    </w:p>
    <w:p w:rsidR="009713B0" w:rsidRPr="00492C09" w:rsidRDefault="009713B0" w:rsidP="009713B0">
      <w:pPr>
        <w:pStyle w:val="Point0"/>
        <w:rPr>
          <w:noProof/>
        </w:rPr>
      </w:pPr>
      <w:r w:rsidRPr="00492C09">
        <w:rPr>
          <w:noProof/>
        </w:rPr>
        <w:t>2.</w:t>
      </w:r>
      <w:r w:rsidRPr="00492C09">
        <w:rPr>
          <w:noProof/>
        </w:rPr>
        <w:tab/>
        <w:t>Οι αναφορές περιλαμβάνουν τον αριθμό των απορρίψεων για το ημερολογιακό έτος που προηγείται του έτους υποβολής της αναφοράς.</w:t>
      </w:r>
    </w:p>
    <w:p w:rsidR="00AD7B15" w:rsidRPr="00492C09" w:rsidRDefault="009713B0" w:rsidP="009713B0">
      <w:pPr>
        <w:pStyle w:val="Point0"/>
        <w:rPr>
          <w:noProof/>
        </w:rPr>
      </w:pPr>
      <w:r w:rsidRPr="00492C09">
        <w:rPr>
          <w:noProof/>
        </w:rPr>
        <w:t>3.</w:t>
      </w:r>
      <w:r w:rsidRPr="00492C09">
        <w:rPr>
          <w:noProof/>
        </w:rPr>
        <w:tab/>
        <w:t>Κατά παρέκκλιση από την παράγραφο 2, η πρώτη εναρμονισμένη αναφορά περιέχει τα συμπληρωμένα υποδείγματα με τον αριθμό των απορρίψεων για κάθε έτος που προηγείται του έτους υποβολής της αναφοράς, αρχής γενομένης από την περίοδο που εκτείνεται από 26 Οκτωβρίου 2022 έως 31 Δεκεμβρίου 2022, για το 2022.</w:t>
      </w:r>
    </w:p>
    <w:p w:rsidR="00AD7B15" w:rsidRPr="00492C09" w:rsidRDefault="00AD7B15">
      <w:pPr>
        <w:spacing w:before="0" w:after="200" w:line="276" w:lineRule="auto"/>
        <w:jc w:val="left"/>
        <w:rPr>
          <w:noProof/>
        </w:rPr>
      </w:pPr>
      <w:r w:rsidRPr="00492C09">
        <w:rPr>
          <w:noProof/>
        </w:rPr>
        <w:br w:type="page"/>
      </w:r>
    </w:p>
    <w:p w:rsidR="009713B0" w:rsidRPr="00492C09" w:rsidRDefault="009713B0" w:rsidP="009713B0">
      <w:pPr>
        <w:pStyle w:val="Titrearticle"/>
        <w:rPr>
          <w:noProof/>
        </w:rPr>
      </w:pPr>
      <w:r w:rsidRPr="00492C09">
        <w:rPr>
          <w:noProof/>
        </w:rPr>
        <w:t>Άρθρο 3</w:t>
      </w:r>
    </w:p>
    <w:p w:rsidR="009713B0" w:rsidRPr="00492C09" w:rsidRDefault="009713B0" w:rsidP="009713B0">
      <w:pPr>
        <w:jc w:val="center"/>
        <w:rPr>
          <w:b/>
          <w:bCs/>
          <w:noProof/>
        </w:rPr>
      </w:pPr>
      <w:r w:rsidRPr="00492C09">
        <w:rPr>
          <w:b/>
          <w:noProof/>
        </w:rPr>
        <w:t>Μορφότυποι ανταλλαγής δεδομένων και πληροφορίες που συνοδεύουν την υποβολή</w:t>
      </w:r>
    </w:p>
    <w:p w:rsidR="009713B0" w:rsidRPr="00492C09" w:rsidRDefault="009713B0" w:rsidP="009713B0">
      <w:pPr>
        <w:rPr>
          <w:noProof/>
        </w:rPr>
      </w:pPr>
      <w:r w:rsidRPr="00492C09">
        <w:rPr>
          <w:noProof/>
        </w:rPr>
        <w:t>Οι πάροχοι ΥΠ υποβάλλουν τις πληροφορίες που αναφέρονται στα άρθρα 1 και 2 του παρόντος κανονισμού με τους μορφότυπους ανταλλαγής δεδομένων και τις παρουσιάσεις που καθορίζονται από τις αρμόδιες αρχές, και σύμφωνα με τον ορισμό του σημείου δεδομένων, που περιλαμβάνεται στο μοντέλο σημείων δεδομένων, και τους τύπους επικύρωσης που παρέχονται στον ιστότοπο της ΕΑΤ. Οι πάροχοι ΥΠ συμμορφώνονται με τις ακόλουθες ρυθμίσεις:</w:t>
      </w:r>
    </w:p>
    <w:p w:rsidR="009713B0" w:rsidRPr="00492C09" w:rsidRDefault="00162CE5" w:rsidP="00162CE5">
      <w:pPr>
        <w:pStyle w:val="Point0"/>
        <w:rPr>
          <w:noProof/>
        </w:rPr>
      </w:pPr>
      <w:r>
        <w:rPr>
          <w:noProof/>
        </w:rPr>
        <w:t>α)</w:t>
      </w:r>
      <w:r>
        <w:rPr>
          <w:noProof/>
        </w:rPr>
        <w:tab/>
      </w:r>
      <w:r w:rsidR="009713B0" w:rsidRPr="00492C09">
        <w:rPr>
          <w:noProof/>
        </w:rPr>
        <w:t>δεν περιλαμβάνονται στα υποβαλλόμενα δεδομένα οι μη απαιτούμενες ή μη εφαρμοστέες πληροφορίες·</w:t>
      </w:r>
    </w:p>
    <w:p w:rsidR="009713B0" w:rsidRPr="00492C09" w:rsidRDefault="00162CE5" w:rsidP="00162CE5">
      <w:pPr>
        <w:pStyle w:val="Point0"/>
        <w:rPr>
          <w:noProof/>
        </w:rPr>
      </w:pPr>
      <w:r>
        <w:rPr>
          <w:noProof/>
        </w:rPr>
        <w:t>β)</w:t>
      </w:r>
      <w:r>
        <w:rPr>
          <w:noProof/>
        </w:rPr>
        <w:tab/>
      </w:r>
      <w:r w:rsidR="009713B0" w:rsidRPr="00492C09">
        <w:rPr>
          <w:noProof/>
        </w:rPr>
        <w:t>οι αριθμητικές τιμές υποβάλλονται ως εξής:</w:t>
      </w:r>
    </w:p>
    <w:p w:rsidR="009713B0" w:rsidRPr="00492C09" w:rsidRDefault="0055071E" w:rsidP="009713B0">
      <w:pPr>
        <w:pStyle w:val="Point1"/>
        <w:rPr>
          <w:noProof/>
        </w:rPr>
      </w:pPr>
      <w:r w:rsidRPr="00492C09">
        <w:rPr>
          <w:noProof/>
        </w:rPr>
        <w:t>i)</w:t>
      </w:r>
      <w:r w:rsidRPr="00492C09">
        <w:rPr>
          <w:noProof/>
        </w:rPr>
        <w:tab/>
        <w:t>οι πάροχοι ΥΠ αναφέρουν τα σημεία δεδομένων με τον τύπο δεδομένων «Νομισματικά» με τη χρήση ελάχιστης ακρίβειας που αντιστοιχεί σε χιλιάδες μονάδες·</w:t>
      </w:r>
    </w:p>
    <w:p w:rsidR="009713B0" w:rsidRPr="00492C09" w:rsidRDefault="0055071E" w:rsidP="009713B0">
      <w:pPr>
        <w:pStyle w:val="Point1"/>
        <w:rPr>
          <w:noProof/>
        </w:rPr>
      </w:pPr>
      <w:r w:rsidRPr="00492C09">
        <w:rPr>
          <w:noProof/>
        </w:rPr>
        <w:t>ii)</w:t>
      </w:r>
      <w:r w:rsidRPr="00492C09">
        <w:rPr>
          <w:noProof/>
        </w:rPr>
        <w:tab/>
        <w:t>οι πάροχοι ΥΠ δεν χρησιμοποιούν δεκαδικά ψηφία κατά την αναφορά σημείων δεδομένων με τον τύπο δεδομένων «Ακέραιοι» και χρησιμοποιούν ακρίβεια που αντιστοιχεί σε μονάδες.</w:t>
      </w:r>
    </w:p>
    <w:p w:rsidR="009713B0" w:rsidRPr="00492C09" w:rsidRDefault="009713B0" w:rsidP="009713B0">
      <w:pPr>
        <w:pStyle w:val="Titrearticle"/>
        <w:rPr>
          <w:noProof/>
        </w:rPr>
      </w:pPr>
      <w:r w:rsidRPr="00492C09">
        <w:rPr>
          <w:noProof/>
        </w:rPr>
        <w:t>Άρθρο 4</w:t>
      </w:r>
    </w:p>
    <w:p w:rsidR="009713B0" w:rsidRPr="00492C09" w:rsidRDefault="009713B0" w:rsidP="009713B0">
      <w:pPr>
        <w:jc w:val="center"/>
        <w:rPr>
          <w:noProof/>
        </w:rPr>
      </w:pPr>
      <w:r w:rsidRPr="00492C09">
        <w:rPr>
          <w:b/>
          <w:noProof/>
        </w:rPr>
        <w:t>Έναρξη ισχύος</w:t>
      </w:r>
    </w:p>
    <w:p w:rsidR="009713B0" w:rsidRPr="00492C09" w:rsidRDefault="009713B0" w:rsidP="009713B0">
      <w:pPr>
        <w:rPr>
          <w:noProof/>
        </w:rPr>
      </w:pPr>
      <w:r w:rsidRPr="00492C09">
        <w:rPr>
          <w:noProof/>
        </w:rPr>
        <w:t xml:space="preserve">Ο παρών κανονισμός αρχίζει να ισχύει την εικοστή ημέρα από τη δημοσίευσή του στην </w:t>
      </w:r>
      <w:r w:rsidRPr="00492C09">
        <w:rPr>
          <w:i/>
          <w:noProof/>
        </w:rPr>
        <w:t>Επίσημη Εφημερίδα της Ευρωπαϊκής Ένωσης</w:t>
      </w:r>
      <w:r w:rsidRPr="00492C09">
        <w:rPr>
          <w:noProof/>
        </w:rPr>
        <w:t>.</w:t>
      </w:r>
    </w:p>
    <w:p w:rsidR="009713B0" w:rsidRPr="00492C09" w:rsidRDefault="009713B0" w:rsidP="009713B0">
      <w:pPr>
        <w:pStyle w:val="Applicationdirecte"/>
        <w:rPr>
          <w:noProof/>
        </w:rPr>
      </w:pPr>
      <w:r w:rsidRPr="00492C09">
        <w:rPr>
          <w:noProof/>
        </w:rPr>
        <w:t>Ο παρών κανονισμός είναι δεσμευτικός ως προς όλα τα μέρη του και ισχύει άμεσα σε κάθε κράτος μέλος.</w:t>
      </w:r>
    </w:p>
    <w:p w:rsidR="009713B0" w:rsidRPr="00492C09" w:rsidRDefault="00DD437C" w:rsidP="008574B8">
      <w:pPr>
        <w:pStyle w:val="Fait"/>
        <w:rPr>
          <w:noProof/>
        </w:rPr>
      </w:pPr>
      <w:r>
        <w:rPr>
          <w:noProof/>
        </w:rPr>
        <w:t>Βρυξέλλες, 1.10.2025</w:t>
      </w:r>
    </w:p>
    <w:p w:rsidR="009713B0" w:rsidRPr="00492C09" w:rsidRDefault="009713B0" w:rsidP="008574B8">
      <w:pPr>
        <w:pStyle w:val="Institutionquisigne"/>
        <w:rPr>
          <w:noProof/>
        </w:rPr>
      </w:pPr>
      <w:r w:rsidRPr="00492C09">
        <w:rPr>
          <w:noProof/>
        </w:rPr>
        <w:tab/>
        <w:t>Για την Επιτροπή</w:t>
      </w:r>
    </w:p>
    <w:p w:rsidR="00FE7FED" w:rsidRPr="00492C09" w:rsidRDefault="00470444" w:rsidP="009713B0">
      <w:pPr>
        <w:pStyle w:val="Personnequisigne"/>
        <w:rPr>
          <w:noProof/>
        </w:rPr>
      </w:pPr>
      <w:r>
        <w:rPr>
          <w:noProof/>
        </w:rPr>
        <w:tab/>
        <w:t>Η Πρόεδρος</w:t>
      </w:r>
      <w:r>
        <w:rPr>
          <w:noProof/>
        </w:rPr>
        <w:br/>
      </w:r>
      <w:r>
        <w:rPr>
          <w:noProof/>
        </w:rPr>
        <w:tab/>
        <w:t>Ursula VON DER LEYEN</w:t>
      </w:r>
    </w:p>
    <w:sectPr w:rsidR="00FE7FED" w:rsidRPr="00492C09" w:rsidSect="009268EF">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8EF" w:rsidRPr="009268EF" w:rsidRDefault="009268EF" w:rsidP="009268EF">
    <w:pPr>
      <w:pStyle w:val="Footer"/>
      <w:rPr>
        <w:rFonts w:ascii="Arial" w:hAnsi="Arial" w:cs="Arial"/>
        <w:b/>
        <w:sz w:val="48"/>
      </w:rPr>
    </w:pPr>
    <w:r w:rsidRPr="009268EF">
      <w:rPr>
        <w:rFonts w:ascii="Arial" w:hAnsi="Arial" w:cs="Arial"/>
        <w:b/>
        <w:sz w:val="48"/>
      </w:rPr>
      <w:t>EL</w:t>
    </w:r>
    <w:r w:rsidRPr="009268EF">
      <w:rPr>
        <w:rFonts w:ascii="Arial" w:hAnsi="Arial" w:cs="Arial"/>
        <w:b/>
        <w:sz w:val="48"/>
      </w:rPr>
      <w:tab/>
    </w:r>
    <w:r w:rsidRPr="009268EF">
      <w:rPr>
        <w:rFonts w:ascii="Arial" w:hAnsi="Arial" w:cs="Arial"/>
        <w:b/>
        <w:sz w:val="48"/>
      </w:rPr>
      <w:tab/>
    </w:r>
    <w:r w:rsidRPr="009268EF">
      <w:tab/>
    </w:r>
    <w:r w:rsidRPr="009268EF">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8EF" w:rsidRPr="009268EF" w:rsidRDefault="009268EF" w:rsidP="009268EF">
    <w:pPr>
      <w:pStyle w:val="Footer"/>
      <w:rPr>
        <w:rFonts w:ascii="Arial" w:hAnsi="Arial" w:cs="Arial"/>
        <w:b/>
        <w:sz w:val="48"/>
      </w:rPr>
    </w:pPr>
    <w:r w:rsidRPr="009268EF">
      <w:rPr>
        <w:rFonts w:ascii="Arial" w:hAnsi="Arial" w:cs="Arial"/>
        <w:b/>
        <w:sz w:val="48"/>
      </w:rPr>
      <w:t>EL</w:t>
    </w:r>
    <w:r w:rsidRPr="009268EF">
      <w:rPr>
        <w:rFonts w:ascii="Arial" w:hAnsi="Arial" w:cs="Arial"/>
        <w:b/>
        <w:sz w:val="48"/>
      </w:rPr>
      <w:tab/>
    </w:r>
    <w:r w:rsidRPr="009268EF">
      <w:rPr>
        <w:rFonts w:ascii="Arial" w:hAnsi="Arial" w:cs="Arial"/>
        <w:b/>
        <w:sz w:val="48"/>
      </w:rPr>
      <w:tab/>
    </w:r>
    <w:r w:rsidRPr="009268EF">
      <w:tab/>
    </w:r>
    <w:r w:rsidRPr="009268EF">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8EF" w:rsidRPr="009268EF" w:rsidRDefault="009268EF" w:rsidP="009268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8EF" w:rsidRDefault="009268E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8EF" w:rsidRPr="009268EF" w:rsidRDefault="009268EF" w:rsidP="009268EF">
    <w:pPr>
      <w:pStyle w:val="Footer"/>
      <w:rPr>
        <w:rFonts w:ascii="Arial" w:hAnsi="Arial" w:cs="Arial"/>
        <w:b/>
        <w:sz w:val="48"/>
      </w:rPr>
    </w:pPr>
    <w:r w:rsidRPr="009268EF">
      <w:rPr>
        <w:rFonts w:ascii="Arial" w:hAnsi="Arial" w:cs="Arial"/>
        <w:b/>
        <w:sz w:val="48"/>
      </w:rPr>
      <w:t>EL</w:t>
    </w:r>
    <w:r w:rsidRPr="009268EF">
      <w:rPr>
        <w:rFonts w:ascii="Arial" w:hAnsi="Arial" w:cs="Arial"/>
        <w:b/>
        <w:sz w:val="48"/>
      </w:rPr>
      <w:tab/>
    </w:r>
    <w:r>
      <w:fldChar w:fldCharType="begin"/>
    </w:r>
    <w:r>
      <w:instrText xml:space="preserve"> PAGE  \* MERGEFORMAT </w:instrText>
    </w:r>
    <w:r>
      <w:fldChar w:fldCharType="separate"/>
    </w:r>
    <w:r w:rsidR="00167577">
      <w:rPr>
        <w:noProof/>
      </w:rPr>
      <w:t>2</w:t>
    </w:r>
    <w:r>
      <w:fldChar w:fldCharType="end"/>
    </w:r>
    <w:r>
      <w:tab/>
    </w:r>
    <w:r w:rsidRPr="009268EF">
      <w:tab/>
    </w:r>
    <w:r w:rsidRPr="009268EF">
      <w:rPr>
        <w:rFonts w:ascii="Arial" w:hAnsi="Arial" w:cs="Arial"/>
        <w:b/>
        <w:sz w:val="48"/>
      </w:rPr>
      <w:t>EL</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8EF" w:rsidRDefault="009268EF" w:rsidP="009268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492C09" w:rsidRDefault="00A8350B">
      <w:pPr>
        <w:pStyle w:val="FootnoteText"/>
      </w:pPr>
      <w:r>
        <w:rPr>
          <w:rStyle w:val="FootnoteReference"/>
        </w:rPr>
        <w:footnoteRef/>
      </w:r>
      <w:r w:rsidRPr="00492C09">
        <w:tab/>
        <w:t xml:space="preserve">ΕΕ </w:t>
      </w:r>
      <w:r>
        <w:t>L </w:t>
      </w:r>
      <w:r w:rsidRPr="00492C09">
        <w:t>94 της 30.3.2012, σ.</w:t>
      </w:r>
      <w:r>
        <w:t> </w:t>
      </w:r>
      <w:r w:rsidRPr="00492C09">
        <w:t xml:space="preserve">22, </w:t>
      </w:r>
      <w:r>
        <w:t>ELI</w:t>
      </w:r>
      <w:r w:rsidRPr="00492C09">
        <w:t xml:space="preserve">: </w:t>
      </w:r>
      <w:r>
        <w:t>http</w:t>
      </w:r>
      <w:r w:rsidRPr="00492C09">
        <w:t>://</w:t>
      </w:r>
      <w:r>
        <w:t>data</w:t>
      </w:r>
      <w:r w:rsidRPr="00492C09">
        <w:t>.</w:t>
      </w:r>
      <w:r>
        <w:t>europa</w:t>
      </w:r>
      <w:r w:rsidRPr="00492C09">
        <w:t>.</w:t>
      </w:r>
      <w:r>
        <w:t>eu</w:t>
      </w:r>
      <w:r w:rsidRPr="00492C09">
        <w:t>/</w:t>
      </w:r>
      <w:r>
        <w:t>eli</w:t>
      </w:r>
      <w:r w:rsidRPr="00492C09">
        <w:t>/</w:t>
      </w:r>
      <w:r>
        <w:t>reg</w:t>
      </w:r>
      <w:r w:rsidRPr="00492C09">
        <w:t>/2012/260/</w:t>
      </w:r>
      <w:r>
        <w:t>oj</w:t>
      </w:r>
      <w:r w:rsidRPr="00492C09">
        <w:t xml:space="preserve">. </w:t>
      </w:r>
    </w:p>
  </w:footnote>
  <w:footnote w:id="3">
    <w:p w:rsidR="00AD7B15" w:rsidRPr="00492C09" w:rsidRDefault="00AD7B15" w:rsidP="00D05942">
      <w:pPr>
        <w:pStyle w:val="FootnoteText"/>
        <w:ind w:left="0" w:firstLine="0"/>
      </w:pPr>
      <w:r>
        <w:rPr>
          <w:rStyle w:val="FootnoteReference"/>
        </w:rPr>
        <w:footnoteRef/>
      </w:r>
      <w:r w:rsidRPr="00492C09">
        <w:tab/>
        <w:t>Κανονισμός (ΕΕ) 2024/886 του Ευρωπαϊκού Κοινοβουλίου και του Συμβουλίου, της 13ης Μαρτίου 2024, για την τροποποίηση των κανονισμών (ΕΕ) αριθ.</w:t>
      </w:r>
      <w:r>
        <w:t> </w:t>
      </w:r>
      <w:r w:rsidRPr="00492C09">
        <w:t xml:space="preserve">260/2012 και (ΕΕ) 2021/1230 και των οδηγιών 98/26/ΕΚ και (ΕΕ) 2015/2366 όσον αφορά τις άμεσες μεταφορές πίστωσης σε ευρώ (ΕΕ </w:t>
      </w:r>
      <w:r>
        <w:t>L</w:t>
      </w:r>
      <w:r w:rsidRPr="00492C09">
        <w:t xml:space="preserve">, 2024/886, 19.3.2024, </w:t>
      </w:r>
      <w:r>
        <w:t>ELI</w:t>
      </w:r>
      <w:r w:rsidRPr="00492C09">
        <w:t>:</w:t>
      </w:r>
      <w:r>
        <w:t> http</w:t>
      </w:r>
      <w:r w:rsidRPr="00492C09">
        <w:t>://</w:t>
      </w:r>
      <w:r>
        <w:t>data</w:t>
      </w:r>
      <w:r w:rsidRPr="00492C09">
        <w:t>.</w:t>
      </w:r>
      <w:r>
        <w:t>europa</w:t>
      </w:r>
      <w:r w:rsidRPr="00492C09">
        <w:t>.</w:t>
      </w:r>
      <w:r>
        <w:t>eu</w:t>
      </w:r>
      <w:r w:rsidRPr="00492C09">
        <w:t>/</w:t>
      </w:r>
      <w:r>
        <w:t>eli</w:t>
      </w:r>
      <w:r w:rsidRPr="00492C09">
        <w:t>/</w:t>
      </w:r>
      <w:r>
        <w:t>reg</w:t>
      </w:r>
      <w:r w:rsidRPr="00492C09">
        <w:t>/2024/886/</w:t>
      </w:r>
      <w:r>
        <w:t>oj</w:t>
      </w:r>
      <w:r w:rsidRPr="00492C09">
        <w:t>).</w:t>
      </w:r>
    </w:p>
  </w:footnote>
  <w:footnote w:id="4">
    <w:p w:rsidR="009713B0" w:rsidRPr="00492C09" w:rsidRDefault="009713B0" w:rsidP="009713B0">
      <w:pPr>
        <w:pStyle w:val="FootnoteText"/>
      </w:pPr>
      <w:r>
        <w:rPr>
          <w:rStyle w:val="FootnoteReference"/>
        </w:rPr>
        <w:footnoteRef/>
      </w:r>
      <w:r w:rsidRPr="00492C09">
        <w:tab/>
        <w:t>Κανονισμός (ΕΕ) αριθ.</w:t>
      </w:r>
      <w:r>
        <w:t> </w:t>
      </w:r>
      <w:r w:rsidRPr="00492C09">
        <w:t>1093/2010 του Ευρωπαϊκού Κοινοβουλίου και του Συμβουλίου, της 24ης Νοεμβρίου 2010, σχετικά με τη σύσταση Ευρωπαϊκής Εποπτικής Αρχής (Ευρωπαϊκή Αρχή Τραπεζών), την τροποποίηση της απόφασης αριθ.</w:t>
      </w:r>
      <w:r>
        <w:t> </w:t>
      </w:r>
      <w:r w:rsidRPr="00492C09">
        <w:t xml:space="preserve">716/2009/ΕΚ και την κατάργηση της απόφασης 2009/78/ΕΚ της Επιτροπής (ΕΕ </w:t>
      </w:r>
      <w:r>
        <w:t>L </w:t>
      </w:r>
      <w:r w:rsidRPr="00492C09">
        <w:t>331 της 15.12.2010, σ.</w:t>
      </w:r>
      <w:r>
        <w:t> </w:t>
      </w:r>
      <w:r w:rsidRPr="00492C09">
        <w:t xml:space="preserve">12, </w:t>
      </w:r>
      <w:r>
        <w:t>ELI</w:t>
      </w:r>
      <w:r w:rsidRPr="00492C09">
        <w:t>:</w:t>
      </w:r>
      <w:r>
        <w:t> http</w:t>
      </w:r>
      <w:r w:rsidRPr="00492C09">
        <w:t>://</w:t>
      </w:r>
      <w:r>
        <w:t>data</w:t>
      </w:r>
      <w:r w:rsidRPr="00492C09">
        <w:t>.</w:t>
      </w:r>
      <w:r>
        <w:t>europa</w:t>
      </w:r>
      <w:r w:rsidRPr="00492C09">
        <w:t>.</w:t>
      </w:r>
      <w:r>
        <w:t>eu</w:t>
      </w:r>
      <w:r w:rsidRPr="00492C09">
        <w:t>/</w:t>
      </w:r>
      <w:r>
        <w:t>eli</w:t>
      </w:r>
      <w:r w:rsidRPr="00492C09">
        <w:t>/</w:t>
      </w:r>
      <w:r>
        <w:t>reg</w:t>
      </w:r>
      <w:r w:rsidRPr="00492C09">
        <w:t>/2010/1093/</w:t>
      </w:r>
      <w:r>
        <w:t>oj</w:t>
      </w:r>
      <w:r w:rsidRPr="00492C09">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8EF" w:rsidRPr="009268EF" w:rsidRDefault="009268EF" w:rsidP="009268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8EF" w:rsidRPr="009268EF" w:rsidRDefault="009268EF" w:rsidP="009268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8EF" w:rsidRPr="009268EF" w:rsidRDefault="009268EF" w:rsidP="009268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8EF" w:rsidRDefault="009268E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68EF" w:rsidRDefault="009268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 w:numId="23">
    <w:abstractNumId w:val="16"/>
  </w:num>
  <w:num w:numId="24">
    <w:abstractNumId w:val="9"/>
  </w:num>
  <w:num w:numId="25">
    <w:abstractNumId w:val="18"/>
  </w:num>
  <w:num w:numId="26">
    <w:abstractNumId w:val="8"/>
  </w:num>
  <w:num w:numId="27">
    <w:abstractNumId w:val="10"/>
  </w:num>
  <w:num w:numId="28">
    <w:abstractNumId w:val="11"/>
  </w:num>
  <w:num w:numId="29">
    <w:abstractNumId w:val="6"/>
  </w:num>
  <w:num w:numId="30">
    <w:abstractNumId w:val="17"/>
  </w:num>
  <w:num w:numId="31">
    <w:abstractNumId w:val="5"/>
  </w:num>
  <w:num w:numId="32">
    <w:abstractNumId w:val="12"/>
  </w:num>
  <w:num w:numId="33">
    <w:abstractNumId w:val="14"/>
  </w:num>
  <w:num w:numId="34">
    <w:abstractNumId w:val="15"/>
  </w:num>
  <w:num w:numId="35">
    <w:abstractNumId w:val="7"/>
  </w:num>
  <w:num w:numId="36">
    <w:abstractNumId w:val="13"/>
  </w:num>
  <w:num w:numId="3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2:3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6AFC005D-EF7D-4397-BED2-67A1717A9DF3"/>
    <w:docVar w:name="LW_COVERPAGE_TYPE" w:val="1"/>
    <w:docVar w:name="LW_CreatedUtc" w:val="2025-02-25T08:25:43.0388982Z"/>
    <w:docVar w:name="LW_CROSSREFERENCE" w:val="&lt;UNUSED&gt;"/>
    <w:docVar w:name="LW_DATE.ADOPT.CP" w:val="\u964?\u951?\u962? 1.10.2025"/>
    <w:docVar w:name="LW_DATE.ADOPT.CP_DATEFORMAT" w:val="\u964?\u951?\u962? %DATE%"/>
    <w:docVar w:name="LW_DATE.ADOPT.CP_ISODATE" w:val="2025-10-01"/>
    <w:docVar w:name="LW_DocType" w:val="COM"/>
    <w:docVar w:name="LW_EMISSION" w:val="1.10.2025"/>
    <w:docVar w:name="LW_EMISSION_ISODATE" w:val="2025-10-01"/>
    <w:docVar w:name="LW_EMISSION_LOCATION" w:val="BRX"/>
    <w:docVar w:name="LW_EMISSION_PREFIX" w:val="\u914?\u961?\u965?\u958?\u941?\u955?\u955?\u949?\u962?, "/>
    <w:docVar w:name="LW_EMISSION_SUFFIX" w:val=" "/>
    <w:docVar w:name="LW_ID_DOCMODEL" w:val="SJ-004"/>
    <w:docVar w:name="LW_ID_DOCSIGNATURE" w:val="SJ-004"/>
    <w:docVar w:name="LW_ID_DOCSTRUCTURE" w:val="COM/AA"/>
    <w:docVar w:name="LW_ID_DOCTYPE" w:val="SJ-004"/>
    <w:docVar w:name="LW_INTERETEEE.CP" w:val="&lt;UNUSED&gt;"/>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947?\u953?\u945? \u964?\u959?\u957? \u954?\u945?\u952?\u959?\u961?\u953?\u963?\u956?\u972? \u949?\u954?\u964?\u949?\u955?\u949?\u963?\u964?\u953?\u954?\u974?\u957? \u964?\u949?\u967?\u957?\u953?\u954?\u974?\u957? \u960?\u961?\u959?\u964?\u973?\u960?\u969?\u957? \u947?\u953?\u945? \u964?\u951?\u957? \u949?\u966?\u945?\u961?\u956?\u959?\u947?\u942? \u964?\u959?\u965? \u954?\u945?\u957?\u959?\u957?\u953?\u963?\u956?\u959?\u973? (\u917?\u917?) \u945?\u961?\u953?\u952?. 260/2012 \u964?\u959?\u965? \u917?\u965?\u961?\u969?\u960?\u945?\u970?\u954?\u959?\u973? \u922?\u959?\u953?\u957?\u959?\u946?\u959?\u965?\u955?\u943?\u959?\u965? \u954?\u945?\u953? \u964?\u959?\u965? \u931?\u965?\u956?\u946?\u959?\u965?\u955?\u943?\u959?\u965? \u972?\u963?\u959?\u957? \u945?\u966?\u959?\u961?\u940? \u964?\u945? \u949?\u957?\u953?\u945?\u943?\u945? \u965?\u960?\u959?\u948?\u949?\u943?\u947?\u956?\u945?\u964?\u945? \u965?\u960?\u959?\u946?\u959?\u955?\u942?\u962? \u945?\u957?\u945?\u966?\u959?\u961?\u974?\u957?, \u964?\u953?\u962? \u959?\u948?\u951?\u947?\u943?\u949?\u962? \u954?\u945?\u953? \u964?\u951? \u956?\u949?\u952?\u959?\u948?\u959?\u955?\u959?\u947?\u943?\u945? \u945?\u957?\u945?\u966?\u959?\u961?\u940?\u962? \u964?\u959?\u965? \u973?\u968?\u959?\u965?\u962? \u964?\u969?\u957? \u949?\u960?\u953?\u946?\u945?\u961?\u973?\u957?\u963?\u949?\u969?\u957? \u947?\u953?\u945? \u956?\u949?\u964?\u945?\u966?\u959?\u961?\u941?\u962? \u960?\u943?\u963?\u964?\u969?\u963?\u951?\u962?, \u940?\u956?\u949?\u963?\u949?\u962? \u956?\u949?\u964?\u945?\u966?\u959?\u961?\u941?\u962? \u960?\u943?\u963?\u964?\u969?\u963?\u951?\u962? \u954?\u945?\u953? \u955?\u959?\u947?\u945?\u961?\u953?\u945?\u963?\u956?\u959?\u973?\u962? \u960?\u955?\u951?\u961?\u969?\u956?\u974?\u957?, \u954?\u945?\u952?\u974?\u962? \u954?\u945?\u953? \u964?\u959? \u960?\u959?\u963?\u959?\u963?\u964?\u972? \u964?\u969?\u957? \u945?\u960?\u959?\u961?\u961?\u953?\u966?\u952?\u949?\u953?\u963?\u974?\u957? \u960?\u961?\u940?\u958?\u949?\u969?\u957?"/>
    <w:docVar w:name="LW_TYPE.DOC.CP" w:val="\u917?\u922?\u932?\u917?\u923?\u917?\u931?\u932?\u921?\u922?\u927?\u931? \u922?\u913?\u925?\u927?\u925?\u921?\u931?\u924?\u927?\u931? (\u917?\u917?) \u8230?/... \u932?\u919?\u931? \u917?\u928?\u921?\u932?\u929?\u927?\u928?\u919?\u931?"/>
    <w:docVar w:name="LwApiVersions" w:val="LW4CoDe 1.24.5.0; LW 9.0, Build 20240221"/>
  </w:docVars>
  <w:rsids>
    <w:rsidRoot w:val="00FE7FED"/>
    <w:rsid w:val="00001BC7"/>
    <w:rsid w:val="000066ED"/>
    <w:rsid w:val="000068B4"/>
    <w:rsid w:val="000079A5"/>
    <w:rsid w:val="00014C12"/>
    <w:rsid w:val="00016168"/>
    <w:rsid w:val="00025818"/>
    <w:rsid w:val="0002592C"/>
    <w:rsid w:val="0002598B"/>
    <w:rsid w:val="00033F48"/>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50E2"/>
    <w:rsid w:val="000E7CB2"/>
    <w:rsid w:val="000F0AA0"/>
    <w:rsid w:val="000F26D8"/>
    <w:rsid w:val="000F4AF6"/>
    <w:rsid w:val="0010043A"/>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CE5"/>
    <w:rsid w:val="00162F28"/>
    <w:rsid w:val="0016376B"/>
    <w:rsid w:val="0016398E"/>
    <w:rsid w:val="00167577"/>
    <w:rsid w:val="00171733"/>
    <w:rsid w:val="001721CC"/>
    <w:rsid w:val="00180D6D"/>
    <w:rsid w:val="001840A1"/>
    <w:rsid w:val="001913B0"/>
    <w:rsid w:val="00191CEA"/>
    <w:rsid w:val="00197613"/>
    <w:rsid w:val="001A1FA1"/>
    <w:rsid w:val="001A5381"/>
    <w:rsid w:val="001A6744"/>
    <w:rsid w:val="001A7B61"/>
    <w:rsid w:val="001B081E"/>
    <w:rsid w:val="001C0071"/>
    <w:rsid w:val="001C0950"/>
    <w:rsid w:val="001C3C75"/>
    <w:rsid w:val="001C6408"/>
    <w:rsid w:val="001C7C6B"/>
    <w:rsid w:val="001D08D6"/>
    <w:rsid w:val="001D6BB7"/>
    <w:rsid w:val="001E0062"/>
    <w:rsid w:val="001F78E3"/>
    <w:rsid w:val="00203CF1"/>
    <w:rsid w:val="002102D8"/>
    <w:rsid w:val="00210337"/>
    <w:rsid w:val="00215208"/>
    <w:rsid w:val="002174F2"/>
    <w:rsid w:val="00220F9F"/>
    <w:rsid w:val="00226AFF"/>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70578"/>
    <w:rsid w:val="00281B09"/>
    <w:rsid w:val="00285BEE"/>
    <w:rsid w:val="00287FAC"/>
    <w:rsid w:val="00293F82"/>
    <w:rsid w:val="0029533F"/>
    <w:rsid w:val="002A2EE8"/>
    <w:rsid w:val="002A5779"/>
    <w:rsid w:val="002A5782"/>
    <w:rsid w:val="002A5E80"/>
    <w:rsid w:val="002B1522"/>
    <w:rsid w:val="002B30AF"/>
    <w:rsid w:val="002B4662"/>
    <w:rsid w:val="002C0286"/>
    <w:rsid w:val="002C10B5"/>
    <w:rsid w:val="002C1A4F"/>
    <w:rsid w:val="002C5B13"/>
    <w:rsid w:val="002D2CC4"/>
    <w:rsid w:val="002D3A91"/>
    <w:rsid w:val="002D6964"/>
    <w:rsid w:val="002E15CA"/>
    <w:rsid w:val="002E2315"/>
    <w:rsid w:val="002E3165"/>
    <w:rsid w:val="002E53A7"/>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57C0"/>
    <w:rsid w:val="00365DE4"/>
    <w:rsid w:val="00374796"/>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569"/>
    <w:rsid w:val="003E167C"/>
    <w:rsid w:val="003E4FA2"/>
    <w:rsid w:val="003E5CF0"/>
    <w:rsid w:val="003F018F"/>
    <w:rsid w:val="003F0EC5"/>
    <w:rsid w:val="003F1E03"/>
    <w:rsid w:val="004019E8"/>
    <w:rsid w:val="00403029"/>
    <w:rsid w:val="00404CFA"/>
    <w:rsid w:val="00405044"/>
    <w:rsid w:val="00411FBF"/>
    <w:rsid w:val="00412F99"/>
    <w:rsid w:val="00412FDD"/>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0444"/>
    <w:rsid w:val="004711D5"/>
    <w:rsid w:val="00472FD8"/>
    <w:rsid w:val="00477A35"/>
    <w:rsid w:val="00477CD9"/>
    <w:rsid w:val="00481E97"/>
    <w:rsid w:val="004822DC"/>
    <w:rsid w:val="004853C6"/>
    <w:rsid w:val="004868D0"/>
    <w:rsid w:val="004871A7"/>
    <w:rsid w:val="004901D3"/>
    <w:rsid w:val="00492C09"/>
    <w:rsid w:val="004936D2"/>
    <w:rsid w:val="00497ECB"/>
    <w:rsid w:val="004A4894"/>
    <w:rsid w:val="004A7134"/>
    <w:rsid w:val="004B03D1"/>
    <w:rsid w:val="004B2FFA"/>
    <w:rsid w:val="004C15AA"/>
    <w:rsid w:val="004C5916"/>
    <w:rsid w:val="004C60B0"/>
    <w:rsid w:val="004C635B"/>
    <w:rsid w:val="004C79F1"/>
    <w:rsid w:val="004D084C"/>
    <w:rsid w:val="004D4226"/>
    <w:rsid w:val="004E047A"/>
    <w:rsid w:val="004E1BAA"/>
    <w:rsid w:val="004E2937"/>
    <w:rsid w:val="004E572C"/>
    <w:rsid w:val="004E7796"/>
    <w:rsid w:val="004F15B9"/>
    <w:rsid w:val="00501867"/>
    <w:rsid w:val="0050376F"/>
    <w:rsid w:val="00503AAA"/>
    <w:rsid w:val="00507BC8"/>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4B70"/>
    <w:rsid w:val="005B5F79"/>
    <w:rsid w:val="005C1F32"/>
    <w:rsid w:val="005C23A8"/>
    <w:rsid w:val="005C2C67"/>
    <w:rsid w:val="005C58BF"/>
    <w:rsid w:val="005C5BEE"/>
    <w:rsid w:val="005D090B"/>
    <w:rsid w:val="005D2EB4"/>
    <w:rsid w:val="005D4C37"/>
    <w:rsid w:val="005D67F4"/>
    <w:rsid w:val="005E141A"/>
    <w:rsid w:val="00602DFC"/>
    <w:rsid w:val="006033A9"/>
    <w:rsid w:val="00604C25"/>
    <w:rsid w:val="0060533B"/>
    <w:rsid w:val="0060742C"/>
    <w:rsid w:val="00612113"/>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70C78"/>
    <w:rsid w:val="00672EFA"/>
    <w:rsid w:val="00674252"/>
    <w:rsid w:val="00674AAE"/>
    <w:rsid w:val="0067567A"/>
    <w:rsid w:val="00676C8D"/>
    <w:rsid w:val="0067704C"/>
    <w:rsid w:val="00677FED"/>
    <w:rsid w:val="0068377C"/>
    <w:rsid w:val="00684931"/>
    <w:rsid w:val="00686892"/>
    <w:rsid w:val="0069142A"/>
    <w:rsid w:val="006914F4"/>
    <w:rsid w:val="00691552"/>
    <w:rsid w:val="0069173A"/>
    <w:rsid w:val="0069225A"/>
    <w:rsid w:val="00692762"/>
    <w:rsid w:val="00694161"/>
    <w:rsid w:val="00694295"/>
    <w:rsid w:val="0069517A"/>
    <w:rsid w:val="006960A4"/>
    <w:rsid w:val="006A2582"/>
    <w:rsid w:val="006A44B8"/>
    <w:rsid w:val="006A6123"/>
    <w:rsid w:val="006A74A3"/>
    <w:rsid w:val="006B0215"/>
    <w:rsid w:val="006B62A8"/>
    <w:rsid w:val="006B7EB5"/>
    <w:rsid w:val="006C06F3"/>
    <w:rsid w:val="006C4B71"/>
    <w:rsid w:val="006D2F80"/>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AC8"/>
    <w:rsid w:val="007D3B08"/>
    <w:rsid w:val="007D4717"/>
    <w:rsid w:val="007D6756"/>
    <w:rsid w:val="007E05B0"/>
    <w:rsid w:val="007E601F"/>
    <w:rsid w:val="007E6EFD"/>
    <w:rsid w:val="007E71CE"/>
    <w:rsid w:val="007E7C74"/>
    <w:rsid w:val="007F104A"/>
    <w:rsid w:val="007F14DC"/>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2C6B"/>
    <w:rsid w:val="008231E0"/>
    <w:rsid w:val="00827C4D"/>
    <w:rsid w:val="0083038A"/>
    <w:rsid w:val="0083128A"/>
    <w:rsid w:val="0083272F"/>
    <w:rsid w:val="00835D9A"/>
    <w:rsid w:val="0083730D"/>
    <w:rsid w:val="00840128"/>
    <w:rsid w:val="008413EA"/>
    <w:rsid w:val="00841AE1"/>
    <w:rsid w:val="00847508"/>
    <w:rsid w:val="008525C0"/>
    <w:rsid w:val="008553FF"/>
    <w:rsid w:val="008574B8"/>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6B9"/>
    <w:rsid w:val="008E4D8E"/>
    <w:rsid w:val="008E4DD2"/>
    <w:rsid w:val="008E5C8A"/>
    <w:rsid w:val="008E6BEE"/>
    <w:rsid w:val="008F0117"/>
    <w:rsid w:val="008F0F5E"/>
    <w:rsid w:val="008F5762"/>
    <w:rsid w:val="00900DD3"/>
    <w:rsid w:val="009013F8"/>
    <w:rsid w:val="00911C72"/>
    <w:rsid w:val="00912850"/>
    <w:rsid w:val="009146A5"/>
    <w:rsid w:val="00914C54"/>
    <w:rsid w:val="0091508E"/>
    <w:rsid w:val="00915816"/>
    <w:rsid w:val="00917E85"/>
    <w:rsid w:val="009203A5"/>
    <w:rsid w:val="00925CEE"/>
    <w:rsid w:val="009268EF"/>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927FD"/>
    <w:rsid w:val="00994CA3"/>
    <w:rsid w:val="00996030"/>
    <w:rsid w:val="0099612E"/>
    <w:rsid w:val="0099719C"/>
    <w:rsid w:val="009A2B3E"/>
    <w:rsid w:val="009B28D4"/>
    <w:rsid w:val="009C1173"/>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1A56"/>
    <w:rsid w:val="00A72B2F"/>
    <w:rsid w:val="00A73E6B"/>
    <w:rsid w:val="00A744A9"/>
    <w:rsid w:val="00A75188"/>
    <w:rsid w:val="00A80233"/>
    <w:rsid w:val="00A813B3"/>
    <w:rsid w:val="00A8350B"/>
    <w:rsid w:val="00A8635C"/>
    <w:rsid w:val="00A86370"/>
    <w:rsid w:val="00AA2317"/>
    <w:rsid w:val="00AA3CA4"/>
    <w:rsid w:val="00AA7D65"/>
    <w:rsid w:val="00AB14B1"/>
    <w:rsid w:val="00AB1C6F"/>
    <w:rsid w:val="00AB297D"/>
    <w:rsid w:val="00AB3556"/>
    <w:rsid w:val="00AB3B3D"/>
    <w:rsid w:val="00AB50BC"/>
    <w:rsid w:val="00AB6762"/>
    <w:rsid w:val="00AC0006"/>
    <w:rsid w:val="00AC13E5"/>
    <w:rsid w:val="00AC36A5"/>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5494"/>
    <w:rsid w:val="00B27A92"/>
    <w:rsid w:val="00B41D39"/>
    <w:rsid w:val="00B42926"/>
    <w:rsid w:val="00B432CA"/>
    <w:rsid w:val="00B4331F"/>
    <w:rsid w:val="00B434C1"/>
    <w:rsid w:val="00B52D63"/>
    <w:rsid w:val="00B53B73"/>
    <w:rsid w:val="00B552A9"/>
    <w:rsid w:val="00B62E49"/>
    <w:rsid w:val="00B65EDF"/>
    <w:rsid w:val="00B674DA"/>
    <w:rsid w:val="00B71A89"/>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F1DAA"/>
    <w:rsid w:val="00BF2FE5"/>
    <w:rsid w:val="00BF3180"/>
    <w:rsid w:val="00BF6D71"/>
    <w:rsid w:val="00BF7F77"/>
    <w:rsid w:val="00C00730"/>
    <w:rsid w:val="00C01E11"/>
    <w:rsid w:val="00C12301"/>
    <w:rsid w:val="00C263CE"/>
    <w:rsid w:val="00C272D0"/>
    <w:rsid w:val="00C27DF8"/>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687B"/>
    <w:rsid w:val="00C85915"/>
    <w:rsid w:val="00C90983"/>
    <w:rsid w:val="00C91E13"/>
    <w:rsid w:val="00C9233E"/>
    <w:rsid w:val="00C9347C"/>
    <w:rsid w:val="00C93B11"/>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B0501"/>
    <w:rsid w:val="00DB250A"/>
    <w:rsid w:val="00DB3C35"/>
    <w:rsid w:val="00DB3D14"/>
    <w:rsid w:val="00DB6B05"/>
    <w:rsid w:val="00DC04AA"/>
    <w:rsid w:val="00DC32EC"/>
    <w:rsid w:val="00DC551D"/>
    <w:rsid w:val="00DC60AA"/>
    <w:rsid w:val="00DC7425"/>
    <w:rsid w:val="00DD437C"/>
    <w:rsid w:val="00DD50D0"/>
    <w:rsid w:val="00DD57BC"/>
    <w:rsid w:val="00DE0B07"/>
    <w:rsid w:val="00DE2ADF"/>
    <w:rsid w:val="00DF1A15"/>
    <w:rsid w:val="00DF1CB4"/>
    <w:rsid w:val="00DF324D"/>
    <w:rsid w:val="00DF792D"/>
    <w:rsid w:val="00DF7D1B"/>
    <w:rsid w:val="00E00723"/>
    <w:rsid w:val="00E0498A"/>
    <w:rsid w:val="00E04C8B"/>
    <w:rsid w:val="00E0505F"/>
    <w:rsid w:val="00E06ADC"/>
    <w:rsid w:val="00E104B1"/>
    <w:rsid w:val="00E1502C"/>
    <w:rsid w:val="00E20B35"/>
    <w:rsid w:val="00E21874"/>
    <w:rsid w:val="00E258F8"/>
    <w:rsid w:val="00E30766"/>
    <w:rsid w:val="00E3171F"/>
    <w:rsid w:val="00E31C61"/>
    <w:rsid w:val="00E31F15"/>
    <w:rsid w:val="00E327E6"/>
    <w:rsid w:val="00E34F0D"/>
    <w:rsid w:val="00E35CB0"/>
    <w:rsid w:val="00E3769D"/>
    <w:rsid w:val="00E420D2"/>
    <w:rsid w:val="00E4311E"/>
    <w:rsid w:val="00E448AB"/>
    <w:rsid w:val="00E54884"/>
    <w:rsid w:val="00E57015"/>
    <w:rsid w:val="00E60348"/>
    <w:rsid w:val="00E6043D"/>
    <w:rsid w:val="00E60C11"/>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5988"/>
    <w:rsid w:val="00EA64C3"/>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129A"/>
    <w:rsid w:val="00EF35ED"/>
    <w:rsid w:val="00F02E3E"/>
    <w:rsid w:val="00F04DAB"/>
    <w:rsid w:val="00F0743A"/>
    <w:rsid w:val="00F105CA"/>
    <w:rsid w:val="00F133B9"/>
    <w:rsid w:val="00F13429"/>
    <w:rsid w:val="00F16F48"/>
    <w:rsid w:val="00F17A3B"/>
    <w:rsid w:val="00F229A7"/>
    <w:rsid w:val="00F308C1"/>
    <w:rsid w:val="00F308DA"/>
    <w:rsid w:val="00F35509"/>
    <w:rsid w:val="00F36671"/>
    <w:rsid w:val="00F40A90"/>
    <w:rsid w:val="00F41E71"/>
    <w:rsid w:val="00F424E2"/>
    <w:rsid w:val="00F46ECF"/>
    <w:rsid w:val="00F53272"/>
    <w:rsid w:val="00F558D2"/>
    <w:rsid w:val="00F6156F"/>
    <w:rsid w:val="00F62E23"/>
    <w:rsid w:val="00F66B95"/>
    <w:rsid w:val="00F672C7"/>
    <w:rsid w:val="00F67493"/>
    <w:rsid w:val="00F6791B"/>
    <w:rsid w:val="00F75BAC"/>
    <w:rsid w:val="00F824D3"/>
    <w:rsid w:val="00F84BE4"/>
    <w:rsid w:val="00F8766D"/>
    <w:rsid w:val="00F91E2B"/>
    <w:rsid w:val="00F92092"/>
    <w:rsid w:val="00F951F3"/>
    <w:rsid w:val="00F95871"/>
    <w:rsid w:val="00FA00A7"/>
    <w:rsid w:val="00FA7030"/>
    <w:rsid w:val="00FA7B48"/>
    <w:rsid w:val="00FB0717"/>
    <w:rsid w:val="00FB4D9B"/>
    <w:rsid w:val="00FB7673"/>
    <w:rsid w:val="00FB7914"/>
    <w:rsid w:val="00FC0031"/>
    <w:rsid w:val="00FC0B30"/>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el-GR"/>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9268EF"/>
    <w:rPr>
      <w:rFonts w:ascii="Times New Roman" w:hAnsi="Times New Roman" w:cs="Times New Roman"/>
      <w:sz w:val="24"/>
      <w:lang w:val="el-GR"/>
    </w:rPr>
  </w:style>
  <w:style w:type="character" w:customStyle="1" w:styleId="FooterChar">
    <w:name w:val="Footer Char"/>
    <w:basedOn w:val="DefaultParagraphFont"/>
    <w:link w:val="Footer"/>
    <w:uiPriority w:val="99"/>
    <w:rsid w:val="009268EF"/>
    <w:rPr>
      <w:rFonts w:ascii="Times New Roman" w:hAnsi="Times New Roman" w:cs="Times New Roman"/>
      <w:sz w:val="24"/>
      <w:lang w:val="el-G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9268EF"/>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268EF"/>
    <w:pPr>
      <w:spacing w:before="0"/>
      <w:jc w:val="right"/>
    </w:pPr>
    <w:rPr>
      <w:sz w:val="28"/>
    </w:rPr>
  </w:style>
  <w:style w:type="paragraph" w:customStyle="1" w:styleId="FooterSensitivity">
    <w:name w:val="Footer Sensitivity"/>
    <w:basedOn w:val="Normal"/>
    <w:rsid w:val="009268EF"/>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9268EF"/>
    <w:pPr>
      <w:tabs>
        <w:tab w:val="center" w:pos="4535"/>
        <w:tab w:val="right" w:pos="9071"/>
      </w:tabs>
      <w:spacing w:before="0"/>
    </w:pPr>
  </w:style>
  <w:style w:type="paragraph" w:customStyle="1" w:styleId="HeaderLandscape">
    <w:name w:val="HeaderLandscape"/>
    <w:basedOn w:val="Normal"/>
    <w:rsid w:val="009268EF"/>
    <w:pPr>
      <w:tabs>
        <w:tab w:val="center" w:pos="7285"/>
        <w:tab w:val="right" w:pos="14003"/>
      </w:tabs>
      <w:spacing w:before="0"/>
    </w:pPr>
  </w:style>
  <w:style w:type="paragraph" w:styleId="Footer">
    <w:name w:val="footer"/>
    <w:basedOn w:val="Normal"/>
    <w:link w:val="FooterChar"/>
    <w:uiPriority w:val="99"/>
    <w:unhideWhenUsed/>
    <w:rsid w:val="009268EF"/>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9268EF"/>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2.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4.xml><?xml version="1.0" encoding="utf-8"?>
<ds:datastoreItem xmlns:ds="http://schemas.openxmlformats.org/officeDocument/2006/customXml" ds:itemID="{155665EF-040F-45AF-A018-486A0FE291EA}">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17</TotalTime>
  <Pages>6</Pages>
  <Words>1724</Words>
  <Characters>9833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32</cp:revision>
  <cp:lastPrinted>2025-05-08T07:59:00Z</cp:lastPrinted>
  <dcterms:created xsi:type="dcterms:W3CDTF">2025-09-16T13:52:00Z</dcterms:created>
  <dcterms:modified xsi:type="dcterms:W3CDTF">2025-09-30T15:22:00Z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