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C12260" w:rsidRDefault="002C6A42" w:rsidP="002C6A42">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16A2DA64-05B5-456F-8CB7-FCF910D6761E" style="width:455.25pt;height:383.25pt">
            <v:imagedata r:id="rId11" o:title=""/>
          </v:shape>
        </w:pict>
      </w:r>
    </w:p>
    <w:p w:rsidR="00FE7FED" w:rsidRPr="00C12260" w:rsidRDefault="00FE7FED">
      <w:pPr>
        <w:rPr>
          <w:noProof/>
        </w:rPr>
        <w:sectPr w:rsidR="00FE7FED" w:rsidRPr="00C12260" w:rsidSect="002C6A42">
          <w:footerReference w:type="even" r:id="rId12"/>
          <w:footerReference w:type="default" r:id="rId13"/>
          <w:pgSz w:w="11907" w:h="16839"/>
          <w:pgMar w:top="1134" w:right="1417" w:bottom="1134" w:left="1417" w:header="709" w:footer="709" w:gutter="0"/>
          <w:pgNumType w:start="0"/>
          <w:cols w:space="720"/>
          <w:docGrid w:linePitch="360"/>
        </w:sectPr>
      </w:pPr>
    </w:p>
    <w:p w:rsidR="009713B0" w:rsidRPr="00C12260" w:rsidRDefault="00C12260" w:rsidP="00C12260">
      <w:pPr>
        <w:pStyle w:val="Typedudocument"/>
        <w:rPr>
          <w:noProof/>
        </w:rPr>
      </w:pPr>
      <w:bookmarkStart w:id="0" w:name="_GoBack"/>
      <w:bookmarkEnd w:id="0"/>
      <w:r w:rsidRPr="00C12260">
        <w:rPr>
          <w:noProof/>
        </w:rPr>
        <w:lastRenderedPageBreak/>
        <w:t>KOMMISSIONENS GENNEMFØRELSESFORORDNING (EU) …/…</w:t>
      </w:r>
    </w:p>
    <w:p w:rsidR="009713B0" w:rsidRPr="00C12260" w:rsidRDefault="00A70E30" w:rsidP="00C12260">
      <w:pPr>
        <w:pStyle w:val="Datedadoption"/>
        <w:rPr>
          <w:noProof/>
        </w:rPr>
      </w:pPr>
      <w:r>
        <w:rPr>
          <w:noProof/>
        </w:rPr>
        <w:t>af 1.10.2025</w:t>
      </w:r>
    </w:p>
    <w:p w:rsidR="009713B0" w:rsidRPr="00C12260" w:rsidRDefault="00C12260" w:rsidP="00C12260">
      <w:pPr>
        <w:pStyle w:val="Titreobjet"/>
        <w:rPr>
          <w:noProof/>
        </w:rPr>
      </w:pPr>
      <w:r w:rsidRPr="00C12260">
        <w:rPr>
          <w:noProof/>
        </w:rPr>
        <w:t>om gennemførelsesmæssige tekniske standarder for anvendelsen af Europa-Parlamentets og Rådets forordning (EU) nr. 260/2012 for så vidt angår ensartede indberetningsskemaer, instrukser og metoder til indberetning af gebyrniveauet for kreditoverførsler, strakskreditoverførsler og betalingskonti samt andelen af afviste transaktioner</w:t>
      </w:r>
    </w:p>
    <w:p w:rsidR="009713B0" w:rsidRPr="00C12260" w:rsidRDefault="009713B0" w:rsidP="009713B0">
      <w:pPr>
        <w:pStyle w:val="Institutionquiagit"/>
        <w:rPr>
          <w:noProof/>
        </w:rPr>
      </w:pPr>
      <w:r w:rsidRPr="00C12260">
        <w:rPr>
          <w:noProof/>
        </w:rPr>
        <w:t>EUROPA-KOMMISSIONEN HAR —</w:t>
      </w:r>
    </w:p>
    <w:p w:rsidR="009713B0" w:rsidRPr="00C12260" w:rsidRDefault="009713B0" w:rsidP="009713B0">
      <w:pPr>
        <w:rPr>
          <w:noProof/>
          <w:color w:val="000000"/>
        </w:rPr>
      </w:pPr>
      <w:r w:rsidRPr="00C12260">
        <w:rPr>
          <w:noProof/>
          <w:color w:val="000000"/>
        </w:rPr>
        <w:t>under henvisning til traktaten om Den Europæiske Unions funktionsmåde,</w:t>
      </w:r>
    </w:p>
    <w:p w:rsidR="009713B0" w:rsidRPr="00C12260" w:rsidRDefault="009713B0" w:rsidP="009713B0">
      <w:pPr>
        <w:rPr>
          <w:noProof/>
          <w:color w:val="000000"/>
        </w:rPr>
      </w:pPr>
      <w:r w:rsidRPr="00C12260">
        <w:rPr>
          <w:noProof/>
          <w:color w:val="000000"/>
        </w:rPr>
        <w:t>under henvisning til Europa-Parlamentets og Rådets forordning (EU) nr. 260/2012 af 14. marts 2012 om tekniske og forretningsmæssige krav til kreditoverførsler og direkte debiteringer i euro og om ændring af forordning (EF) nr. 924/2009</w:t>
      </w:r>
      <w:r w:rsidRPr="00C12260">
        <w:rPr>
          <w:rStyle w:val="FootnoteReference"/>
          <w:noProof/>
          <w:color w:val="000000"/>
        </w:rPr>
        <w:footnoteReference w:id="2"/>
      </w:r>
      <w:r w:rsidRPr="00C12260">
        <w:rPr>
          <w:noProof/>
          <w:color w:val="000000"/>
        </w:rPr>
        <w:t xml:space="preserve">, særlig artikel 15, stk. 5, tredje afsnit, og </w:t>
      </w:r>
    </w:p>
    <w:p w:rsidR="009713B0" w:rsidRPr="00C12260" w:rsidRDefault="009713B0" w:rsidP="009713B0">
      <w:pPr>
        <w:rPr>
          <w:noProof/>
        </w:rPr>
      </w:pPr>
      <w:r w:rsidRPr="00C12260">
        <w:rPr>
          <w:noProof/>
        </w:rPr>
        <w:t>ud fra følgende betragtninger:</w:t>
      </w:r>
    </w:p>
    <w:p w:rsidR="00AC0006" w:rsidRPr="00C12260" w:rsidRDefault="00FA3ACB" w:rsidP="00FA3ACB">
      <w:pPr>
        <w:pStyle w:val="ManualConsidrant"/>
        <w:rPr>
          <w:noProof/>
        </w:rPr>
      </w:pPr>
      <w:r w:rsidRPr="00FA3ACB">
        <w:rPr>
          <w:noProof/>
        </w:rPr>
        <w:t>(1)</w:t>
      </w:r>
      <w:r w:rsidRPr="00FA3ACB">
        <w:rPr>
          <w:noProof/>
        </w:rPr>
        <w:tab/>
      </w:r>
      <w:r w:rsidR="00925CEE" w:rsidRPr="00C12260">
        <w:rPr>
          <w:noProof/>
        </w:rPr>
        <w:t xml:space="preserve">Indberetningen af gebyrniveauet i henhold til artikel 15, stk. 3, i forordning (EU) nr. 260/2012 bør gøre det muligt for Kommissionen at vurdere, hvordan reglen vedrørende de gebyrer, der opkræves for strakskreditoverførsler, jf. samme forordnings artikel 5b, stk. 1, indvirker på gebyrerne for betalingskonti, for indenlandske såvel som grænseoverskridende kreditoverførsler samt for strakskreditoverførsler i euro og i den nationale valuta i medlemsstater, der ikke har euroen som valuta. De gebyrer, betalingstjenesteudbyderne opkræver for kreditoverførsler, herunder strakskreditoverførsler, varierer typisk alt efter kendetegnene ved den pågældende kreditoverførsel. Disse kendetegn kan gå på, om brugeren af betalingstjenesten (brugeren) er betaler eller betalingsmodtager, om brugeren er forbruger eller ej, eller på typen af betalingsinitieringskanal. Ved indberetning af sendte kreditoverførsler bør disse derfor være opdelt i henholdsvis indenlandske og grænseoverskridende overførsler samt efter brugertype og betalingsinitieringskanal. </w:t>
      </w:r>
    </w:p>
    <w:p w:rsidR="00F133B9" w:rsidRPr="00C12260" w:rsidRDefault="00FA3ACB" w:rsidP="00FA3ACB">
      <w:pPr>
        <w:pStyle w:val="ManualConsidrant"/>
        <w:rPr>
          <w:noProof/>
        </w:rPr>
      </w:pPr>
      <w:r w:rsidRPr="00FA3ACB">
        <w:rPr>
          <w:noProof/>
        </w:rPr>
        <w:t>(2)</w:t>
      </w:r>
      <w:r w:rsidRPr="00FA3ACB">
        <w:rPr>
          <w:noProof/>
        </w:rPr>
        <w:tab/>
      </w:r>
      <w:r w:rsidR="00914C54" w:rsidRPr="00C12260">
        <w:rPr>
          <w:noProof/>
        </w:rPr>
        <w:t>Betalingstjenesteudbydere kan vælge at fastsætte deres gebyrer pr. transaktion, enten som en nominel værdi eller som en vis procentdel af transaktionens værdi. De kan også vælge alternative gebyrstrukturer, herunder differentieret prissætning baseret på forskellige transaktionsværdiintervaller eller tilgange, hvor et vist antal transaktioner pr. måned er gratis, hvorefter der opkræves et gebyr pr. transaktion. Det bør sikres, at denne uensartede handelspraksis ikke underminerer formålet med reglen om gebyrer for strakskreditoverførsler i artikel 5b, stk. 1, i forordning (EU) nr. 260/2012. Metoden til indberetning af oplysningerne om gebyrniveauet for almindelige kreditoverførsler og strakskreditoverførsler bør gøre det muligt for Kommissionen, trods de forskellige gebyropkrævningsmetoder, der anvendes af betalingstjenesteudbydere, at vurdere oplysningerne fra betalingstjenesteudbyderne på en ensartet og sammenlignelig måde – på betalingstjenesteudbyderniveau over tid og for flere forskellige betalingstjenesteudbydere på et givet tidspunkt. Indberetningen bør derfor omfatte oplysninger om de samlede aggregerede gebyrer samt mængden og værdien af kreditoverførsler, herunder strakskreditoverførsler, i den nationale valuta. Indberetningen af såvel sendte som modtagne kreditoverførsler bør også omfatte en opdeling efter henholdsvis gratis og gebyrbelagte kreditoverførsler.</w:t>
      </w:r>
    </w:p>
    <w:p w:rsidR="009713B0" w:rsidRPr="00C12260" w:rsidRDefault="00FA3ACB" w:rsidP="00FA3ACB">
      <w:pPr>
        <w:pStyle w:val="ManualConsidrant"/>
        <w:rPr>
          <w:noProof/>
        </w:rPr>
      </w:pPr>
      <w:r w:rsidRPr="00FA3ACB">
        <w:rPr>
          <w:noProof/>
        </w:rPr>
        <w:t>(3)</w:t>
      </w:r>
      <w:r w:rsidRPr="00FA3ACB">
        <w:rPr>
          <w:noProof/>
        </w:rPr>
        <w:tab/>
      </w:r>
      <w:r w:rsidR="004425F3" w:rsidRPr="00C12260">
        <w:rPr>
          <w:noProof/>
        </w:rPr>
        <w:t>Betalingstjenesteudbydere bør skulle opfylde deres indberetningsforpligtelse i henhold til artikel 15, stk. 3, i forordning (EU) nr. 260/2012 på enhedsniveau. Med henblik på at sikre overensstemmelse med metoden til indberetning af betalingsstatistik til ECB bør filialer af betalingstjenesteudbydere, der er etableret i en anden medlemsstat end deres modervirksomhed, skulle indberette deres data til den kompetente myndighed i værtslandet, mens modervirksomhederne bør skulle foretage deres egen indberetning til den kompetente myndighed i deres hjemland.</w:t>
      </w:r>
    </w:p>
    <w:p w:rsidR="009713B0" w:rsidRPr="00C12260" w:rsidRDefault="00FA3ACB" w:rsidP="00FA3ACB">
      <w:pPr>
        <w:pStyle w:val="ManualConsidrant"/>
        <w:rPr>
          <w:noProof/>
        </w:rPr>
      </w:pPr>
      <w:r w:rsidRPr="00FA3ACB">
        <w:rPr>
          <w:noProof/>
        </w:rPr>
        <w:t>(4)</w:t>
      </w:r>
      <w:r w:rsidRPr="00FA3ACB">
        <w:rPr>
          <w:noProof/>
        </w:rPr>
        <w:tab/>
      </w:r>
      <w:r w:rsidR="000D1771" w:rsidRPr="00C12260">
        <w:rPr>
          <w:noProof/>
        </w:rPr>
        <w:t>Betalingstjenesteudbydere, der er etableret i medlemsstater, som ikke har euroen som valuta, og tilbyder deres brugere den betalingstjeneste, der består i at modtage og sende almindelige kreditoverførsler i euro, er forpligtet til at tilbyde deres brugere den betalingstjeneste, der består i at modtage strakskreditoverførsler i euro, senest den 9. januar 2027 og den betalingstjeneste, der består i at sende strakskreditoverførsler i euro, senest den 9. juli 2027, jf. artikel 5a, stk. 8, i forordning (EU) nr. 260/2012. De pågældende betalingstjenesteudbydere bør tillige skulle opfylde deres forpligtelser vedrørende de gebyrer, de opkræver fra betalere og betalingsmodtagere ved afsendelse og modtagelse af strakskreditoverførsler i euro, senest den 9. januar 2027, jf. nævnte forordnings artikel 5b, stk. 3, andet afsnit. Med henblik på at gøre det muligt for Kommissionen at evaluere indvirkningen af forordning (EU) nr. 260/2012 på gebyrniveauet for kreditoverførsler, herunder strakskreditoverførsler, denomineret i den nationale valuta i medlemsstater, der ikke har euroen som valuta, i overensstemmelse med samme forordnings artikel 15, stk. 2, litra a), bør betalingstjenesteudbydere, der er etableret i de pågældende medlemsstater og tilbyder deres brugere den betalingstjeneste, der består i at modtage og sende almindelige kreditoverførsler i euro, skulle indberette antallet og værdien af samt gebyrerne for kreditoverførsler, herunder strakskreditoverførsler, denomineret i deres nationale valuta og i euro.</w:t>
      </w:r>
    </w:p>
    <w:p w:rsidR="009713B0" w:rsidRPr="00C12260" w:rsidRDefault="00FA3ACB" w:rsidP="00FA3ACB">
      <w:pPr>
        <w:pStyle w:val="ManualConsidrant"/>
        <w:rPr>
          <w:noProof/>
        </w:rPr>
      </w:pPr>
      <w:r w:rsidRPr="00FA3ACB">
        <w:rPr>
          <w:noProof/>
        </w:rPr>
        <w:t>(5)</w:t>
      </w:r>
      <w:r w:rsidRPr="00FA3ACB">
        <w:rPr>
          <w:noProof/>
        </w:rPr>
        <w:tab/>
      </w:r>
      <w:r w:rsidR="009713B0" w:rsidRPr="00C12260">
        <w:rPr>
          <w:noProof/>
        </w:rPr>
        <w:t>Betalingstjenesteudbydere bør ved indberetning i henhold til artikel 15, stk. 3, i forordning (EU) nr. 260/2012 skulle give deres kompetente myndigheder data om det samlede antal betalingskonti samt det aggregerede samlede gebyrniveau for betalingskonti. For at gøre det muligt for Kommissionen at vurdere, om der er en sammenhæng mellem eventuelle ændringer i gebyrerne for betalingskonti og ændringer i gebyrerne for kreditoverførsler og strakskreditoverførsler, bør indberetningen skulle inkludere en opdeling efter kontoføringsgebyrer.</w:t>
      </w:r>
    </w:p>
    <w:p w:rsidR="009713B0" w:rsidRPr="00C12260" w:rsidRDefault="00FA3ACB" w:rsidP="00FA3ACB">
      <w:pPr>
        <w:pStyle w:val="ManualConsidrant"/>
        <w:rPr>
          <w:noProof/>
        </w:rPr>
      </w:pPr>
      <w:r w:rsidRPr="00FA3ACB">
        <w:rPr>
          <w:noProof/>
        </w:rPr>
        <w:t>(6)</w:t>
      </w:r>
      <w:r w:rsidRPr="00FA3ACB">
        <w:rPr>
          <w:noProof/>
        </w:rPr>
        <w:tab/>
      </w:r>
      <w:r w:rsidR="00136075" w:rsidRPr="00C12260">
        <w:rPr>
          <w:noProof/>
        </w:rPr>
        <w:t>Med henblik på at gøre det muligt for Kommissionen at vurdere andelen af afviste strakskreditoverførsler som følge af anvendelse af målrettede finansielle restriktive foranstaltninger vedtaget i overensstemmelse med artikel 215 i traktaten om Den Europæiske Unions funktionsmåde og at vurdere, om denne andel har ændret sig, efter at de ændringer i forordning (EU) nr. 260/2012, der blev indført ved Europa-Parlamentets og Rådets forordning (EU) 2024/886</w:t>
      </w:r>
      <w:r w:rsidR="00136075" w:rsidRPr="00C12260">
        <w:rPr>
          <w:rStyle w:val="FootnoteReference"/>
          <w:noProof/>
        </w:rPr>
        <w:footnoteReference w:id="3"/>
      </w:r>
      <w:r w:rsidR="00136075" w:rsidRPr="00C12260">
        <w:rPr>
          <w:noProof/>
        </w:rPr>
        <w:t xml:space="preserve">, begyndte at finde anvendelse, bør betalingstjenesteudbydere skulle give deres kompetente myndigheder data om denne andel for et givet år, idet de også skal oplyse antallet af tilfælde, hvor strakskreditoverførsler ikke blev gennemført eller midler blev indefrosset hos/af betalerens eller betalingsmodtagerens betalingstjenesteudbyder. </w:t>
      </w:r>
    </w:p>
    <w:p w:rsidR="0039723A" w:rsidRPr="00C12260" w:rsidRDefault="00FA3ACB" w:rsidP="00FA3ACB">
      <w:pPr>
        <w:pStyle w:val="ManualConsidrant"/>
        <w:rPr>
          <w:noProof/>
        </w:rPr>
      </w:pPr>
      <w:r w:rsidRPr="00FA3ACB">
        <w:rPr>
          <w:noProof/>
        </w:rPr>
        <w:t>(7)</w:t>
      </w:r>
      <w:r w:rsidRPr="00FA3ACB">
        <w:rPr>
          <w:noProof/>
        </w:rPr>
        <w:tab/>
      </w:r>
      <w:r w:rsidR="00B17DF1" w:rsidRPr="00C12260">
        <w:rPr>
          <w:noProof/>
        </w:rPr>
        <w:t>Med henblik på harmonisering af indberetningen bør betalingstjenesteudbydere skulle anvende den datapunktmodel og de valideringsformler, der er offentliggjort på Den Europæiske Banktilsynsmyndigheds (EBA's) websted. Med henblik på at mindske indberetningsbyrden og undgå dobbeltarbejde bør de kompetente myndigheder desuden kunne tillade, at betalingstjenesteudbydere, der er etableret i deres jurisdiktion, begrænser indberetningen til datapunkter, der ikke tidligere er blevet indberettet.</w:t>
      </w:r>
    </w:p>
    <w:p w:rsidR="009713B0" w:rsidRPr="00C12260" w:rsidRDefault="00FA3ACB" w:rsidP="00FA3ACB">
      <w:pPr>
        <w:pStyle w:val="ManualConsidrant"/>
        <w:rPr>
          <w:noProof/>
        </w:rPr>
      </w:pPr>
      <w:r w:rsidRPr="00FA3ACB">
        <w:rPr>
          <w:noProof/>
        </w:rPr>
        <w:t>(8)</w:t>
      </w:r>
      <w:r w:rsidRPr="00FA3ACB">
        <w:rPr>
          <w:noProof/>
        </w:rPr>
        <w:tab/>
      </w:r>
      <w:r w:rsidR="009713B0" w:rsidRPr="00C12260">
        <w:rPr>
          <w:noProof/>
        </w:rPr>
        <w:t>Denne forordning er baseret på det udkast til gennemførelsesmæssige tekniske standarder, som EBA har forelagt Kommissionen.</w:t>
      </w:r>
    </w:p>
    <w:p w:rsidR="009713B0" w:rsidRPr="00C12260" w:rsidRDefault="00FA3ACB" w:rsidP="00FA3ACB">
      <w:pPr>
        <w:pStyle w:val="ManualConsidrant"/>
        <w:rPr>
          <w:noProof/>
        </w:rPr>
      </w:pPr>
      <w:r w:rsidRPr="00FA3ACB">
        <w:rPr>
          <w:noProof/>
        </w:rPr>
        <w:t>(9)</w:t>
      </w:r>
      <w:r w:rsidRPr="00FA3ACB">
        <w:rPr>
          <w:noProof/>
        </w:rPr>
        <w:tab/>
      </w:r>
      <w:r w:rsidR="009713B0" w:rsidRPr="00C12260">
        <w:rPr>
          <w:noProof/>
        </w:rPr>
        <w:t>EBA har gennemført åbne offentlige høringer om udkastet til gennemførelsesmæssige tekniske standarder, som ligger til grund for denne forordning, analyseret de dermed forbundne potentielle omkostninger og fordele samt anmodet interessentgruppen for banker, som er nedsat i henhold til artikel 37 i Europa-Parlamentets og Rådets forordning (EU) nr. 1093/2010</w:t>
      </w:r>
      <w:r w:rsidR="009713B0" w:rsidRPr="00C12260">
        <w:rPr>
          <w:rStyle w:val="FootnoteReference"/>
          <w:noProof/>
        </w:rPr>
        <w:footnoteReference w:id="4"/>
      </w:r>
      <w:r w:rsidR="009713B0" w:rsidRPr="00C12260">
        <w:rPr>
          <w:noProof/>
        </w:rPr>
        <w:t>, om rådgivning —</w:t>
      </w:r>
    </w:p>
    <w:p w:rsidR="009713B0" w:rsidRPr="00C12260" w:rsidRDefault="009713B0" w:rsidP="009713B0">
      <w:pPr>
        <w:pStyle w:val="Formuledadoption"/>
        <w:rPr>
          <w:noProof/>
        </w:rPr>
      </w:pPr>
      <w:r w:rsidRPr="00C12260">
        <w:rPr>
          <w:noProof/>
        </w:rPr>
        <w:t>VEDTAGET DENNE FORORDNING:</w:t>
      </w:r>
    </w:p>
    <w:p w:rsidR="009713B0" w:rsidRPr="00C12260" w:rsidRDefault="009713B0" w:rsidP="009713B0">
      <w:pPr>
        <w:pStyle w:val="Titrearticle"/>
        <w:rPr>
          <w:noProof/>
        </w:rPr>
      </w:pPr>
      <w:r w:rsidRPr="00C12260">
        <w:rPr>
          <w:noProof/>
        </w:rPr>
        <w:t>Artikel 1</w:t>
      </w:r>
    </w:p>
    <w:p w:rsidR="009713B0" w:rsidRPr="00C12260" w:rsidRDefault="009713B0" w:rsidP="009713B0">
      <w:pPr>
        <w:jc w:val="center"/>
        <w:rPr>
          <w:b/>
          <w:bCs/>
          <w:noProof/>
        </w:rPr>
      </w:pPr>
      <w:r w:rsidRPr="00C12260">
        <w:rPr>
          <w:b/>
          <w:noProof/>
        </w:rPr>
        <w:t>Indberetning af gebyrniveauet</w:t>
      </w:r>
    </w:p>
    <w:p w:rsidR="009713B0" w:rsidRPr="00C12260" w:rsidRDefault="009713B0" w:rsidP="009713B0">
      <w:pPr>
        <w:pStyle w:val="Point0"/>
        <w:rPr>
          <w:noProof/>
        </w:rPr>
      </w:pPr>
      <w:r w:rsidRPr="00C12260">
        <w:rPr>
          <w:noProof/>
        </w:rPr>
        <w:t>1.</w:t>
      </w:r>
      <w:r w:rsidRPr="00C12260">
        <w:rPr>
          <w:noProof/>
        </w:rPr>
        <w:tab/>
        <w:t>Betalingstjenesteudbydere skal indberette gebyrniveauet for kreditoverførsler, strakskreditoverførsler og betalingskonti ved at indberette de oplysninger, der er angivet i skema 1.1, 1.2, 2.1, 2.2 og 3 i bilag I, og følge instrukserne i bilag II.</w:t>
      </w:r>
    </w:p>
    <w:p w:rsidR="009713B0" w:rsidRPr="00C12260" w:rsidRDefault="009713B0" w:rsidP="009713B0">
      <w:pPr>
        <w:pStyle w:val="Point0"/>
        <w:rPr>
          <w:noProof/>
        </w:rPr>
      </w:pPr>
      <w:r w:rsidRPr="00C12260">
        <w:rPr>
          <w:noProof/>
        </w:rPr>
        <w:t>2.</w:t>
      </w:r>
      <w:r w:rsidRPr="00C12260">
        <w:rPr>
          <w:noProof/>
        </w:rPr>
        <w:tab/>
        <w:t>Betalingstjenesteudbydere skal indberette de årlige aggregerede tal for perioden til og med den 31. december i det kalenderår, der går forud for det år, hvor indberetningen foretages.</w:t>
      </w:r>
    </w:p>
    <w:p w:rsidR="009713B0" w:rsidRPr="00C12260" w:rsidRDefault="009713B0" w:rsidP="009713B0">
      <w:pPr>
        <w:pStyle w:val="Point0"/>
        <w:rPr>
          <w:noProof/>
        </w:rPr>
      </w:pPr>
      <w:r w:rsidRPr="00C12260">
        <w:rPr>
          <w:noProof/>
        </w:rPr>
        <w:t>3.</w:t>
      </w:r>
      <w:r w:rsidRPr="00C12260">
        <w:rPr>
          <w:noProof/>
        </w:rPr>
        <w:tab/>
        <w:t>Uanset stk. 2 skal den første harmoniserede indberetning indeholde aggregerede tal for hvert år, der går forud for det år, hvor indberetningen foretages, begyndende med perioden 26. oktober 2022 til 31. december 2022 for 2022.</w:t>
      </w:r>
    </w:p>
    <w:p w:rsidR="009713B0" w:rsidRPr="00C12260" w:rsidRDefault="009713B0" w:rsidP="009713B0">
      <w:pPr>
        <w:pStyle w:val="Titrearticle"/>
        <w:rPr>
          <w:noProof/>
        </w:rPr>
      </w:pPr>
      <w:r w:rsidRPr="00C12260">
        <w:rPr>
          <w:noProof/>
        </w:rPr>
        <w:t>Artikel 2</w:t>
      </w:r>
    </w:p>
    <w:p w:rsidR="009713B0" w:rsidRPr="00C12260" w:rsidRDefault="009713B0" w:rsidP="009713B0">
      <w:pPr>
        <w:jc w:val="center"/>
        <w:rPr>
          <w:b/>
          <w:bCs/>
          <w:noProof/>
        </w:rPr>
      </w:pPr>
      <w:r w:rsidRPr="00C12260">
        <w:rPr>
          <w:b/>
          <w:noProof/>
        </w:rPr>
        <w:t>Indberetning af andelen af afviste strakskreditoverførselstransaktioner samt referenceperioder</w:t>
      </w:r>
    </w:p>
    <w:p w:rsidR="009713B0" w:rsidRPr="00C12260" w:rsidRDefault="009713B0" w:rsidP="009713B0">
      <w:pPr>
        <w:pStyle w:val="Point0"/>
        <w:rPr>
          <w:noProof/>
        </w:rPr>
      </w:pPr>
      <w:r w:rsidRPr="00C12260">
        <w:rPr>
          <w:noProof/>
        </w:rPr>
        <w:t>1.</w:t>
      </w:r>
      <w:r w:rsidRPr="00C12260">
        <w:rPr>
          <w:noProof/>
        </w:rPr>
        <w:tab/>
        <w:t>Betalingstjenesteudbydere skal indberette andelen af strakskreditoverførselstransaktioner, der er blevet afvist som følge af målrettede finansielle restriktive foranstaltninger som omhandlet i artikel 15, stk. 3, i forordning (EU) nr. 260/2012, med særskilte data for henholdsvis nationale og grænseoverskridende transaktioner, ved at indberette de oplysninger, der er angivet i skema 4 i bilag I, og følge instrukserne i bilag II.</w:t>
      </w:r>
    </w:p>
    <w:p w:rsidR="009713B0" w:rsidRPr="00C12260" w:rsidRDefault="009713B0" w:rsidP="009713B0">
      <w:pPr>
        <w:pStyle w:val="Point0"/>
        <w:rPr>
          <w:noProof/>
        </w:rPr>
      </w:pPr>
      <w:r w:rsidRPr="00C12260">
        <w:rPr>
          <w:noProof/>
        </w:rPr>
        <w:t>2.</w:t>
      </w:r>
      <w:r w:rsidRPr="00C12260">
        <w:rPr>
          <w:noProof/>
        </w:rPr>
        <w:tab/>
        <w:t>Indberetningerne skal omfatte antallet af afslag i det kalenderår, der går forud for det år, hvor indberetningen foretages.</w:t>
      </w:r>
    </w:p>
    <w:p w:rsidR="00AD7B15" w:rsidRPr="00C12260" w:rsidRDefault="009713B0" w:rsidP="009713B0">
      <w:pPr>
        <w:pStyle w:val="Point0"/>
        <w:rPr>
          <w:noProof/>
        </w:rPr>
      </w:pPr>
      <w:r w:rsidRPr="00C12260">
        <w:rPr>
          <w:noProof/>
        </w:rPr>
        <w:t>3.</w:t>
      </w:r>
      <w:r w:rsidRPr="00C12260">
        <w:rPr>
          <w:noProof/>
        </w:rPr>
        <w:tab/>
        <w:t>Uanset stk. 2 skal den første harmoniserede indberetning indeholde de udfyldte skemaer med antallet af afslag for hvert år, der går forud for det år, hvor indberetningen foretages, begyndende med perioden 26. oktober 2022 til 31. december 2022 for 2022.</w:t>
      </w:r>
    </w:p>
    <w:p w:rsidR="00AD7B15" w:rsidRPr="00C12260" w:rsidRDefault="00AD7B15">
      <w:pPr>
        <w:spacing w:before="0" w:after="200" w:line="276" w:lineRule="auto"/>
        <w:jc w:val="left"/>
        <w:rPr>
          <w:noProof/>
        </w:rPr>
      </w:pPr>
    </w:p>
    <w:p w:rsidR="009713B0" w:rsidRPr="00C12260" w:rsidRDefault="009713B0" w:rsidP="009713B0">
      <w:pPr>
        <w:pStyle w:val="Titrearticle"/>
        <w:rPr>
          <w:noProof/>
        </w:rPr>
      </w:pPr>
      <w:r w:rsidRPr="00C12260">
        <w:rPr>
          <w:noProof/>
        </w:rPr>
        <w:t>Artikel 3</w:t>
      </w:r>
    </w:p>
    <w:p w:rsidR="009713B0" w:rsidRPr="00C12260" w:rsidRDefault="009713B0" w:rsidP="009713B0">
      <w:pPr>
        <w:jc w:val="center"/>
        <w:rPr>
          <w:b/>
          <w:bCs/>
          <w:noProof/>
        </w:rPr>
      </w:pPr>
      <w:r w:rsidRPr="00C12260">
        <w:rPr>
          <w:b/>
          <w:noProof/>
        </w:rPr>
        <w:t>Dataudvekslingsformater og oplysninger, der skal ledsage indberetninger</w:t>
      </w:r>
    </w:p>
    <w:p w:rsidR="009713B0" w:rsidRPr="00C12260" w:rsidRDefault="009713B0" w:rsidP="009713B0">
      <w:pPr>
        <w:rPr>
          <w:noProof/>
        </w:rPr>
      </w:pPr>
      <w:r w:rsidRPr="00C12260">
        <w:rPr>
          <w:noProof/>
        </w:rPr>
        <w:t>Betalingstjenesteudbydere skal indberette de i denne forordnings artikel 1 og 2 omhandlede oplysninger i de dataudvekslingsformater og -former, som deres kompetente myndigheder kræver, og de skal overholde datapunktdefinitionen i datapunktmodellen og de valideringsformler, der er stillet til rådighed på EBA's websted. Betalingstjenesteudbydere skal overholde følgende specifikationer:</w:t>
      </w:r>
    </w:p>
    <w:p w:rsidR="009713B0" w:rsidRPr="00C12260" w:rsidRDefault="00C12260" w:rsidP="00C12260">
      <w:pPr>
        <w:pStyle w:val="Point0"/>
        <w:rPr>
          <w:noProof/>
        </w:rPr>
      </w:pPr>
      <w:r>
        <w:rPr>
          <w:noProof/>
        </w:rPr>
        <w:t>a)</w:t>
      </w:r>
      <w:r>
        <w:rPr>
          <w:noProof/>
        </w:rPr>
        <w:tab/>
      </w:r>
      <w:r w:rsidR="009713B0" w:rsidRPr="00C12260">
        <w:rPr>
          <w:noProof/>
        </w:rPr>
        <w:t>Oplysninger, der ikke kræves eller ikke er relevante, skal ikke medtages i de indberettede data.</w:t>
      </w:r>
    </w:p>
    <w:p w:rsidR="009713B0" w:rsidRPr="00C12260" w:rsidRDefault="00C12260" w:rsidP="00C12260">
      <w:pPr>
        <w:pStyle w:val="Point0"/>
        <w:rPr>
          <w:noProof/>
        </w:rPr>
      </w:pPr>
      <w:r>
        <w:rPr>
          <w:noProof/>
        </w:rPr>
        <w:t>b)</w:t>
      </w:r>
      <w:r>
        <w:rPr>
          <w:noProof/>
        </w:rPr>
        <w:tab/>
      </w:r>
      <w:r w:rsidR="009713B0" w:rsidRPr="00C12260">
        <w:rPr>
          <w:noProof/>
        </w:rPr>
        <w:t>Talværdier skal oplyses på følgende måde:</w:t>
      </w:r>
    </w:p>
    <w:p w:rsidR="009713B0" w:rsidRPr="00C12260" w:rsidRDefault="0055071E" w:rsidP="009713B0">
      <w:pPr>
        <w:pStyle w:val="Point1"/>
        <w:rPr>
          <w:noProof/>
        </w:rPr>
      </w:pPr>
      <w:r w:rsidRPr="00C12260">
        <w:rPr>
          <w:noProof/>
        </w:rPr>
        <w:t>i)</w:t>
      </w:r>
      <w:r w:rsidRPr="00C12260">
        <w:rPr>
          <w:noProof/>
        </w:rPr>
        <w:tab/>
        <w:t>Betalingstjenesteudbydere skal indberette datapunkter af typen "beløb" med en minimumspræcision på tusind enheder.</w:t>
      </w:r>
    </w:p>
    <w:p w:rsidR="009713B0" w:rsidRPr="00C12260" w:rsidRDefault="0055071E" w:rsidP="009713B0">
      <w:pPr>
        <w:pStyle w:val="Point1"/>
        <w:rPr>
          <w:noProof/>
        </w:rPr>
      </w:pPr>
      <w:r w:rsidRPr="00C12260">
        <w:rPr>
          <w:noProof/>
        </w:rPr>
        <w:t>ii)</w:t>
      </w:r>
      <w:r w:rsidRPr="00C12260">
        <w:rPr>
          <w:noProof/>
        </w:rPr>
        <w:tab/>
        <w:t>Betalingstjenesteudbydere skal ved indberetning af datapunkter af typen "heltal" anvende en præcision svarende til enheder, idet der ikke må anvendes decimaler.</w:t>
      </w:r>
    </w:p>
    <w:p w:rsidR="009713B0" w:rsidRPr="00C12260" w:rsidRDefault="009713B0" w:rsidP="009713B0">
      <w:pPr>
        <w:pStyle w:val="Titrearticle"/>
        <w:rPr>
          <w:noProof/>
        </w:rPr>
      </w:pPr>
      <w:r w:rsidRPr="00C12260">
        <w:rPr>
          <w:noProof/>
        </w:rPr>
        <w:t>Artikel 4</w:t>
      </w:r>
    </w:p>
    <w:p w:rsidR="009713B0" w:rsidRPr="00C12260" w:rsidRDefault="009713B0" w:rsidP="009713B0">
      <w:pPr>
        <w:jc w:val="center"/>
        <w:rPr>
          <w:noProof/>
        </w:rPr>
      </w:pPr>
      <w:r w:rsidRPr="00C12260">
        <w:rPr>
          <w:b/>
          <w:noProof/>
        </w:rPr>
        <w:t>Ikrafttræden</w:t>
      </w:r>
    </w:p>
    <w:p w:rsidR="009713B0" w:rsidRPr="00C12260" w:rsidRDefault="009713B0" w:rsidP="009713B0">
      <w:pPr>
        <w:rPr>
          <w:noProof/>
        </w:rPr>
      </w:pPr>
      <w:r w:rsidRPr="00C12260">
        <w:rPr>
          <w:noProof/>
        </w:rPr>
        <w:t xml:space="preserve">Denne forordning træder i kraft på tyvendedagen efter offentliggørelsen i </w:t>
      </w:r>
      <w:r w:rsidRPr="00C12260">
        <w:rPr>
          <w:i/>
          <w:noProof/>
        </w:rPr>
        <w:t>Den Europæiske Unions Tidende</w:t>
      </w:r>
      <w:r w:rsidRPr="00C12260">
        <w:rPr>
          <w:noProof/>
        </w:rPr>
        <w:t>.</w:t>
      </w:r>
    </w:p>
    <w:p w:rsidR="009713B0" w:rsidRPr="00C12260" w:rsidRDefault="009713B0" w:rsidP="009713B0">
      <w:pPr>
        <w:pStyle w:val="Applicationdirecte"/>
        <w:rPr>
          <w:noProof/>
        </w:rPr>
      </w:pPr>
      <w:r w:rsidRPr="00C12260">
        <w:rPr>
          <w:noProof/>
        </w:rPr>
        <w:t>Denne forordning er bindende i alle enkeltheder og gælder umiddelbart i hver medlemsstat.</w:t>
      </w:r>
    </w:p>
    <w:p w:rsidR="009713B0" w:rsidRPr="00C12260" w:rsidRDefault="00A70E30" w:rsidP="00B53DD2">
      <w:pPr>
        <w:pStyle w:val="Fait"/>
        <w:rPr>
          <w:noProof/>
        </w:rPr>
      </w:pPr>
      <w:r>
        <w:rPr>
          <w:noProof/>
        </w:rPr>
        <w:t>Udfærdiget i Bruxelles, den 1.10.2025.</w:t>
      </w:r>
    </w:p>
    <w:p w:rsidR="009713B0" w:rsidRPr="00C12260" w:rsidRDefault="009713B0" w:rsidP="00B53DD2">
      <w:pPr>
        <w:pStyle w:val="Institutionquisigne"/>
        <w:rPr>
          <w:noProof/>
        </w:rPr>
      </w:pPr>
      <w:r w:rsidRPr="00C12260">
        <w:rPr>
          <w:noProof/>
        </w:rPr>
        <w:tab/>
        <w:t>På Kommissionens vegne</w:t>
      </w:r>
    </w:p>
    <w:p w:rsidR="00FE7FED" w:rsidRPr="00C12260" w:rsidRDefault="002868C1" w:rsidP="009713B0">
      <w:pPr>
        <w:pStyle w:val="Personnequisigne"/>
        <w:rPr>
          <w:noProof/>
        </w:rPr>
      </w:pPr>
      <w:r>
        <w:rPr>
          <w:noProof/>
        </w:rPr>
        <w:tab/>
        <w:t>Formand</w:t>
      </w:r>
      <w:r>
        <w:rPr>
          <w:noProof/>
        </w:rPr>
        <w:br/>
      </w:r>
      <w:r>
        <w:rPr>
          <w:noProof/>
        </w:rPr>
        <w:tab/>
        <w:t>Ursula VON DER LEYEN</w:t>
      </w:r>
    </w:p>
    <w:sectPr w:rsidR="00FE7FED" w:rsidRPr="00C12260" w:rsidSect="002C6A42">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Pr="002C6A42" w:rsidRDefault="002C6A42" w:rsidP="002C6A42">
    <w:pPr>
      <w:pStyle w:val="Footer"/>
      <w:rPr>
        <w:rFonts w:ascii="Arial" w:hAnsi="Arial" w:cs="Arial"/>
        <w:b/>
        <w:sz w:val="48"/>
      </w:rPr>
    </w:pPr>
    <w:r w:rsidRPr="002C6A42">
      <w:rPr>
        <w:rFonts w:ascii="Arial" w:hAnsi="Arial" w:cs="Arial"/>
        <w:b/>
        <w:sz w:val="48"/>
      </w:rPr>
      <w:t>DA</w:t>
    </w:r>
    <w:r w:rsidRPr="002C6A42">
      <w:rPr>
        <w:rFonts w:ascii="Arial" w:hAnsi="Arial" w:cs="Arial"/>
        <w:b/>
        <w:sz w:val="48"/>
      </w:rPr>
      <w:tab/>
    </w:r>
    <w:r w:rsidRPr="002C6A42">
      <w:rPr>
        <w:rFonts w:ascii="Arial" w:hAnsi="Arial" w:cs="Arial"/>
        <w:b/>
        <w:sz w:val="48"/>
      </w:rPr>
      <w:tab/>
    </w:r>
    <w:r w:rsidRPr="002C6A42">
      <w:tab/>
    </w:r>
    <w:r w:rsidRPr="002C6A42">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Pr="002C6A42" w:rsidRDefault="002C6A42" w:rsidP="002C6A42">
    <w:pPr>
      <w:pStyle w:val="Footer"/>
      <w:rPr>
        <w:rFonts w:ascii="Arial" w:hAnsi="Arial" w:cs="Arial"/>
        <w:b/>
        <w:sz w:val="48"/>
      </w:rPr>
    </w:pPr>
    <w:r w:rsidRPr="002C6A42">
      <w:rPr>
        <w:rFonts w:ascii="Arial" w:hAnsi="Arial" w:cs="Arial"/>
        <w:b/>
        <w:sz w:val="48"/>
      </w:rPr>
      <w:t>DA</w:t>
    </w:r>
    <w:r w:rsidRPr="002C6A42">
      <w:rPr>
        <w:rFonts w:ascii="Arial" w:hAnsi="Arial" w:cs="Arial"/>
        <w:b/>
        <w:sz w:val="48"/>
      </w:rPr>
      <w:tab/>
    </w:r>
    <w:r w:rsidRPr="002C6A42">
      <w:rPr>
        <w:rFonts w:ascii="Arial" w:hAnsi="Arial" w:cs="Arial"/>
        <w:b/>
        <w:sz w:val="48"/>
      </w:rPr>
      <w:tab/>
    </w:r>
    <w:r w:rsidRPr="002C6A42">
      <w:tab/>
    </w:r>
    <w:r w:rsidRPr="002C6A42">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Default="002C6A4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Pr="002C6A42" w:rsidRDefault="002C6A42" w:rsidP="002C6A42">
    <w:pPr>
      <w:pStyle w:val="Footer"/>
      <w:rPr>
        <w:rFonts w:ascii="Arial" w:hAnsi="Arial" w:cs="Arial"/>
        <w:b/>
        <w:sz w:val="48"/>
      </w:rPr>
    </w:pPr>
    <w:r w:rsidRPr="002C6A42">
      <w:rPr>
        <w:rFonts w:ascii="Arial" w:hAnsi="Arial" w:cs="Arial"/>
        <w:b/>
        <w:sz w:val="48"/>
      </w:rPr>
      <w:t>DA</w:t>
    </w:r>
    <w:r w:rsidRPr="002C6A42">
      <w:rPr>
        <w:rFonts w:ascii="Arial" w:hAnsi="Arial" w:cs="Arial"/>
        <w:b/>
        <w:sz w:val="48"/>
      </w:rPr>
      <w:tab/>
    </w:r>
    <w:r>
      <w:fldChar w:fldCharType="begin"/>
    </w:r>
    <w:r>
      <w:instrText xml:space="preserve"> PAGE  \* MERGEFORMAT </w:instrText>
    </w:r>
    <w:r>
      <w:fldChar w:fldCharType="separate"/>
    </w:r>
    <w:r w:rsidR="00B53DD2">
      <w:rPr>
        <w:noProof/>
      </w:rPr>
      <w:t>4</w:t>
    </w:r>
    <w:r>
      <w:fldChar w:fldCharType="end"/>
    </w:r>
    <w:r>
      <w:tab/>
    </w:r>
    <w:r w:rsidRPr="002C6A42">
      <w:tab/>
    </w:r>
    <w:r w:rsidRPr="002C6A42">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Default="002C6A42" w:rsidP="002C6A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C12260" w:rsidRDefault="00A8350B">
      <w:pPr>
        <w:pStyle w:val="FootnoteText"/>
      </w:pPr>
      <w:r>
        <w:rPr>
          <w:rStyle w:val="FootnoteReference"/>
        </w:rPr>
        <w:footnoteRef/>
      </w:r>
      <w:r w:rsidRPr="00C12260">
        <w:tab/>
        <w:t xml:space="preserve">EUT L 94 af 30.3.2012, s. 22, ELI: http://data.europa.eu/eli/reg/2012/260/oj. </w:t>
      </w:r>
    </w:p>
  </w:footnote>
  <w:footnote w:id="3">
    <w:p w:rsidR="00AD7B15" w:rsidRPr="00C12260" w:rsidRDefault="00AD7B15" w:rsidP="00D05942">
      <w:pPr>
        <w:pStyle w:val="FootnoteText"/>
        <w:ind w:left="0" w:firstLine="0"/>
      </w:pPr>
      <w:r>
        <w:rPr>
          <w:rStyle w:val="FootnoteReference"/>
        </w:rPr>
        <w:footnoteRef/>
      </w:r>
      <w:r w:rsidRPr="00C12260">
        <w:tab/>
        <w:t>Europa-Parlamentets og Rådets forordning (EU) 2024/886 af 13. marts 2024 om ændring af forordning (EU) nr. 260/2012 og (EU) 2021/1230 og direktiv 98/26/EF og (EU) 2015/2366 for så vidt angår strakskreditoverførsler i euro (EUT L, 2024/886, 19.3.2024, ELI: http://data.europa.eu/eli/reg/2024/886/oj).</w:t>
      </w:r>
    </w:p>
  </w:footnote>
  <w:footnote w:id="4">
    <w:p w:rsidR="009713B0" w:rsidRPr="00C12260" w:rsidRDefault="009713B0" w:rsidP="009713B0">
      <w:pPr>
        <w:pStyle w:val="FootnoteText"/>
      </w:pPr>
      <w:r>
        <w:rPr>
          <w:rStyle w:val="FootnoteReference"/>
        </w:rPr>
        <w:footnoteRef/>
      </w:r>
      <w:r w:rsidRPr="00C12260">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Default="002C6A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A42" w:rsidRDefault="002C6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3:2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16A2DA64-05B5-456F-8CB7-FCF910D6761E"/>
    <w:docVar w:name="LW_COVERPAGE_TYPE" w:val="1"/>
    <w:docVar w:name="LW_CreatedUtc" w:val="2025-02-25T08:25:43.0388982Z"/>
    <w:docVar w:name="LW_CROSSREFERENCE" w:val="&lt;UNUSED&gt;"/>
    <w:docVar w:name="LW_DATE.ADOPT.CP" w:val="af 1.10.2025"/>
    <w:docVar w:name="LW_DATE.ADOPT.CP_DATEFORMAT" w:val="af %DATE%"/>
    <w:docVar w:name="LW_DATE.ADOPT.CP_ISODATE" w:val="2025-10-01"/>
    <w:docVar w:name="LW_DocType" w:val="COM"/>
    <w:docVar w:name="LW_EMISSION" w:val="1.10.2025"/>
    <w:docVar w:name="LW_EMISSION_ISODATE" w:val="2025-10-01"/>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lt;UNUSED&g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for anvendelsen af Europa-Parlamentets og Rådets forordning (EU) nr. 260/2012 for så vidt angår ensartede indberetningsskemaer, instrukser og metoder til indberetning af gebyrniveauet for kreditoverførsler, strakskreditoverførsler og betalingskonti samt andelen af afviste transaktioner"/>
    <w:docVar w:name="LW_TYPE.DOC.CP" w:val="KOMMISSIONENS GENNEMFØRELSESFORORDNING (EU) \u8230?/\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5DA"/>
    <w:rsid w:val="00033F48"/>
    <w:rsid w:val="000373AB"/>
    <w:rsid w:val="000421B5"/>
    <w:rsid w:val="00042488"/>
    <w:rsid w:val="0004347B"/>
    <w:rsid w:val="00047478"/>
    <w:rsid w:val="000504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520D"/>
    <w:rsid w:val="00197613"/>
    <w:rsid w:val="001A1FA1"/>
    <w:rsid w:val="001A5381"/>
    <w:rsid w:val="001A6744"/>
    <w:rsid w:val="001A7B61"/>
    <w:rsid w:val="001B081E"/>
    <w:rsid w:val="001C0071"/>
    <w:rsid w:val="001C0950"/>
    <w:rsid w:val="001C3C75"/>
    <w:rsid w:val="001C6408"/>
    <w:rsid w:val="001C7C6B"/>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81B09"/>
    <w:rsid w:val="00285BEE"/>
    <w:rsid w:val="002868C1"/>
    <w:rsid w:val="00287FAC"/>
    <w:rsid w:val="00293F82"/>
    <w:rsid w:val="0029533F"/>
    <w:rsid w:val="002A2EE8"/>
    <w:rsid w:val="002A5779"/>
    <w:rsid w:val="002A5E80"/>
    <w:rsid w:val="002B12F5"/>
    <w:rsid w:val="002B1522"/>
    <w:rsid w:val="002B30AF"/>
    <w:rsid w:val="002B4662"/>
    <w:rsid w:val="002C0286"/>
    <w:rsid w:val="002C10B5"/>
    <w:rsid w:val="002C1A4F"/>
    <w:rsid w:val="002C5B13"/>
    <w:rsid w:val="002C6A42"/>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17A35"/>
    <w:rsid w:val="003213CE"/>
    <w:rsid w:val="003253A9"/>
    <w:rsid w:val="0033033C"/>
    <w:rsid w:val="00331A99"/>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4D3C"/>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B4BC2"/>
    <w:rsid w:val="004C15AA"/>
    <w:rsid w:val="004C5916"/>
    <w:rsid w:val="004C60B0"/>
    <w:rsid w:val="004C635B"/>
    <w:rsid w:val="004C79F1"/>
    <w:rsid w:val="004D084C"/>
    <w:rsid w:val="004D4226"/>
    <w:rsid w:val="004E047A"/>
    <w:rsid w:val="004E1BAA"/>
    <w:rsid w:val="004E2937"/>
    <w:rsid w:val="004E572C"/>
    <w:rsid w:val="004E7796"/>
    <w:rsid w:val="004F15B9"/>
    <w:rsid w:val="00501867"/>
    <w:rsid w:val="0050376F"/>
    <w:rsid w:val="00503AAA"/>
    <w:rsid w:val="00507BC8"/>
    <w:rsid w:val="00520EC8"/>
    <w:rsid w:val="00523CF7"/>
    <w:rsid w:val="0052515F"/>
    <w:rsid w:val="005261A7"/>
    <w:rsid w:val="00530551"/>
    <w:rsid w:val="00531AAF"/>
    <w:rsid w:val="00532147"/>
    <w:rsid w:val="005330E9"/>
    <w:rsid w:val="005347DC"/>
    <w:rsid w:val="00534861"/>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97CB6"/>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2626"/>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64B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031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3246"/>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27FD"/>
    <w:rsid w:val="00993289"/>
    <w:rsid w:val="00994CA3"/>
    <w:rsid w:val="00996030"/>
    <w:rsid w:val="0099612E"/>
    <w:rsid w:val="0099719C"/>
    <w:rsid w:val="009A2B3E"/>
    <w:rsid w:val="009B28D4"/>
    <w:rsid w:val="009B7951"/>
    <w:rsid w:val="009C1173"/>
    <w:rsid w:val="009C6440"/>
    <w:rsid w:val="009C69FE"/>
    <w:rsid w:val="009D1DF0"/>
    <w:rsid w:val="009D60FA"/>
    <w:rsid w:val="009D75A0"/>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0E30"/>
    <w:rsid w:val="00A71A56"/>
    <w:rsid w:val="00A72B2F"/>
    <w:rsid w:val="00A744A9"/>
    <w:rsid w:val="00A75188"/>
    <w:rsid w:val="00A80233"/>
    <w:rsid w:val="00A813B3"/>
    <w:rsid w:val="00A8350B"/>
    <w:rsid w:val="00A8635C"/>
    <w:rsid w:val="00AA2317"/>
    <w:rsid w:val="00AA359E"/>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36CDE"/>
    <w:rsid w:val="00B42926"/>
    <w:rsid w:val="00B432CA"/>
    <w:rsid w:val="00B4331F"/>
    <w:rsid w:val="00B434C1"/>
    <w:rsid w:val="00B52D63"/>
    <w:rsid w:val="00B53B73"/>
    <w:rsid w:val="00B53DD2"/>
    <w:rsid w:val="00B552A9"/>
    <w:rsid w:val="00B6021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260"/>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BB5"/>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200"/>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3ACB"/>
    <w:rsid w:val="00FA7030"/>
    <w:rsid w:val="00FA7B48"/>
    <w:rsid w:val="00FB0717"/>
    <w:rsid w:val="00FB4D9B"/>
    <w:rsid w:val="00FB7673"/>
    <w:rsid w:val="00FB7914"/>
    <w:rsid w:val="00FC0031"/>
    <w:rsid w:val="00FC0B30"/>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da-DK"/>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2C6A42"/>
    <w:rPr>
      <w:rFonts w:ascii="Times New Roman" w:hAnsi="Times New Roman" w:cs="Times New Roman"/>
      <w:sz w:val="24"/>
      <w:lang w:val="da-DK"/>
    </w:rPr>
  </w:style>
  <w:style w:type="character" w:customStyle="1" w:styleId="FooterChar">
    <w:name w:val="Footer Char"/>
    <w:basedOn w:val="DefaultParagraphFont"/>
    <w:link w:val="Footer"/>
    <w:uiPriority w:val="99"/>
    <w:rsid w:val="002C6A42"/>
    <w:rPr>
      <w:rFonts w:ascii="Times New Roman" w:hAnsi="Times New Roman" w:cs="Times New Roman"/>
      <w:sz w:val="24"/>
      <w:lang w:val="da-DK"/>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C6A4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C6A42"/>
    <w:pPr>
      <w:spacing w:before="0"/>
      <w:jc w:val="right"/>
    </w:pPr>
    <w:rPr>
      <w:sz w:val="28"/>
    </w:rPr>
  </w:style>
  <w:style w:type="paragraph" w:customStyle="1" w:styleId="FooterSensitivity">
    <w:name w:val="Footer Sensitivity"/>
    <w:basedOn w:val="Normal"/>
    <w:rsid w:val="002C6A4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C6A42"/>
    <w:pPr>
      <w:tabs>
        <w:tab w:val="center" w:pos="4535"/>
        <w:tab w:val="right" w:pos="9071"/>
      </w:tabs>
      <w:spacing w:before="0"/>
    </w:pPr>
  </w:style>
  <w:style w:type="paragraph" w:customStyle="1" w:styleId="HeaderLandscape">
    <w:name w:val="HeaderLandscape"/>
    <w:basedOn w:val="Normal"/>
    <w:rsid w:val="002C6A42"/>
    <w:pPr>
      <w:tabs>
        <w:tab w:val="center" w:pos="7285"/>
        <w:tab w:val="right" w:pos="14003"/>
      </w:tabs>
      <w:spacing w:before="0"/>
    </w:pPr>
  </w:style>
  <w:style w:type="paragraph" w:styleId="Footer">
    <w:name w:val="footer"/>
    <w:basedOn w:val="Normal"/>
    <w:link w:val="FooterChar"/>
    <w:uiPriority w:val="99"/>
    <w:unhideWhenUsed/>
    <w:rsid w:val="002C6A42"/>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C6A42"/>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E4E391-B6B6-4DCA-A510-D8CB68BE4C7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7</TotalTime>
  <Pages>5</Pages>
  <Words>1576</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