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33F" w:rsidRPr="00DB7860" w:rsidRDefault="0083067D" w:rsidP="0083067D">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E5D9398E-DBBD-492B-9D2D-D5BDDC396FE1" style="width:455.25pt;height:369.75pt">
            <v:imagedata r:id="rId11" o:title=""/>
          </v:shape>
        </w:pict>
      </w:r>
    </w:p>
    <w:p w:rsidR="00FE7FED" w:rsidRPr="00DB7860" w:rsidRDefault="00FE7FED">
      <w:pPr>
        <w:rPr>
          <w:noProof/>
        </w:rPr>
        <w:sectPr w:rsidR="00FE7FED" w:rsidRPr="00DB7860" w:rsidSect="0083067D">
          <w:headerReference w:type="even" r:id="rId12"/>
          <w:headerReference w:type="default" r:id="rId13"/>
          <w:footerReference w:type="even" r:id="rId14"/>
          <w:footerReference w:type="default" r:id="rId15"/>
          <w:headerReference w:type="first" r:id="rId16"/>
          <w:footerReference w:type="first" r:id="rId17"/>
          <w:pgSz w:w="11907" w:h="16839"/>
          <w:pgMar w:top="1134" w:right="1417" w:bottom="1134" w:left="1417" w:header="709" w:footer="709" w:gutter="0"/>
          <w:pgNumType w:start="0"/>
          <w:cols w:space="720"/>
          <w:docGrid w:linePitch="360"/>
        </w:sectPr>
      </w:pPr>
    </w:p>
    <w:p w:rsidR="009713B0" w:rsidRPr="00DB7860" w:rsidRDefault="00DB7860" w:rsidP="00DB7860">
      <w:pPr>
        <w:pStyle w:val="Typedudocument"/>
        <w:rPr>
          <w:noProof/>
        </w:rPr>
      </w:pPr>
      <w:bookmarkStart w:id="0" w:name="_GoBack"/>
      <w:bookmarkEnd w:id="0"/>
      <w:r w:rsidRPr="00DB7860">
        <w:rPr>
          <w:noProof/>
        </w:rPr>
        <w:lastRenderedPageBreak/>
        <w:t>PROVÁDĚCÍ NAŘÍZENÍ KOMISE (EU) …/...</w:t>
      </w:r>
    </w:p>
    <w:p w:rsidR="009713B0" w:rsidRPr="00DB7860" w:rsidRDefault="006148A6" w:rsidP="00DB7860">
      <w:pPr>
        <w:pStyle w:val="Datedadoption"/>
        <w:rPr>
          <w:noProof/>
        </w:rPr>
      </w:pPr>
      <w:r>
        <w:rPr>
          <w:noProof/>
        </w:rPr>
        <w:t>ze dne 1.10.2025,</w:t>
      </w:r>
    </w:p>
    <w:p w:rsidR="009713B0" w:rsidRPr="00DB7860" w:rsidRDefault="00DB7860" w:rsidP="00DB7860">
      <w:pPr>
        <w:pStyle w:val="Titreobjet"/>
        <w:rPr>
          <w:noProof/>
        </w:rPr>
      </w:pPr>
      <w:r w:rsidRPr="00DB7860">
        <w:rPr>
          <w:noProof/>
        </w:rPr>
        <w:t>kterým se stanoví prováděcí technické normy pro uplatňování nařízení Evropského parlamentu a Rady (EU) č. 260/2012, pokud jde o jednotné šablony pro podávání zpráv a o pokyny a metodiku pro vykazování výše poplatků za úhrady, okamžité úhrady a platební účty a podílu zamítnutých transakcí</w:t>
      </w:r>
    </w:p>
    <w:p w:rsidR="009713B0" w:rsidRPr="00DB7860" w:rsidRDefault="009713B0" w:rsidP="009713B0">
      <w:pPr>
        <w:pStyle w:val="Institutionquiagit"/>
        <w:rPr>
          <w:noProof/>
        </w:rPr>
      </w:pPr>
      <w:r w:rsidRPr="00DB7860">
        <w:rPr>
          <w:noProof/>
        </w:rPr>
        <w:t>EVROPSKÁ KOMISE,</w:t>
      </w:r>
    </w:p>
    <w:p w:rsidR="009713B0" w:rsidRPr="00DB7860" w:rsidRDefault="009713B0" w:rsidP="009713B0">
      <w:pPr>
        <w:rPr>
          <w:noProof/>
          <w:color w:val="000000"/>
        </w:rPr>
      </w:pPr>
      <w:r w:rsidRPr="00DB7860">
        <w:rPr>
          <w:noProof/>
          <w:color w:val="000000"/>
        </w:rPr>
        <w:t>s ohledem na Smlouvu o fungování Evropské unie,</w:t>
      </w:r>
    </w:p>
    <w:p w:rsidR="009713B0" w:rsidRPr="00DB7860" w:rsidRDefault="009713B0" w:rsidP="009713B0">
      <w:pPr>
        <w:rPr>
          <w:noProof/>
          <w:color w:val="000000"/>
        </w:rPr>
      </w:pPr>
      <w:r w:rsidRPr="00DB7860">
        <w:rPr>
          <w:noProof/>
          <w:color w:val="000000"/>
        </w:rPr>
        <w:t>s ohledem na nařízení Evropského parlamentu a Rady (EU) č. 260/2012 ze dne 14. března 2012, kterým se stanoví technické a obchodní požadavky pro úhrady a inkasa v eurech a kterým se mění nařízení (ES) č. 924/2009</w:t>
      </w:r>
      <w:r w:rsidR="00A8350B" w:rsidRPr="00DB7860">
        <w:rPr>
          <w:rStyle w:val="FootnoteReference"/>
          <w:noProof/>
          <w:color w:val="000000"/>
        </w:rPr>
        <w:footnoteReference w:id="2"/>
      </w:r>
      <w:r w:rsidRPr="00DB7860">
        <w:rPr>
          <w:noProof/>
          <w:color w:val="000000"/>
        </w:rPr>
        <w:t xml:space="preserve">, a zejména na čl. 15 odst. 5 třetí pododstavec uvedeného nařízení, </w:t>
      </w:r>
    </w:p>
    <w:p w:rsidR="009713B0" w:rsidRPr="00DB7860" w:rsidRDefault="009713B0" w:rsidP="009713B0">
      <w:pPr>
        <w:rPr>
          <w:noProof/>
        </w:rPr>
      </w:pPr>
      <w:r w:rsidRPr="00DB7860">
        <w:rPr>
          <w:noProof/>
        </w:rPr>
        <w:t>vzhledem k těmto důvodům:</w:t>
      </w:r>
    </w:p>
    <w:p w:rsidR="00AC0006" w:rsidRPr="00DB7860" w:rsidRDefault="00FA3345" w:rsidP="00FA3345">
      <w:pPr>
        <w:pStyle w:val="ManualConsidrant"/>
        <w:rPr>
          <w:noProof/>
        </w:rPr>
      </w:pPr>
      <w:r w:rsidRPr="00FA3345">
        <w:rPr>
          <w:noProof/>
        </w:rPr>
        <w:t>(1)</w:t>
      </w:r>
      <w:r w:rsidRPr="00FA3345">
        <w:rPr>
          <w:noProof/>
        </w:rPr>
        <w:tab/>
      </w:r>
      <w:r w:rsidR="00925CEE" w:rsidRPr="00DB7860">
        <w:rPr>
          <w:noProof/>
        </w:rPr>
        <w:t xml:space="preserve">Podávání zpráv o výši poplatků podle čl. 15 odst. 3 nařízení (EU) č. 260/2012 by mělo Komisi umožnit posouzení dopadu pravidla o poplatcích účtovaných za okamžité úhrady podle čl. 5b odst. 1 uvedeného nařízení na poplatky za platební účty, za vnitrostátní i přeshraniční úhrady a za okamžité úhrady v eurech a v národní měně členských států, jejichž měnou není euro. Poplatky účtované poskytovateli platebních služeb za úhrady, včetně okamžitých úhrad, se obvykle liší v závislosti na charakteristikách konkrétní úhrady. Může se jednat o to, zda je uživatel platebních služeb plátcem nebo příjemcem, spotřebitelem či nikoli, nebo o druh kanálu, kterým se iniciuje platba. Podávání zpráv o odeslaných úhradách by proto mělo zahrnovat členění podle vnitrostátních a přeshraničních převodů, typu uživatele platebních služeb a kanálu, kterým se iniciuje platba. </w:t>
      </w:r>
    </w:p>
    <w:p w:rsidR="00F133B9" w:rsidRPr="00DB7860" w:rsidRDefault="00FA3345" w:rsidP="00FA3345">
      <w:pPr>
        <w:pStyle w:val="ManualConsidrant"/>
        <w:rPr>
          <w:noProof/>
        </w:rPr>
      </w:pPr>
      <w:r w:rsidRPr="00FA3345">
        <w:rPr>
          <w:noProof/>
        </w:rPr>
        <w:t>(2)</w:t>
      </w:r>
      <w:r w:rsidRPr="00FA3345">
        <w:rPr>
          <w:noProof/>
        </w:rPr>
        <w:tab/>
      </w:r>
      <w:r w:rsidR="00914C54" w:rsidRPr="00DB7860">
        <w:rPr>
          <w:noProof/>
        </w:rPr>
        <w:t>Poskytovatelé platebních služeb se mohou rozhodnout zavést poplatky za jednotlivé transakce, a to buď v nominálním vyjádření, nebo jako procento hodnoty transakce. Poskytovatelé platebních služeb si rovněž mohou zvolit alternativní struktury účtování poplatků, včetně odstupňovaných cen na základě různých pásem hodnoty transakce nebo přístupů, které poskytují určitý měsíční počet transakcí zdarma, po jehož překročení se uplatňuje poplatek za každou transakci. Bylo by nežádoucí, aby tato různorodost obchodních praktik vedla k obcházení cíle pravidla o poplatcích za okamžité úhrady stanoveného v čl. 5b odst. 1 nařízení (EU) č. 260/2012. Metodika vykazování informací o výši poplatků za běžné a okamžité úhrady by měla Komisi umožnit provádět hodnocení informací, které předkládají poskytovatelé platebních služeb, jednotným a porovnatelným způsobem, a to na úrovni poskytovatele platebních služeb v průběhu času, jakož i mezi různými poskytovateli platebních služeb v daném okamžiku, navzdory různým metodám účtování poplatků používaným poskytovateli platebních služeb. Zprávy by proto měly obsahovat informace o celkových souhrnných poplatcích a o objemu a hodnotě úhrad včetně okamžitých úhrad v národní měně. Zprávy o odeslaných i přijatých úhradách by rovněž měly zahrnovat členění podle bezplatných a placených úhrad.</w:t>
      </w:r>
    </w:p>
    <w:p w:rsidR="009713B0" w:rsidRPr="00DB7860" w:rsidRDefault="00FA3345" w:rsidP="00FA3345">
      <w:pPr>
        <w:pStyle w:val="ManualConsidrant"/>
        <w:rPr>
          <w:noProof/>
        </w:rPr>
      </w:pPr>
      <w:r w:rsidRPr="00FA3345">
        <w:rPr>
          <w:noProof/>
        </w:rPr>
        <w:t>(3)</w:t>
      </w:r>
      <w:r w:rsidRPr="00FA3345">
        <w:rPr>
          <w:noProof/>
        </w:rPr>
        <w:tab/>
      </w:r>
      <w:r w:rsidR="004425F3" w:rsidRPr="00DB7860">
        <w:rPr>
          <w:noProof/>
        </w:rPr>
        <w:t>Poskytovatelé platebních služeb by měli plnit svou oznamovací povinnost stanovenou v čl. 15 odst. 3 nařízení (EU) č. 260/2012 na úrovni subjektu. Aby bylo dosaženo souladu s přístupem vykazování platebních statistik Evropské centrální bance, měly by pobočky poskytovatelů platebních služeb nacházející se v jiných členských státech, než jsou členské státy jejich mateřských subjektů, předkládat své údaje příslušnému orgánu hostitelského členského státu, a mateřské subjekty by měly za sebe podávat zprávy příslušnému orgánu svého domovského členského státu.</w:t>
      </w:r>
    </w:p>
    <w:p w:rsidR="009713B0" w:rsidRPr="00DB7860" w:rsidRDefault="00FA3345" w:rsidP="00FA3345">
      <w:pPr>
        <w:pStyle w:val="ManualConsidrant"/>
        <w:rPr>
          <w:noProof/>
        </w:rPr>
      </w:pPr>
      <w:r w:rsidRPr="00FA3345">
        <w:rPr>
          <w:noProof/>
        </w:rPr>
        <w:t>(4)</w:t>
      </w:r>
      <w:r w:rsidRPr="00FA3345">
        <w:rPr>
          <w:noProof/>
        </w:rPr>
        <w:tab/>
      </w:r>
      <w:r w:rsidR="000D1771" w:rsidRPr="00DB7860">
        <w:rPr>
          <w:noProof/>
        </w:rPr>
        <w:t>Poskytovatelé platebních služeb nacházející se v členských státech, jejichž měnou není euro, kteří nabízejí svým uživatelům platebních služeb platební službu přijímání a odesílání běžných úhrad v eurech, mají povinnost začít nabízet svým uživatelům platebních služeb platební službu přijímání okamžitých úhrad v eurech do 9. ledna 2027 a platební službu odesílání okamžitých úhrad v eurech do 9. července 2027, jak je stanoveno v čl. 5a odst. 8 nařízení (EU) č. 260/2012. Uvedení poskytovatelé platebních služeb by v souladu s čl. 5b odst. 3 druhým pododstavcem uvedeného nařízení měli do 9. ledna 2027 rovněž splnit povinnosti týkající se poplatků účtovaných plátcům a příjemcům za odesílání a přijímání okamžitých úhrad v eurech. Aby mohla Komise podle čl. 15 odst. 2 písm. a) nařízení (EU) č. 260/2012 vyhodnotit dopad uvedeného nařízení na výši poplatků za úhrady denominované v národní měně členských států, jejichž měnou není euro, včetně okamžitých úhrad, je vhodné, aby poskytovatelé platebních služeb, kteří se nacházejí v těchto členských státech a nabízejí svým uživatelům platebních služeb platební službu přijímání a odesílání běžných úhrad v eurech, podávali zprávy o počtech úhrad denominovaných v jejich národní měně a v eurech, včetně okamžitých úhrad, o hodnotách těchto úhrad a o poplatcích za tyto úhrady.</w:t>
      </w:r>
    </w:p>
    <w:p w:rsidR="009713B0" w:rsidRPr="00DB7860" w:rsidRDefault="00FA3345" w:rsidP="00FA3345">
      <w:pPr>
        <w:pStyle w:val="ManualConsidrant"/>
        <w:rPr>
          <w:noProof/>
        </w:rPr>
      </w:pPr>
      <w:r w:rsidRPr="00FA3345">
        <w:rPr>
          <w:noProof/>
        </w:rPr>
        <w:t>(5)</w:t>
      </w:r>
      <w:r w:rsidRPr="00FA3345">
        <w:rPr>
          <w:noProof/>
        </w:rPr>
        <w:tab/>
      </w:r>
      <w:r w:rsidR="009713B0" w:rsidRPr="00DB7860">
        <w:rPr>
          <w:noProof/>
        </w:rPr>
        <w:t>Pro účely podávání zpráv podle čl. 15 odst. 3 nařízení (EU) č. 260/2012 by poskytovatelé platebních služeb měli svým příslušným orgánům poskytovat údaje o celkovém počtu platebních účtů a o souhrnné výši celkových poplatků za platební účty. Aby Komise mohla posoudit, zda existuje souvislost mezi případnými změnami poplatků za platební účty a změnami poplatků za úhrady a okamžité úhrady, měly by být zvlášť vykazovány poplatky za vedení účtu.</w:t>
      </w:r>
    </w:p>
    <w:p w:rsidR="009713B0" w:rsidRPr="00DB7860" w:rsidRDefault="00FA3345" w:rsidP="00FA3345">
      <w:pPr>
        <w:pStyle w:val="ManualConsidrant"/>
        <w:rPr>
          <w:noProof/>
        </w:rPr>
      </w:pPr>
      <w:r w:rsidRPr="00FA3345">
        <w:rPr>
          <w:noProof/>
        </w:rPr>
        <w:t>(6)</w:t>
      </w:r>
      <w:r w:rsidRPr="00FA3345">
        <w:rPr>
          <w:noProof/>
        </w:rPr>
        <w:tab/>
      </w:r>
      <w:r w:rsidR="00136075" w:rsidRPr="00DB7860">
        <w:rPr>
          <w:noProof/>
        </w:rPr>
        <w:t>Aby Komise mohla posoudit podíl okamžitých úhrad zamítnutých v důsledku uplatňování cílených finančních omezujících opatření přijatých v souladu s článkem 215 Smlouvy o fungování Evropské unie a to, zda se tento podíl změnil poté, co se začaly uplatňovat změny nařízení (EU) č. 260/2012 zavedené nařízením Evropského parlamentu a Rady (EU) 2024/886</w:t>
      </w:r>
      <w:r w:rsidR="00AD7B15" w:rsidRPr="00DB7860">
        <w:rPr>
          <w:rStyle w:val="FootnoteReference"/>
          <w:noProof/>
        </w:rPr>
        <w:footnoteReference w:id="3"/>
      </w:r>
      <w:r w:rsidR="00136075" w:rsidRPr="00DB7860">
        <w:rPr>
          <w:noProof/>
        </w:rPr>
        <w:t xml:space="preserve">, měli by poskytovatelé platebních služeb svým příslušným orgánům poskytovat údaje o tomto podílu v daném roce, včetně počtu případů, kdy okamžité úhrady nebyly poskytovatelem platebních služeb plátce nebo poskytovatelem platebních služeb příjemce provedeny, nebo byly peněžní prostředky poskytovatelem platebních služeb plátce nebo poskytovatelem platebních služeb příjemce zmrazeny. </w:t>
      </w:r>
    </w:p>
    <w:p w:rsidR="0039723A" w:rsidRPr="00DB7860" w:rsidRDefault="00FA3345" w:rsidP="00FA3345">
      <w:pPr>
        <w:pStyle w:val="ManualConsidrant"/>
        <w:rPr>
          <w:noProof/>
        </w:rPr>
      </w:pPr>
      <w:r w:rsidRPr="00FA3345">
        <w:rPr>
          <w:noProof/>
        </w:rPr>
        <w:t>(7)</w:t>
      </w:r>
      <w:r w:rsidRPr="00FA3345">
        <w:rPr>
          <w:noProof/>
        </w:rPr>
        <w:tab/>
      </w:r>
      <w:r w:rsidR="00B17DF1" w:rsidRPr="00DB7860">
        <w:rPr>
          <w:noProof/>
        </w:rPr>
        <w:t>V zájmu harmonizace podávání zpráv by poskytovatelé platebních služeb měli používat model datových bodů a pravidla pro ověřování, které jsou k dispozici na internetových stránkách Evropského orgánu pro bankovnictví (EBA). Kromě toho, aby se snížila zátěž spojená s podáváním zpráv a zamezilo se zdvojování, měly by mít příslušné orgány možnost povolit poskytovatelům platebních služeb nacházejícím se v jejich jurisdikci omezit vykazování na ty datové body, které nebyly předloženy již dříve.</w:t>
      </w:r>
    </w:p>
    <w:p w:rsidR="009713B0" w:rsidRPr="00DB7860" w:rsidRDefault="00FA3345" w:rsidP="00FA3345">
      <w:pPr>
        <w:pStyle w:val="ManualConsidrant"/>
        <w:rPr>
          <w:noProof/>
        </w:rPr>
      </w:pPr>
      <w:r w:rsidRPr="00FA3345">
        <w:rPr>
          <w:noProof/>
        </w:rPr>
        <w:t>(8)</w:t>
      </w:r>
      <w:r w:rsidRPr="00FA3345">
        <w:rPr>
          <w:noProof/>
        </w:rPr>
        <w:tab/>
      </w:r>
      <w:r w:rsidR="009713B0" w:rsidRPr="00DB7860">
        <w:rPr>
          <w:noProof/>
        </w:rPr>
        <w:t>Toto nařízení vychází z návrhu prováděcích technických norem, který Komisi předložil orgán EBA.</w:t>
      </w:r>
    </w:p>
    <w:p w:rsidR="009713B0" w:rsidRPr="00DB7860" w:rsidRDefault="00FA3345" w:rsidP="00FA3345">
      <w:pPr>
        <w:pStyle w:val="ManualConsidrant"/>
        <w:rPr>
          <w:noProof/>
        </w:rPr>
      </w:pPr>
      <w:r w:rsidRPr="00FA3345">
        <w:rPr>
          <w:noProof/>
        </w:rPr>
        <w:t>(9)</w:t>
      </w:r>
      <w:r w:rsidRPr="00FA3345">
        <w:rPr>
          <w:noProof/>
        </w:rPr>
        <w:tab/>
      </w:r>
      <w:r w:rsidR="009713B0" w:rsidRPr="00DB7860">
        <w:rPr>
          <w:noProof/>
        </w:rPr>
        <w:t>Orgán EBA uskutečnil k návrhu prováděcích technických norem, z něhož toto nařízení vychází, otevřené veřejné konzultace, analyzoval potenciální související náklady a přínosy a vyžádal si stanovisko skupiny subjektů působících v bankovnictví zřízené podle článku 37 nařízení Evropského parlamentu a Rady (EU) č. 1093/2010</w:t>
      </w:r>
      <w:r w:rsidR="009713B0" w:rsidRPr="00DB7860">
        <w:rPr>
          <w:rStyle w:val="FootnoteReference"/>
          <w:noProof/>
        </w:rPr>
        <w:footnoteReference w:id="4"/>
      </w:r>
      <w:r w:rsidR="009713B0" w:rsidRPr="00DB7860">
        <w:rPr>
          <w:noProof/>
        </w:rPr>
        <w:t>,</w:t>
      </w:r>
    </w:p>
    <w:p w:rsidR="009713B0" w:rsidRPr="00DB7860" w:rsidRDefault="009713B0" w:rsidP="009713B0">
      <w:pPr>
        <w:pStyle w:val="Formuledadoption"/>
        <w:rPr>
          <w:noProof/>
        </w:rPr>
      </w:pPr>
      <w:r w:rsidRPr="00DB7860">
        <w:rPr>
          <w:noProof/>
        </w:rPr>
        <w:t>PŘIJALA TOTO NAŘÍZENÍ:</w:t>
      </w:r>
    </w:p>
    <w:p w:rsidR="009713B0" w:rsidRPr="00DB7860" w:rsidRDefault="009713B0" w:rsidP="009713B0">
      <w:pPr>
        <w:pStyle w:val="Titrearticle"/>
        <w:rPr>
          <w:noProof/>
        </w:rPr>
      </w:pPr>
      <w:r w:rsidRPr="00DB7860">
        <w:rPr>
          <w:noProof/>
        </w:rPr>
        <w:t>Článek 1</w:t>
      </w:r>
    </w:p>
    <w:p w:rsidR="009713B0" w:rsidRPr="00DB7860" w:rsidRDefault="009713B0" w:rsidP="009713B0">
      <w:pPr>
        <w:jc w:val="center"/>
        <w:rPr>
          <w:b/>
          <w:bCs/>
          <w:noProof/>
        </w:rPr>
      </w:pPr>
      <w:r w:rsidRPr="00DB7860">
        <w:rPr>
          <w:b/>
          <w:noProof/>
        </w:rPr>
        <w:t>Podávání zpráv o výši poplatků</w:t>
      </w:r>
    </w:p>
    <w:p w:rsidR="009713B0" w:rsidRPr="00DB7860" w:rsidRDefault="009713B0" w:rsidP="009713B0">
      <w:pPr>
        <w:pStyle w:val="Point0"/>
        <w:rPr>
          <w:noProof/>
        </w:rPr>
      </w:pPr>
      <w:r w:rsidRPr="00DB7860">
        <w:rPr>
          <w:noProof/>
        </w:rPr>
        <w:t>1.</w:t>
      </w:r>
      <w:r w:rsidRPr="00DB7860">
        <w:rPr>
          <w:noProof/>
        </w:rPr>
        <w:tab/>
        <w:t>Poskytovatelé platebních služeb podávají zprávy o výši poplatků za úhrady, okamžité úhrady a platební účty předložením informací, které jsou vymezeny v šablonách 1.1, 1.2, 2.1, 2.2 a 3 v příloze I, a v souladu s pokyny uvedenými v příloze II.</w:t>
      </w:r>
    </w:p>
    <w:p w:rsidR="009713B0" w:rsidRPr="00DB7860" w:rsidRDefault="009713B0" w:rsidP="009713B0">
      <w:pPr>
        <w:pStyle w:val="Point0"/>
        <w:rPr>
          <w:noProof/>
        </w:rPr>
      </w:pPr>
      <w:r w:rsidRPr="00DB7860">
        <w:rPr>
          <w:noProof/>
        </w:rPr>
        <w:t>2.</w:t>
      </w:r>
      <w:r w:rsidRPr="00DB7860">
        <w:rPr>
          <w:noProof/>
        </w:rPr>
        <w:tab/>
        <w:t>Poskytovatelé platebních služeb vykazují roční souhrnné údaje za období do 31. prosince kalendářního roku, který předchází roku, v němž je zpráva předložena.</w:t>
      </w:r>
    </w:p>
    <w:p w:rsidR="009713B0" w:rsidRPr="00DB7860" w:rsidRDefault="009713B0" w:rsidP="009713B0">
      <w:pPr>
        <w:pStyle w:val="Point0"/>
        <w:rPr>
          <w:noProof/>
        </w:rPr>
      </w:pPr>
      <w:r w:rsidRPr="00DB7860">
        <w:rPr>
          <w:noProof/>
        </w:rPr>
        <w:t>3.</w:t>
      </w:r>
      <w:r w:rsidRPr="00DB7860">
        <w:rPr>
          <w:noProof/>
        </w:rPr>
        <w:tab/>
        <w:t>Odchylně od odstavce 2 obsahuje první harmonizovaná zpráva souhrnné údaje za každý rok předcházející roku, v němž je zpráva předložena, počínaje obdobím od 26. října 2022 do 31. prosince 2022 za rok 2022.</w:t>
      </w:r>
    </w:p>
    <w:p w:rsidR="009713B0" w:rsidRPr="00DB7860" w:rsidRDefault="009713B0" w:rsidP="009713B0">
      <w:pPr>
        <w:pStyle w:val="Titrearticle"/>
        <w:rPr>
          <w:noProof/>
        </w:rPr>
      </w:pPr>
      <w:r w:rsidRPr="00DB7860">
        <w:rPr>
          <w:noProof/>
        </w:rPr>
        <w:t>Článek 2</w:t>
      </w:r>
    </w:p>
    <w:p w:rsidR="009713B0" w:rsidRPr="00DB7860" w:rsidRDefault="009713B0" w:rsidP="009713B0">
      <w:pPr>
        <w:jc w:val="center"/>
        <w:rPr>
          <w:b/>
          <w:bCs/>
          <w:noProof/>
        </w:rPr>
      </w:pPr>
      <w:r w:rsidRPr="00DB7860">
        <w:rPr>
          <w:b/>
          <w:noProof/>
        </w:rPr>
        <w:t>Podávání zpráv o podílu zamítnutých transakcí okamžitých úhrad a referenční období</w:t>
      </w:r>
    </w:p>
    <w:p w:rsidR="009713B0" w:rsidRPr="00DB7860" w:rsidRDefault="009713B0" w:rsidP="009713B0">
      <w:pPr>
        <w:pStyle w:val="Point0"/>
        <w:rPr>
          <w:noProof/>
        </w:rPr>
      </w:pPr>
      <w:r w:rsidRPr="00DB7860">
        <w:rPr>
          <w:noProof/>
        </w:rPr>
        <w:t>1.</w:t>
      </w:r>
      <w:r w:rsidRPr="00DB7860">
        <w:rPr>
          <w:noProof/>
        </w:rPr>
        <w:tab/>
        <w:t>Poskytovatelé platebních služeb vykazují podle čl. 15 odst. 3 nařízení (EU) č. 260/2012 podíl transakcí okamžitých úhrad, které byly zamítnuty v důsledku cílených finančních omezujících opatření, předložením informací, které jsou vymezeny v šabloně 4 v příloze I, a v souladu s pokyny uvedenými v příloze II, a to odděleně za vnitrostátní a přeshraniční transakce.</w:t>
      </w:r>
    </w:p>
    <w:p w:rsidR="009713B0" w:rsidRPr="00DB7860" w:rsidRDefault="009713B0" w:rsidP="009713B0">
      <w:pPr>
        <w:pStyle w:val="Point0"/>
        <w:rPr>
          <w:noProof/>
        </w:rPr>
      </w:pPr>
      <w:r w:rsidRPr="00DB7860">
        <w:rPr>
          <w:noProof/>
        </w:rPr>
        <w:t>2.</w:t>
      </w:r>
      <w:r w:rsidRPr="00DB7860">
        <w:rPr>
          <w:noProof/>
        </w:rPr>
        <w:tab/>
        <w:t>Zprávy obsahují počet zamítnutí za kalendářní rok předcházející roku, v němž je zpráva předložena.</w:t>
      </w:r>
    </w:p>
    <w:p w:rsidR="00AD7B15" w:rsidRPr="00DB7860" w:rsidRDefault="009713B0" w:rsidP="009713B0">
      <w:pPr>
        <w:pStyle w:val="Point0"/>
        <w:rPr>
          <w:noProof/>
        </w:rPr>
      </w:pPr>
      <w:r w:rsidRPr="00DB7860">
        <w:rPr>
          <w:noProof/>
        </w:rPr>
        <w:t>3.</w:t>
      </w:r>
      <w:r w:rsidRPr="00DB7860">
        <w:rPr>
          <w:noProof/>
        </w:rPr>
        <w:tab/>
        <w:t>Odchylně od odstavce 2 obsahuje první harmonizovaná zpráva vyplněné šablony s počtem zamítnutí za každý rok předcházející roku, v němž je zpráva předložena, počínaje obdobím od 26. října 2022 do 31. prosince 2022 za rok 2022.</w:t>
      </w:r>
    </w:p>
    <w:p w:rsidR="00AD7B15" w:rsidRPr="00DB7860" w:rsidRDefault="00AD7B15">
      <w:pPr>
        <w:spacing w:before="0" w:after="200" w:line="276" w:lineRule="auto"/>
        <w:jc w:val="left"/>
        <w:rPr>
          <w:noProof/>
        </w:rPr>
      </w:pPr>
      <w:r w:rsidRPr="00DB7860">
        <w:rPr>
          <w:noProof/>
        </w:rPr>
        <w:br w:type="page"/>
      </w:r>
    </w:p>
    <w:p w:rsidR="009713B0" w:rsidRPr="00DB7860" w:rsidRDefault="009713B0" w:rsidP="009713B0">
      <w:pPr>
        <w:pStyle w:val="Titrearticle"/>
        <w:rPr>
          <w:noProof/>
        </w:rPr>
      </w:pPr>
      <w:r w:rsidRPr="00DB7860">
        <w:rPr>
          <w:noProof/>
        </w:rPr>
        <w:t>Článek 3</w:t>
      </w:r>
    </w:p>
    <w:p w:rsidR="009713B0" w:rsidRPr="00DB7860" w:rsidRDefault="009713B0" w:rsidP="009713B0">
      <w:pPr>
        <w:jc w:val="center"/>
        <w:rPr>
          <w:b/>
          <w:bCs/>
          <w:noProof/>
        </w:rPr>
      </w:pPr>
      <w:r w:rsidRPr="00DB7860">
        <w:rPr>
          <w:b/>
          <w:noProof/>
        </w:rPr>
        <w:t>Formáty pro výměnu údajů a informace přiložené k předkládaným údajům</w:t>
      </w:r>
    </w:p>
    <w:p w:rsidR="009713B0" w:rsidRPr="00DB7860" w:rsidRDefault="009713B0" w:rsidP="009713B0">
      <w:pPr>
        <w:rPr>
          <w:noProof/>
        </w:rPr>
      </w:pPr>
      <w:r w:rsidRPr="00DB7860">
        <w:rPr>
          <w:noProof/>
        </w:rPr>
        <w:t>Poskytovatelé platebních služeb předkládají informace uvedené v článcích 1 a 2 tohoto nařízení ve formátech pro výměnu údajů a ve výkazech stanovených příslušnými orgány a řídí se definicí datových bodů z modelu datových bodů a pravidly pro ověřování, které jsou k dispozici na internetových stránkách orgánu EBA. Poskytovatelé platebních služeb dodržují tyto požadavky:</w:t>
      </w:r>
    </w:p>
    <w:p w:rsidR="009713B0" w:rsidRPr="00DB7860" w:rsidRDefault="00BF3864" w:rsidP="00BF3864">
      <w:pPr>
        <w:pStyle w:val="Point0"/>
        <w:rPr>
          <w:noProof/>
        </w:rPr>
      </w:pPr>
      <w:r>
        <w:rPr>
          <w:noProof/>
        </w:rPr>
        <w:t>a)</w:t>
      </w:r>
      <w:r>
        <w:rPr>
          <w:noProof/>
        </w:rPr>
        <w:tab/>
      </w:r>
      <w:r w:rsidR="009713B0" w:rsidRPr="00DB7860">
        <w:rPr>
          <w:noProof/>
        </w:rPr>
        <w:t>součástí předkládaných údajů nejsou informace, které nejsou vyžadovány nebo nejsou v daném případě relevantní;</w:t>
      </w:r>
    </w:p>
    <w:p w:rsidR="009713B0" w:rsidRPr="00DB7860" w:rsidRDefault="00BF3864" w:rsidP="00BF3864">
      <w:pPr>
        <w:pStyle w:val="Point0"/>
        <w:rPr>
          <w:noProof/>
        </w:rPr>
      </w:pPr>
      <w:r>
        <w:rPr>
          <w:noProof/>
        </w:rPr>
        <w:t>b)</w:t>
      </w:r>
      <w:r>
        <w:rPr>
          <w:noProof/>
        </w:rPr>
        <w:tab/>
      </w:r>
      <w:r w:rsidR="009713B0" w:rsidRPr="00DB7860">
        <w:rPr>
          <w:noProof/>
        </w:rPr>
        <w:t>číselné hodnoty se předkládají takto:</w:t>
      </w:r>
    </w:p>
    <w:p w:rsidR="009713B0" w:rsidRPr="00DB7860" w:rsidRDefault="0055071E" w:rsidP="009713B0">
      <w:pPr>
        <w:pStyle w:val="Point1"/>
        <w:rPr>
          <w:noProof/>
        </w:rPr>
      </w:pPr>
      <w:r w:rsidRPr="00DB7860">
        <w:rPr>
          <w:noProof/>
        </w:rPr>
        <w:t>i)</w:t>
      </w:r>
      <w:r w:rsidRPr="00DB7860">
        <w:rPr>
          <w:noProof/>
        </w:rPr>
        <w:tab/>
        <w:t>poskytovatelé platebních služeb vykazují datové body s údaji typu „peněžní částka“ s minimální přesností odpovídající tisícům jednotek;</w:t>
      </w:r>
    </w:p>
    <w:p w:rsidR="009713B0" w:rsidRPr="00DB7860" w:rsidRDefault="0055071E" w:rsidP="009713B0">
      <w:pPr>
        <w:pStyle w:val="Point1"/>
        <w:rPr>
          <w:noProof/>
        </w:rPr>
      </w:pPr>
      <w:r w:rsidRPr="00DB7860">
        <w:rPr>
          <w:noProof/>
        </w:rPr>
        <w:t>ii)</w:t>
      </w:r>
      <w:r w:rsidRPr="00DB7860">
        <w:rPr>
          <w:noProof/>
        </w:rPr>
        <w:tab/>
        <w:t>poskytovatelé platebních služeb při vykazování datových bodů s údaji typu „celé číslo“ nepoužívají desetinná místa a vykazují údaje s přesností odpovídající jednotkám.</w:t>
      </w:r>
    </w:p>
    <w:p w:rsidR="009713B0" w:rsidRPr="00DB7860" w:rsidRDefault="009713B0" w:rsidP="009713B0">
      <w:pPr>
        <w:pStyle w:val="Titrearticle"/>
        <w:rPr>
          <w:noProof/>
        </w:rPr>
      </w:pPr>
      <w:r w:rsidRPr="00DB7860">
        <w:rPr>
          <w:noProof/>
        </w:rPr>
        <w:t>Článek 4</w:t>
      </w:r>
    </w:p>
    <w:p w:rsidR="009713B0" w:rsidRPr="00DB7860" w:rsidRDefault="009713B0" w:rsidP="009713B0">
      <w:pPr>
        <w:jc w:val="center"/>
        <w:rPr>
          <w:noProof/>
        </w:rPr>
      </w:pPr>
      <w:r w:rsidRPr="00DB7860">
        <w:rPr>
          <w:b/>
          <w:noProof/>
        </w:rPr>
        <w:t>Vstup v platnost</w:t>
      </w:r>
    </w:p>
    <w:p w:rsidR="009713B0" w:rsidRPr="00DB7860" w:rsidRDefault="009713B0" w:rsidP="009713B0">
      <w:pPr>
        <w:rPr>
          <w:noProof/>
        </w:rPr>
      </w:pPr>
      <w:r w:rsidRPr="00DB7860">
        <w:rPr>
          <w:noProof/>
        </w:rPr>
        <w:t xml:space="preserve">Toto nařízení vstupuje v platnost dvacátým dnem po vyhlášení v </w:t>
      </w:r>
      <w:r w:rsidRPr="00DB7860">
        <w:rPr>
          <w:i/>
          <w:iCs/>
          <w:noProof/>
        </w:rPr>
        <w:t>Úředním věstníku Evropské unie</w:t>
      </w:r>
      <w:r w:rsidRPr="00DB7860">
        <w:rPr>
          <w:noProof/>
        </w:rPr>
        <w:t>.</w:t>
      </w:r>
    </w:p>
    <w:p w:rsidR="009713B0" w:rsidRPr="00DB7860" w:rsidRDefault="009713B0" w:rsidP="009713B0">
      <w:pPr>
        <w:pStyle w:val="Applicationdirecte"/>
        <w:rPr>
          <w:noProof/>
        </w:rPr>
      </w:pPr>
      <w:r w:rsidRPr="00DB7860">
        <w:rPr>
          <w:noProof/>
        </w:rPr>
        <w:t>Toto nařízení je závazné v celém rozsahu a přímo použitelné ve všech členských státech.</w:t>
      </w:r>
    </w:p>
    <w:p w:rsidR="009713B0" w:rsidRPr="00DB7860" w:rsidRDefault="006148A6" w:rsidP="004D3447">
      <w:pPr>
        <w:pStyle w:val="Fait"/>
        <w:rPr>
          <w:noProof/>
        </w:rPr>
      </w:pPr>
      <w:r>
        <w:rPr>
          <w:noProof/>
        </w:rPr>
        <w:t>V Bruselu dne 1.10.2025</w:t>
      </w:r>
    </w:p>
    <w:p w:rsidR="009713B0" w:rsidRPr="00DB7860" w:rsidRDefault="009713B0" w:rsidP="004D3447">
      <w:pPr>
        <w:pStyle w:val="Institutionquisigne"/>
        <w:rPr>
          <w:noProof/>
        </w:rPr>
      </w:pPr>
      <w:r w:rsidRPr="00DB7860">
        <w:rPr>
          <w:noProof/>
        </w:rPr>
        <w:tab/>
        <w:t>Za Komisi</w:t>
      </w:r>
    </w:p>
    <w:p w:rsidR="00FE7FED" w:rsidRPr="00DB7860" w:rsidRDefault="00990082" w:rsidP="009713B0">
      <w:pPr>
        <w:pStyle w:val="Personnequisigne"/>
        <w:rPr>
          <w:noProof/>
        </w:rPr>
      </w:pPr>
      <w:r>
        <w:rPr>
          <w:noProof/>
        </w:rPr>
        <w:tab/>
        <w:t>předsedkyně</w:t>
      </w:r>
      <w:r>
        <w:rPr>
          <w:noProof/>
        </w:rPr>
        <w:br/>
      </w:r>
      <w:r>
        <w:rPr>
          <w:noProof/>
        </w:rPr>
        <w:tab/>
        <w:t>Ursula VON DER LEYEN</w:t>
      </w:r>
    </w:p>
    <w:sectPr w:rsidR="00FE7FED" w:rsidRPr="00DB7860" w:rsidSect="0083067D">
      <w:headerReference w:type="even" r:id="rId18"/>
      <w:footerReference w:type="even" r:id="rId19"/>
      <w:footerReference w:type="default" r:id="rId20"/>
      <w:headerReference w:type="first" r:id="rId21"/>
      <w:footerReference w:type="first" r:id="rId22"/>
      <w:pgSz w:w="11907" w:h="16839"/>
      <w:pgMar w:top="1134"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3EBC" w:rsidRDefault="00973EBC" w:rsidP="00FE7FED">
      <w:pPr>
        <w:spacing w:before="0" w:after="0"/>
      </w:pPr>
      <w:r>
        <w:separator/>
      </w:r>
    </w:p>
  </w:endnote>
  <w:endnote w:type="continuationSeparator" w:id="0">
    <w:p w:rsidR="00973EBC" w:rsidRDefault="00973EBC" w:rsidP="00FE7FED">
      <w:pPr>
        <w:spacing w:before="0" w:after="0"/>
      </w:pPr>
      <w:r>
        <w:continuationSeparator/>
      </w:r>
    </w:p>
  </w:endnote>
  <w:endnote w:type="continuationNotice" w:id="1">
    <w:p w:rsidR="00973EBC" w:rsidRDefault="00973EB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067D" w:rsidRPr="0083067D" w:rsidRDefault="0083067D" w:rsidP="0083067D">
    <w:pPr>
      <w:pStyle w:val="Footer"/>
      <w:rPr>
        <w:rFonts w:ascii="Arial" w:hAnsi="Arial" w:cs="Arial"/>
        <w:b/>
        <w:sz w:val="48"/>
      </w:rPr>
    </w:pPr>
    <w:r w:rsidRPr="0083067D">
      <w:rPr>
        <w:rFonts w:ascii="Arial" w:hAnsi="Arial" w:cs="Arial"/>
        <w:b/>
        <w:sz w:val="48"/>
      </w:rPr>
      <w:t>CS</w:t>
    </w:r>
    <w:r w:rsidRPr="0083067D">
      <w:rPr>
        <w:rFonts w:ascii="Arial" w:hAnsi="Arial" w:cs="Arial"/>
        <w:b/>
        <w:sz w:val="48"/>
      </w:rPr>
      <w:tab/>
    </w:r>
    <w:r w:rsidRPr="0083067D">
      <w:rPr>
        <w:rFonts w:ascii="Arial" w:hAnsi="Arial" w:cs="Arial"/>
        <w:b/>
        <w:sz w:val="48"/>
      </w:rPr>
      <w:tab/>
    </w:r>
    <w:r w:rsidRPr="0083067D">
      <w:tab/>
    </w:r>
    <w:r w:rsidRPr="0083067D">
      <w:rPr>
        <w:rFonts w:ascii="Arial" w:hAnsi="Arial" w:cs="Arial"/>
        <w:b/>
        <w:sz w:val="48"/>
      </w:rPr>
      <w:t>CS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067D" w:rsidRPr="0083067D" w:rsidRDefault="0083067D" w:rsidP="0083067D">
    <w:pPr>
      <w:pStyle w:val="Footer"/>
      <w:rPr>
        <w:rFonts w:ascii="Arial" w:hAnsi="Arial" w:cs="Arial"/>
        <w:b/>
        <w:sz w:val="48"/>
      </w:rPr>
    </w:pPr>
    <w:r w:rsidRPr="0083067D">
      <w:rPr>
        <w:rFonts w:ascii="Arial" w:hAnsi="Arial" w:cs="Arial"/>
        <w:b/>
        <w:sz w:val="48"/>
      </w:rPr>
      <w:t>CS</w:t>
    </w:r>
    <w:r w:rsidRPr="0083067D">
      <w:rPr>
        <w:rFonts w:ascii="Arial" w:hAnsi="Arial" w:cs="Arial"/>
        <w:b/>
        <w:sz w:val="48"/>
      </w:rPr>
      <w:tab/>
    </w:r>
    <w:r w:rsidRPr="0083067D">
      <w:rPr>
        <w:rFonts w:ascii="Arial" w:hAnsi="Arial" w:cs="Arial"/>
        <w:b/>
        <w:sz w:val="48"/>
      </w:rPr>
      <w:tab/>
    </w:r>
    <w:r w:rsidRPr="0083067D">
      <w:tab/>
    </w:r>
    <w:r w:rsidRPr="0083067D">
      <w:rPr>
        <w:rFonts w:ascii="Arial" w:hAnsi="Arial" w:cs="Arial"/>
        <w:b/>
        <w:sz w:val="48"/>
      </w:rPr>
      <w:t>CS</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067D" w:rsidRPr="0083067D" w:rsidRDefault="0083067D" w:rsidP="0083067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067D" w:rsidRDefault="0083067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067D" w:rsidRPr="0083067D" w:rsidRDefault="0083067D" w:rsidP="0083067D">
    <w:pPr>
      <w:pStyle w:val="Footer"/>
      <w:rPr>
        <w:rFonts w:ascii="Arial" w:hAnsi="Arial" w:cs="Arial"/>
        <w:b/>
        <w:sz w:val="48"/>
      </w:rPr>
    </w:pPr>
    <w:r w:rsidRPr="0083067D">
      <w:rPr>
        <w:rFonts w:ascii="Arial" w:hAnsi="Arial" w:cs="Arial"/>
        <w:b/>
        <w:sz w:val="48"/>
      </w:rPr>
      <w:t>CS</w:t>
    </w:r>
    <w:r w:rsidRPr="0083067D">
      <w:rPr>
        <w:rFonts w:ascii="Arial" w:hAnsi="Arial" w:cs="Arial"/>
        <w:b/>
        <w:sz w:val="48"/>
      </w:rPr>
      <w:tab/>
    </w:r>
    <w:r>
      <w:fldChar w:fldCharType="begin"/>
    </w:r>
    <w:r>
      <w:instrText xml:space="preserve"> PAGE  \* MERGEFORMAT </w:instrText>
    </w:r>
    <w:r>
      <w:fldChar w:fldCharType="separate"/>
    </w:r>
    <w:r w:rsidR="004D3447">
      <w:rPr>
        <w:noProof/>
      </w:rPr>
      <w:t>4</w:t>
    </w:r>
    <w:r>
      <w:fldChar w:fldCharType="end"/>
    </w:r>
    <w:r>
      <w:tab/>
    </w:r>
    <w:r w:rsidRPr="0083067D">
      <w:tab/>
    </w:r>
    <w:r w:rsidRPr="0083067D">
      <w:rPr>
        <w:rFonts w:ascii="Arial" w:hAnsi="Arial" w:cs="Arial"/>
        <w:b/>
        <w:sz w:val="48"/>
      </w:rPr>
      <w:t>CS</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067D" w:rsidRDefault="0083067D" w:rsidP="008306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3EBC" w:rsidRDefault="00973EBC" w:rsidP="00FE7FED">
      <w:pPr>
        <w:spacing w:before="0" w:after="0"/>
      </w:pPr>
      <w:r>
        <w:separator/>
      </w:r>
    </w:p>
  </w:footnote>
  <w:footnote w:type="continuationSeparator" w:id="0">
    <w:p w:rsidR="00973EBC" w:rsidRDefault="00973EBC" w:rsidP="00FE7FED">
      <w:pPr>
        <w:spacing w:before="0" w:after="0"/>
      </w:pPr>
      <w:r>
        <w:continuationSeparator/>
      </w:r>
    </w:p>
  </w:footnote>
  <w:footnote w:type="continuationNotice" w:id="1">
    <w:p w:rsidR="00973EBC" w:rsidRDefault="00973EBC">
      <w:pPr>
        <w:spacing w:before="0" w:after="0"/>
      </w:pPr>
    </w:p>
  </w:footnote>
  <w:footnote w:id="2">
    <w:p w:rsidR="00A8350B" w:rsidRPr="00A20E96" w:rsidRDefault="00A8350B">
      <w:pPr>
        <w:pStyle w:val="FootnoteText"/>
      </w:pPr>
      <w:r>
        <w:rPr>
          <w:rStyle w:val="FootnoteReference"/>
        </w:rPr>
        <w:footnoteRef/>
      </w:r>
      <w:r>
        <w:tab/>
        <w:t xml:space="preserve">Úř. věst. L 94, 30.3.2012, s. 22, ELI: http://data.europa.eu/eli/reg/2012/260/oj. </w:t>
      </w:r>
    </w:p>
  </w:footnote>
  <w:footnote w:id="3">
    <w:p w:rsidR="00AD7B15" w:rsidRPr="00AD7B15" w:rsidRDefault="00AD7B15" w:rsidP="00D05942">
      <w:pPr>
        <w:pStyle w:val="FootnoteText"/>
        <w:ind w:left="0" w:firstLine="0"/>
      </w:pPr>
      <w:r>
        <w:rPr>
          <w:rStyle w:val="FootnoteReference"/>
        </w:rPr>
        <w:footnoteRef/>
      </w:r>
      <w:r>
        <w:tab/>
        <w:t>Nařízení Evropského parlamentu a Rady (EU) 2024/886 ze dne 13. března 2024, kterým se mění nařízení (EU) č. 260/2012 a (EU) 2021/1230 a směrnice 98/26/ES a (EU) 2015/2366, pokud jde o okamžité úhrady v eurech (Úř. věst. L, 2024/886, 19.3.2024, ELI: http://data.europa.eu/eli/reg/2024/886/oj).</w:t>
      </w:r>
    </w:p>
  </w:footnote>
  <w:footnote w:id="4">
    <w:p w:rsidR="009713B0" w:rsidRPr="00AD7B15" w:rsidRDefault="009713B0" w:rsidP="009713B0">
      <w:pPr>
        <w:pStyle w:val="FootnoteText"/>
      </w:pPr>
      <w:r>
        <w:rPr>
          <w:rStyle w:val="FootnoteReference"/>
        </w:rPr>
        <w:footnoteRef/>
      </w:r>
      <w:r>
        <w:tab/>
        <w:t>Nařízení Evropského parlamentu a Rady (EU) č. 1093/2010 ze dne 24. listopadu 2010 o zřízení Evropského orgánu dohledu (Evropského orgánu pro bankovnictví), o změně rozhodnutí č. 716/2009/ES a o zrušení rozhodnutí Komise 2009/78/ES (Úř. věst. L 331, 15.12.2010, s. 12, ELI: http://data.europa.eu/eli/reg/2010/1093/oj).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067D" w:rsidRPr="0083067D" w:rsidRDefault="0083067D" w:rsidP="008306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067D" w:rsidRPr="0083067D" w:rsidRDefault="0083067D" w:rsidP="008306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067D" w:rsidRPr="0083067D" w:rsidRDefault="0083067D" w:rsidP="0083067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067D" w:rsidRDefault="0083067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067D" w:rsidRDefault="008306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F9DE80BA"/>
    <w:lvl w:ilvl="0">
      <w:start w:val="1"/>
      <w:numFmt w:val="decimal"/>
      <w:pStyle w:val="ListNumber2"/>
      <w:lvlText w:val="%1."/>
      <w:lvlJc w:val="left"/>
      <w:pPr>
        <w:tabs>
          <w:tab w:val="num" w:pos="643"/>
        </w:tabs>
        <w:ind w:left="643" w:hanging="360"/>
      </w:pPr>
    </w:lvl>
  </w:abstractNum>
  <w:abstractNum w:abstractNumId="1" w15:restartNumberingAfterBreak="0">
    <w:nsid w:val="FFFFFF81"/>
    <w:multiLevelType w:val="singleLevel"/>
    <w:tmpl w:val="16C0063C"/>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7FDEC95E"/>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36CE0050"/>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8"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1"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3"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4"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5"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7"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9"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4"/>
  </w:num>
  <w:num w:numId="2">
    <w:abstractNumId w:val="19"/>
    <w:lvlOverride w:ilvl="0">
      <w:startOverride w:val="1"/>
    </w:lvlOverride>
  </w:num>
  <w:num w:numId="3">
    <w:abstractNumId w:val="3"/>
  </w:num>
  <w:num w:numId="4">
    <w:abstractNumId w:val="0"/>
  </w:num>
  <w:num w:numId="5">
    <w:abstractNumId w:val="2"/>
  </w:num>
  <w:num w:numId="6">
    <w:abstractNumId w:val="1"/>
  </w:num>
  <w:num w:numId="7">
    <w:abstractNumId w:val="16"/>
  </w:num>
  <w:num w:numId="8">
    <w:abstractNumId w:val="9"/>
  </w:num>
  <w:num w:numId="9">
    <w:abstractNumId w:val="18"/>
  </w:num>
  <w:num w:numId="10">
    <w:abstractNumId w:val="8"/>
  </w:num>
  <w:num w:numId="11">
    <w:abstractNumId w:val="10"/>
  </w:num>
  <w:num w:numId="12">
    <w:abstractNumId w:val="11"/>
  </w:num>
  <w:num w:numId="13">
    <w:abstractNumId w:val="6"/>
  </w:num>
  <w:num w:numId="14">
    <w:abstractNumId w:val="17"/>
  </w:num>
  <w:num w:numId="15">
    <w:abstractNumId w:val="5"/>
  </w:num>
  <w:num w:numId="16">
    <w:abstractNumId w:val="12"/>
  </w:num>
  <w:num w:numId="17">
    <w:abstractNumId w:val="14"/>
  </w:num>
  <w:num w:numId="18">
    <w:abstractNumId w:val="15"/>
  </w:num>
  <w:num w:numId="19">
    <w:abstractNumId w:val="7"/>
  </w:num>
  <w:num w:numId="20">
    <w:abstractNumId w:val="13"/>
  </w:num>
  <w:num w:numId="21">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5-09-30 17:22:34"/>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E5D9398E-DBBD-492B-9D2D-D5BDDC396FE1"/>
    <w:docVar w:name="LW_COVERPAGE_TYPE" w:val="1"/>
    <w:docVar w:name="LW_CreatedUtc" w:val="2025-02-25T08:25:43.0388982Z"/>
    <w:docVar w:name="LW_CROSSREFERENCE" w:val="&lt;UNUSED&gt;"/>
    <w:docVar w:name="LW_DATE.ADOPT.CP" w:val="ze dne 1.10.2025,"/>
    <w:docVar w:name="LW_DATE.ADOPT.CP_DATEFORMAT" w:val="ze dne %DATE%,"/>
    <w:docVar w:name="LW_DATE.ADOPT.CP_ISODATE" w:val="2025-10-01"/>
    <w:docVar w:name="LW_DocType" w:val="COM"/>
    <w:docVar w:name="LW_EMISSION" w:val="1.10.2025"/>
    <w:docVar w:name="LW_EMISSION_ISODATE" w:val="2025-10-01"/>
    <w:docVar w:name="LW_EMISSION_LOCATION" w:val="BRX"/>
    <w:docVar w:name="LW_EMISSION_PREFIX" w:val="V Bruselu dne "/>
    <w:docVar w:name="LW_EMISSION_SUFFIX" w:val=" "/>
    <w:docVar w:name="LW_ID_DOCMODEL" w:val="SJ-004"/>
    <w:docVar w:name="LW_ID_DOCSIGNATURE" w:val="SJ-004"/>
    <w:docVar w:name="LW_ID_DOCSTRUCTURE" w:val="COM/AA"/>
    <w:docVar w:name="LW_ID_DOCTYPE" w:val="SJ-004"/>
    <w:docVar w:name="LW_INTERETEEE.CP" w:val="&lt;UNUSED&gt;"/>
    <w:docVar w:name="LW_LANGUE" w:val="CS"/>
    <w:docVar w:name="LW_LANGUESFAISANTFOI.CP" w:val="&lt;UNUSED&gt;"/>
    <w:docVar w:name="LW_LEVEL_OF_SENSITIVITY" w:val="Standard treatment"/>
    <w:docVar w:name="LW_NOM.INST" w:val="EVROPSKÁ KOMISE"/>
    <w:docVar w:name="LW_NOM.INST_JOINTDOC" w:val="&lt;EMPTY&gt;"/>
    <w:docVar w:name="LW_PART_NBR" w:val="1"/>
    <w:docVar w:name="LW_PART_NBR_TOTAL" w:val="1"/>
    <w:docVar w:name="LW_REF.INST.NEW" w:val="C"/>
    <w:docVar w:name="LW_REF.INST.NEW_ADOPTED" w:val="final"/>
    <w:docVar w:name="LW_REF.INST.NEW_TEXT" w:val="(2025) 657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kterým se stanoví provád\u283?cí technické normy pro uplat\u328?ování na\u345?ízení Evropského parlamentu a Rady (EU) \u269?. 260/2012, pokud jde o jednotné \u353?ablony pro podávání zpráv a o pokyny a metodiku pro vykazování vý\u353?e poplatk\u367? za úhrady, okam\u382?ité úhrady a platební ú\u269?ty a podílu zamítnutých transakcí"/>
    <w:docVar w:name="LW_TYPE.DOC.CP" w:val="PROVÁD\u282?CÍ NA\u344?ÍZENÍ KOMISE (EU) \u8230?/..."/>
    <w:docVar w:name="LwApiVersions" w:val="LW4CoDe 1.24.5.0; LW 9.0, Build 20240221"/>
  </w:docVars>
  <w:rsids>
    <w:rsidRoot w:val="00FE7FED"/>
    <w:rsid w:val="00001BC7"/>
    <w:rsid w:val="000066ED"/>
    <w:rsid w:val="000068B4"/>
    <w:rsid w:val="000079A5"/>
    <w:rsid w:val="00014C12"/>
    <w:rsid w:val="00016168"/>
    <w:rsid w:val="00025818"/>
    <w:rsid w:val="0002592C"/>
    <w:rsid w:val="0002598B"/>
    <w:rsid w:val="00033F48"/>
    <w:rsid w:val="000373AB"/>
    <w:rsid w:val="000421B5"/>
    <w:rsid w:val="00042488"/>
    <w:rsid w:val="0004347B"/>
    <w:rsid w:val="00047478"/>
    <w:rsid w:val="000504E3"/>
    <w:rsid w:val="0006406A"/>
    <w:rsid w:val="000642D0"/>
    <w:rsid w:val="00072E61"/>
    <w:rsid w:val="0007396B"/>
    <w:rsid w:val="000744DD"/>
    <w:rsid w:val="00075170"/>
    <w:rsid w:val="000758A1"/>
    <w:rsid w:val="000768B7"/>
    <w:rsid w:val="0008161A"/>
    <w:rsid w:val="0008224E"/>
    <w:rsid w:val="000847C4"/>
    <w:rsid w:val="00096BAD"/>
    <w:rsid w:val="000A4172"/>
    <w:rsid w:val="000A4298"/>
    <w:rsid w:val="000A454E"/>
    <w:rsid w:val="000B2C1B"/>
    <w:rsid w:val="000B7C50"/>
    <w:rsid w:val="000C0B38"/>
    <w:rsid w:val="000C387D"/>
    <w:rsid w:val="000C449F"/>
    <w:rsid w:val="000C4F0E"/>
    <w:rsid w:val="000D043A"/>
    <w:rsid w:val="000D1771"/>
    <w:rsid w:val="000D391D"/>
    <w:rsid w:val="000D5A8B"/>
    <w:rsid w:val="000D6822"/>
    <w:rsid w:val="000E08FA"/>
    <w:rsid w:val="000E15A7"/>
    <w:rsid w:val="000E50E2"/>
    <w:rsid w:val="000E7CB2"/>
    <w:rsid w:val="000F0AA0"/>
    <w:rsid w:val="000F26D8"/>
    <w:rsid w:val="000F4AF6"/>
    <w:rsid w:val="001030E9"/>
    <w:rsid w:val="00104199"/>
    <w:rsid w:val="001065F5"/>
    <w:rsid w:val="001066B5"/>
    <w:rsid w:val="0010750E"/>
    <w:rsid w:val="00114B61"/>
    <w:rsid w:val="0011705A"/>
    <w:rsid w:val="00117E87"/>
    <w:rsid w:val="001238EF"/>
    <w:rsid w:val="00123A96"/>
    <w:rsid w:val="00124229"/>
    <w:rsid w:val="001254D0"/>
    <w:rsid w:val="00126A52"/>
    <w:rsid w:val="001309E5"/>
    <w:rsid w:val="00130A11"/>
    <w:rsid w:val="0013354A"/>
    <w:rsid w:val="00136075"/>
    <w:rsid w:val="00140C92"/>
    <w:rsid w:val="00141111"/>
    <w:rsid w:val="00141C39"/>
    <w:rsid w:val="00142A94"/>
    <w:rsid w:val="00143368"/>
    <w:rsid w:val="0014583F"/>
    <w:rsid w:val="00145DAF"/>
    <w:rsid w:val="001475E9"/>
    <w:rsid w:val="00150298"/>
    <w:rsid w:val="001519B1"/>
    <w:rsid w:val="00152432"/>
    <w:rsid w:val="00153975"/>
    <w:rsid w:val="00153E27"/>
    <w:rsid w:val="00154745"/>
    <w:rsid w:val="00154E88"/>
    <w:rsid w:val="00154ED4"/>
    <w:rsid w:val="00155F1D"/>
    <w:rsid w:val="00156590"/>
    <w:rsid w:val="00160FDD"/>
    <w:rsid w:val="0016376B"/>
    <w:rsid w:val="0016398E"/>
    <w:rsid w:val="001721CC"/>
    <w:rsid w:val="00180D6D"/>
    <w:rsid w:val="001840A1"/>
    <w:rsid w:val="001913B0"/>
    <w:rsid w:val="00191CEA"/>
    <w:rsid w:val="00197613"/>
    <w:rsid w:val="001A1FA1"/>
    <w:rsid w:val="001A5381"/>
    <w:rsid w:val="001A6744"/>
    <w:rsid w:val="001A7B61"/>
    <w:rsid w:val="001B081E"/>
    <w:rsid w:val="001C0071"/>
    <w:rsid w:val="001C3C75"/>
    <w:rsid w:val="001C6408"/>
    <w:rsid w:val="001C7C6B"/>
    <w:rsid w:val="001D08D6"/>
    <w:rsid w:val="001D6BB7"/>
    <w:rsid w:val="001E0062"/>
    <w:rsid w:val="001E0D07"/>
    <w:rsid w:val="001F78E3"/>
    <w:rsid w:val="00203CF1"/>
    <w:rsid w:val="002102D8"/>
    <w:rsid w:val="00210337"/>
    <w:rsid w:val="00215208"/>
    <w:rsid w:val="002174F2"/>
    <w:rsid w:val="00220F9F"/>
    <w:rsid w:val="0022745F"/>
    <w:rsid w:val="00227D76"/>
    <w:rsid w:val="00230E4C"/>
    <w:rsid w:val="00232FDF"/>
    <w:rsid w:val="002339C3"/>
    <w:rsid w:val="00233DC7"/>
    <w:rsid w:val="0023679A"/>
    <w:rsid w:val="00240C3D"/>
    <w:rsid w:val="00244629"/>
    <w:rsid w:val="002464E8"/>
    <w:rsid w:val="00247779"/>
    <w:rsid w:val="00251C02"/>
    <w:rsid w:val="00251D78"/>
    <w:rsid w:val="002537B3"/>
    <w:rsid w:val="00253A7F"/>
    <w:rsid w:val="00255D10"/>
    <w:rsid w:val="00260F3C"/>
    <w:rsid w:val="002614D0"/>
    <w:rsid w:val="002619F9"/>
    <w:rsid w:val="00262DE1"/>
    <w:rsid w:val="00264615"/>
    <w:rsid w:val="00270578"/>
    <w:rsid w:val="00281B09"/>
    <w:rsid w:val="00285BEE"/>
    <w:rsid w:val="00287FAC"/>
    <w:rsid w:val="00293F82"/>
    <w:rsid w:val="0029533F"/>
    <w:rsid w:val="002A2EE8"/>
    <w:rsid w:val="002A5779"/>
    <w:rsid w:val="002A5E80"/>
    <w:rsid w:val="002B1522"/>
    <w:rsid w:val="002B30AF"/>
    <w:rsid w:val="002B4662"/>
    <w:rsid w:val="002C0286"/>
    <w:rsid w:val="002C10B5"/>
    <w:rsid w:val="002C1A4F"/>
    <w:rsid w:val="002C5B13"/>
    <w:rsid w:val="002D2CC4"/>
    <w:rsid w:val="002D3A91"/>
    <w:rsid w:val="002D6964"/>
    <w:rsid w:val="002E15CA"/>
    <w:rsid w:val="002E2315"/>
    <w:rsid w:val="002E3165"/>
    <w:rsid w:val="002E53A7"/>
    <w:rsid w:val="002F1C71"/>
    <w:rsid w:val="002F1EE7"/>
    <w:rsid w:val="002F4C83"/>
    <w:rsid w:val="00303696"/>
    <w:rsid w:val="00311576"/>
    <w:rsid w:val="003119D5"/>
    <w:rsid w:val="00311E05"/>
    <w:rsid w:val="00316FD9"/>
    <w:rsid w:val="003213CE"/>
    <w:rsid w:val="003253A9"/>
    <w:rsid w:val="0033033C"/>
    <w:rsid w:val="00331F2E"/>
    <w:rsid w:val="003327E2"/>
    <w:rsid w:val="0033344A"/>
    <w:rsid w:val="00333E44"/>
    <w:rsid w:val="00335395"/>
    <w:rsid w:val="003429AC"/>
    <w:rsid w:val="00342B4F"/>
    <w:rsid w:val="003444B9"/>
    <w:rsid w:val="00345DA0"/>
    <w:rsid w:val="00350A45"/>
    <w:rsid w:val="003525DD"/>
    <w:rsid w:val="00352F0E"/>
    <w:rsid w:val="00354C7E"/>
    <w:rsid w:val="00356ADE"/>
    <w:rsid w:val="00361593"/>
    <w:rsid w:val="00361846"/>
    <w:rsid w:val="00365042"/>
    <w:rsid w:val="003657C0"/>
    <w:rsid w:val="00365DE4"/>
    <w:rsid w:val="00374796"/>
    <w:rsid w:val="003803FC"/>
    <w:rsid w:val="00380DD8"/>
    <w:rsid w:val="00383FF9"/>
    <w:rsid w:val="00385766"/>
    <w:rsid w:val="00386A30"/>
    <w:rsid w:val="003904C2"/>
    <w:rsid w:val="00395A2F"/>
    <w:rsid w:val="0039723A"/>
    <w:rsid w:val="003975E5"/>
    <w:rsid w:val="003A0056"/>
    <w:rsid w:val="003A5115"/>
    <w:rsid w:val="003B549F"/>
    <w:rsid w:val="003B57CD"/>
    <w:rsid w:val="003B5A1D"/>
    <w:rsid w:val="003B7CFF"/>
    <w:rsid w:val="003C1B52"/>
    <w:rsid w:val="003C33CB"/>
    <w:rsid w:val="003C4CAE"/>
    <w:rsid w:val="003D371C"/>
    <w:rsid w:val="003D73DF"/>
    <w:rsid w:val="003E167C"/>
    <w:rsid w:val="003E20D2"/>
    <w:rsid w:val="003E4FA2"/>
    <w:rsid w:val="003E5CF0"/>
    <w:rsid w:val="003F018F"/>
    <w:rsid w:val="003F0EC5"/>
    <w:rsid w:val="003F1E03"/>
    <w:rsid w:val="003F4C4E"/>
    <w:rsid w:val="004019E8"/>
    <w:rsid w:val="00403029"/>
    <w:rsid w:val="00404CFA"/>
    <w:rsid w:val="00405044"/>
    <w:rsid w:val="00411FBF"/>
    <w:rsid w:val="00412F99"/>
    <w:rsid w:val="00412FDD"/>
    <w:rsid w:val="00415B42"/>
    <w:rsid w:val="004163A8"/>
    <w:rsid w:val="00421245"/>
    <w:rsid w:val="0042648E"/>
    <w:rsid w:val="00427029"/>
    <w:rsid w:val="00427E22"/>
    <w:rsid w:val="00431B0E"/>
    <w:rsid w:val="00432F41"/>
    <w:rsid w:val="0043372F"/>
    <w:rsid w:val="004425F3"/>
    <w:rsid w:val="004442AF"/>
    <w:rsid w:val="00444B3C"/>
    <w:rsid w:val="0045254B"/>
    <w:rsid w:val="00452C9A"/>
    <w:rsid w:val="00455F8A"/>
    <w:rsid w:val="00460097"/>
    <w:rsid w:val="00461F43"/>
    <w:rsid w:val="00462A07"/>
    <w:rsid w:val="00463137"/>
    <w:rsid w:val="00464680"/>
    <w:rsid w:val="00466E33"/>
    <w:rsid w:val="0047014B"/>
    <w:rsid w:val="004711D5"/>
    <w:rsid w:val="00472FD8"/>
    <w:rsid w:val="00477A35"/>
    <w:rsid w:val="00477CD9"/>
    <w:rsid w:val="00481E97"/>
    <w:rsid w:val="004822DC"/>
    <w:rsid w:val="004853C6"/>
    <w:rsid w:val="004868D0"/>
    <w:rsid w:val="004871A7"/>
    <w:rsid w:val="004901D3"/>
    <w:rsid w:val="004936D2"/>
    <w:rsid w:val="00497ECB"/>
    <w:rsid w:val="004A4894"/>
    <w:rsid w:val="004A7134"/>
    <w:rsid w:val="004B03D1"/>
    <w:rsid w:val="004B2FFA"/>
    <w:rsid w:val="004C5916"/>
    <w:rsid w:val="004C60B0"/>
    <w:rsid w:val="004C635B"/>
    <w:rsid w:val="004C79F1"/>
    <w:rsid w:val="004D084C"/>
    <w:rsid w:val="004D3447"/>
    <w:rsid w:val="004D4226"/>
    <w:rsid w:val="004E047A"/>
    <w:rsid w:val="004E1BAA"/>
    <w:rsid w:val="004E2937"/>
    <w:rsid w:val="004E572C"/>
    <w:rsid w:val="004E7796"/>
    <w:rsid w:val="004F15B9"/>
    <w:rsid w:val="00501867"/>
    <w:rsid w:val="0050376F"/>
    <w:rsid w:val="00503AAA"/>
    <w:rsid w:val="00507BC8"/>
    <w:rsid w:val="00520101"/>
    <w:rsid w:val="00520EC8"/>
    <w:rsid w:val="00523CF7"/>
    <w:rsid w:val="0052515F"/>
    <w:rsid w:val="005261A7"/>
    <w:rsid w:val="00530551"/>
    <w:rsid w:val="00531AAF"/>
    <w:rsid w:val="00532147"/>
    <w:rsid w:val="005330E9"/>
    <w:rsid w:val="005347DC"/>
    <w:rsid w:val="00535135"/>
    <w:rsid w:val="00536042"/>
    <w:rsid w:val="005423FA"/>
    <w:rsid w:val="00542EE6"/>
    <w:rsid w:val="005432C7"/>
    <w:rsid w:val="005450B1"/>
    <w:rsid w:val="0055071E"/>
    <w:rsid w:val="00551113"/>
    <w:rsid w:val="00551319"/>
    <w:rsid w:val="0056023D"/>
    <w:rsid w:val="00561BB5"/>
    <w:rsid w:val="00561C47"/>
    <w:rsid w:val="00561ED7"/>
    <w:rsid w:val="00564B4F"/>
    <w:rsid w:val="00565BEF"/>
    <w:rsid w:val="00566B29"/>
    <w:rsid w:val="00566E44"/>
    <w:rsid w:val="00570ADD"/>
    <w:rsid w:val="00570C41"/>
    <w:rsid w:val="00571DF5"/>
    <w:rsid w:val="00574D2C"/>
    <w:rsid w:val="00576696"/>
    <w:rsid w:val="00582116"/>
    <w:rsid w:val="00596FA4"/>
    <w:rsid w:val="005A206D"/>
    <w:rsid w:val="005A31F7"/>
    <w:rsid w:val="005A5967"/>
    <w:rsid w:val="005B1EB6"/>
    <w:rsid w:val="005B4B70"/>
    <w:rsid w:val="005B5F79"/>
    <w:rsid w:val="005B7A9C"/>
    <w:rsid w:val="005C1F32"/>
    <w:rsid w:val="005C23A8"/>
    <w:rsid w:val="005C2C67"/>
    <w:rsid w:val="005C58BF"/>
    <w:rsid w:val="005C5BEE"/>
    <w:rsid w:val="005D090B"/>
    <w:rsid w:val="005D2EB4"/>
    <w:rsid w:val="005D4C37"/>
    <w:rsid w:val="005D67F4"/>
    <w:rsid w:val="005E141A"/>
    <w:rsid w:val="00602DFC"/>
    <w:rsid w:val="006033A9"/>
    <w:rsid w:val="00604C25"/>
    <w:rsid w:val="0060533B"/>
    <w:rsid w:val="0060742C"/>
    <w:rsid w:val="00612113"/>
    <w:rsid w:val="006148A6"/>
    <w:rsid w:val="006158F4"/>
    <w:rsid w:val="006162FE"/>
    <w:rsid w:val="00620589"/>
    <w:rsid w:val="00626B53"/>
    <w:rsid w:val="00626E74"/>
    <w:rsid w:val="006307D8"/>
    <w:rsid w:val="00633C43"/>
    <w:rsid w:val="00637401"/>
    <w:rsid w:val="00637578"/>
    <w:rsid w:val="00637A53"/>
    <w:rsid w:val="00642ABC"/>
    <w:rsid w:val="006443C4"/>
    <w:rsid w:val="0064496B"/>
    <w:rsid w:val="00645810"/>
    <w:rsid w:val="00653EFF"/>
    <w:rsid w:val="006563C0"/>
    <w:rsid w:val="00670C78"/>
    <w:rsid w:val="00672EFA"/>
    <w:rsid w:val="00674252"/>
    <w:rsid w:val="00674AAE"/>
    <w:rsid w:val="00676C8D"/>
    <w:rsid w:val="0067704C"/>
    <w:rsid w:val="00677FED"/>
    <w:rsid w:val="0068377C"/>
    <w:rsid w:val="00684931"/>
    <w:rsid w:val="00686892"/>
    <w:rsid w:val="0069142A"/>
    <w:rsid w:val="006914F4"/>
    <w:rsid w:val="00691552"/>
    <w:rsid w:val="0069173A"/>
    <w:rsid w:val="0069225A"/>
    <w:rsid w:val="00692762"/>
    <w:rsid w:val="00694295"/>
    <w:rsid w:val="006960A4"/>
    <w:rsid w:val="006A2582"/>
    <w:rsid w:val="006A44B8"/>
    <w:rsid w:val="006A6123"/>
    <w:rsid w:val="006A74A3"/>
    <w:rsid w:val="006B0215"/>
    <w:rsid w:val="006B62A8"/>
    <w:rsid w:val="006B7EB5"/>
    <w:rsid w:val="006C06F3"/>
    <w:rsid w:val="006C4B71"/>
    <w:rsid w:val="006E28FD"/>
    <w:rsid w:val="006E39FA"/>
    <w:rsid w:val="006E5C4A"/>
    <w:rsid w:val="006E64E5"/>
    <w:rsid w:val="006E6B2D"/>
    <w:rsid w:val="006E78FA"/>
    <w:rsid w:val="006E7992"/>
    <w:rsid w:val="006E7F11"/>
    <w:rsid w:val="006F0053"/>
    <w:rsid w:val="006F089E"/>
    <w:rsid w:val="006F0FDC"/>
    <w:rsid w:val="006F11CC"/>
    <w:rsid w:val="006F68C4"/>
    <w:rsid w:val="006F7400"/>
    <w:rsid w:val="00700210"/>
    <w:rsid w:val="00706DDD"/>
    <w:rsid w:val="00706E59"/>
    <w:rsid w:val="0071264F"/>
    <w:rsid w:val="007147E3"/>
    <w:rsid w:val="00720C74"/>
    <w:rsid w:val="00722EF3"/>
    <w:rsid w:val="00724289"/>
    <w:rsid w:val="00726798"/>
    <w:rsid w:val="00726A58"/>
    <w:rsid w:val="00727E53"/>
    <w:rsid w:val="00734A8B"/>
    <w:rsid w:val="00734D8A"/>
    <w:rsid w:val="00735833"/>
    <w:rsid w:val="00736120"/>
    <w:rsid w:val="00737F09"/>
    <w:rsid w:val="007406AE"/>
    <w:rsid w:val="00743ADA"/>
    <w:rsid w:val="00743E70"/>
    <w:rsid w:val="00745A56"/>
    <w:rsid w:val="007464B1"/>
    <w:rsid w:val="00750F39"/>
    <w:rsid w:val="00752C41"/>
    <w:rsid w:val="00755584"/>
    <w:rsid w:val="0075651E"/>
    <w:rsid w:val="007605D9"/>
    <w:rsid w:val="00761345"/>
    <w:rsid w:val="00764A2C"/>
    <w:rsid w:val="00770A0E"/>
    <w:rsid w:val="00770C5B"/>
    <w:rsid w:val="00773331"/>
    <w:rsid w:val="00774B57"/>
    <w:rsid w:val="007809A1"/>
    <w:rsid w:val="00780FEA"/>
    <w:rsid w:val="007836A8"/>
    <w:rsid w:val="00787878"/>
    <w:rsid w:val="00792105"/>
    <w:rsid w:val="007932EF"/>
    <w:rsid w:val="007951B8"/>
    <w:rsid w:val="007A16D3"/>
    <w:rsid w:val="007A4891"/>
    <w:rsid w:val="007B1166"/>
    <w:rsid w:val="007B118F"/>
    <w:rsid w:val="007B5227"/>
    <w:rsid w:val="007B758B"/>
    <w:rsid w:val="007C059D"/>
    <w:rsid w:val="007C17A2"/>
    <w:rsid w:val="007C470E"/>
    <w:rsid w:val="007C493D"/>
    <w:rsid w:val="007D150D"/>
    <w:rsid w:val="007D3B08"/>
    <w:rsid w:val="007D4717"/>
    <w:rsid w:val="007D6756"/>
    <w:rsid w:val="007E05B0"/>
    <w:rsid w:val="007E601F"/>
    <w:rsid w:val="007E6EFD"/>
    <w:rsid w:val="007E71CE"/>
    <w:rsid w:val="007E7C74"/>
    <w:rsid w:val="007F104A"/>
    <w:rsid w:val="007F4E83"/>
    <w:rsid w:val="007F4F35"/>
    <w:rsid w:val="00800ACB"/>
    <w:rsid w:val="00801E87"/>
    <w:rsid w:val="00802964"/>
    <w:rsid w:val="00804319"/>
    <w:rsid w:val="00805CF7"/>
    <w:rsid w:val="00805ED6"/>
    <w:rsid w:val="00806337"/>
    <w:rsid w:val="00807467"/>
    <w:rsid w:val="008101A8"/>
    <w:rsid w:val="0081488B"/>
    <w:rsid w:val="00816042"/>
    <w:rsid w:val="00816AFC"/>
    <w:rsid w:val="00817CF7"/>
    <w:rsid w:val="008231E0"/>
    <w:rsid w:val="00827C4D"/>
    <w:rsid w:val="0083038A"/>
    <w:rsid w:val="0083067D"/>
    <w:rsid w:val="0083128A"/>
    <w:rsid w:val="0083272F"/>
    <w:rsid w:val="00835D9A"/>
    <w:rsid w:val="0083730D"/>
    <w:rsid w:val="00840128"/>
    <w:rsid w:val="008413EA"/>
    <w:rsid w:val="00841AE1"/>
    <w:rsid w:val="00847508"/>
    <w:rsid w:val="008525C0"/>
    <w:rsid w:val="008553FF"/>
    <w:rsid w:val="00865668"/>
    <w:rsid w:val="00865D84"/>
    <w:rsid w:val="008664F6"/>
    <w:rsid w:val="0087059E"/>
    <w:rsid w:val="00874D22"/>
    <w:rsid w:val="00877882"/>
    <w:rsid w:val="00880425"/>
    <w:rsid w:val="00881518"/>
    <w:rsid w:val="0088282D"/>
    <w:rsid w:val="00883037"/>
    <w:rsid w:val="008836F9"/>
    <w:rsid w:val="00886942"/>
    <w:rsid w:val="00887571"/>
    <w:rsid w:val="00890216"/>
    <w:rsid w:val="00890246"/>
    <w:rsid w:val="00891706"/>
    <w:rsid w:val="00893DA7"/>
    <w:rsid w:val="008A2914"/>
    <w:rsid w:val="008B0DB8"/>
    <w:rsid w:val="008B5ADE"/>
    <w:rsid w:val="008B6C23"/>
    <w:rsid w:val="008C0AC8"/>
    <w:rsid w:val="008C258F"/>
    <w:rsid w:val="008C29E2"/>
    <w:rsid w:val="008C2B35"/>
    <w:rsid w:val="008C386A"/>
    <w:rsid w:val="008C4818"/>
    <w:rsid w:val="008C486C"/>
    <w:rsid w:val="008C4B71"/>
    <w:rsid w:val="008C5385"/>
    <w:rsid w:val="008C6C71"/>
    <w:rsid w:val="008C7227"/>
    <w:rsid w:val="008D2B36"/>
    <w:rsid w:val="008D2E1C"/>
    <w:rsid w:val="008D68E8"/>
    <w:rsid w:val="008E17A3"/>
    <w:rsid w:val="008E1A3A"/>
    <w:rsid w:val="008E4D8E"/>
    <w:rsid w:val="008E4DD2"/>
    <w:rsid w:val="008E5C8A"/>
    <w:rsid w:val="008E6BEE"/>
    <w:rsid w:val="008F0117"/>
    <w:rsid w:val="008F0F5E"/>
    <w:rsid w:val="008F5762"/>
    <w:rsid w:val="00900DD3"/>
    <w:rsid w:val="009013F8"/>
    <w:rsid w:val="00911C72"/>
    <w:rsid w:val="00912850"/>
    <w:rsid w:val="00914C54"/>
    <w:rsid w:val="0091508E"/>
    <w:rsid w:val="00915816"/>
    <w:rsid w:val="009203A5"/>
    <w:rsid w:val="00925CEE"/>
    <w:rsid w:val="00930421"/>
    <w:rsid w:val="00930648"/>
    <w:rsid w:val="00933431"/>
    <w:rsid w:val="00936D2B"/>
    <w:rsid w:val="0094211A"/>
    <w:rsid w:val="00944EE3"/>
    <w:rsid w:val="0094607C"/>
    <w:rsid w:val="00947057"/>
    <w:rsid w:val="00951211"/>
    <w:rsid w:val="00952943"/>
    <w:rsid w:val="009537E1"/>
    <w:rsid w:val="00953813"/>
    <w:rsid w:val="00954A2A"/>
    <w:rsid w:val="00957327"/>
    <w:rsid w:val="00957789"/>
    <w:rsid w:val="00960C4B"/>
    <w:rsid w:val="009638BD"/>
    <w:rsid w:val="0096627D"/>
    <w:rsid w:val="009664CD"/>
    <w:rsid w:val="009713B0"/>
    <w:rsid w:val="00971653"/>
    <w:rsid w:val="009724F4"/>
    <w:rsid w:val="00973EBC"/>
    <w:rsid w:val="00976DB6"/>
    <w:rsid w:val="00980990"/>
    <w:rsid w:val="0098199B"/>
    <w:rsid w:val="009850E8"/>
    <w:rsid w:val="00986335"/>
    <w:rsid w:val="00986892"/>
    <w:rsid w:val="00990082"/>
    <w:rsid w:val="009927FD"/>
    <w:rsid w:val="00994CA3"/>
    <w:rsid w:val="00996030"/>
    <w:rsid w:val="0099612E"/>
    <w:rsid w:val="0099719C"/>
    <w:rsid w:val="009A2B3E"/>
    <w:rsid w:val="009B28D4"/>
    <w:rsid w:val="009C1173"/>
    <w:rsid w:val="009C6440"/>
    <w:rsid w:val="009C69FE"/>
    <w:rsid w:val="009D1DF0"/>
    <w:rsid w:val="009D60FA"/>
    <w:rsid w:val="009D7A56"/>
    <w:rsid w:val="009E1471"/>
    <w:rsid w:val="009E14C2"/>
    <w:rsid w:val="009E1AC1"/>
    <w:rsid w:val="009E4560"/>
    <w:rsid w:val="009F1CCA"/>
    <w:rsid w:val="009F2458"/>
    <w:rsid w:val="009F531D"/>
    <w:rsid w:val="009F5DB9"/>
    <w:rsid w:val="009F7E43"/>
    <w:rsid w:val="00A008CD"/>
    <w:rsid w:val="00A02384"/>
    <w:rsid w:val="00A0408F"/>
    <w:rsid w:val="00A05D20"/>
    <w:rsid w:val="00A06E20"/>
    <w:rsid w:val="00A10562"/>
    <w:rsid w:val="00A11DC5"/>
    <w:rsid w:val="00A121B1"/>
    <w:rsid w:val="00A125DA"/>
    <w:rsid w:val="00A1626C"/>
    <w:rsid w:val="00A17923"/>
    <w:rsid w:val="00A20E96"/>
    <w:rsid w:val="00A24555"/>
    <w:rsid w:val="00A31053"/>
    <w:rsid w:val="00A369EE"/>
    <w:rsid w:val="00A409A9"/>
    <w:rsid w:val="00A43A59"/>
    <w:rsid w:val="00A514E3"/>
    <w:rsid w:val="00A51981"/>
    <w:rsid w:val="00A54C7E"/>
    <w:rsid w:val="00A55753"/>
    <w:rsid w:val="00A607D3"/>
    <w:rsid w:val="00A61EB7"/>
    <w:rsid w:val="00A62121"/>
    <w:rsid w:val="00A6338B"/>
    <w:rsid w:val="00A71A56"/>
    <w:rsid w:val="00A72B2F"/>
    <w:rsid w:val="00A744A9"/>
    <w:rsid w:val="00A75188"/>
    <w:rsid w:val="00A80233"/>
    <w:rsid w:val="00A813B3"/>
    <w:rsid w:val="00A8350B"/>
    <w:rsid w:val="00A8635C"/>
    <w:rsid w:val="00AA2317"/>
    <w:rsid w:val="00AA3CA4"/>
    <w:rsid w:val="00AA7D65"/>
    <w:rsid w:val="00AB14B1"/>
    <w:rsid w:val="00AB1C6F"/>
    <w:rsid w:val="00AB297D"/>
    <w:rsid w:val="00AB3556"/>
    <w:rsid w:val="00AB3B3D"/>
    <w:rsid w:val="00AB50BC"/>
    <w:rsid w:val="00AB6762"/>
    <w:rsid w:val="00AC0006"/>
    <w:rsid w:val="00AC13E5"/>
    <w:rsid w:val="00AC36A5"/>
    <w:rsid w:val="00AC67B2"/>
    <w:rsid w:val="00AD6EF4"/>
    <w:rsid w:val="00AD7B15"/>
    <w:rsid w:val="00AD7CC1"/>
    <w:rsid w:val="00AE31D5"/>
    <w:rsid w:val="00AE6AB7"/>
    <w:rsid w:val="00AE7D22"/>
    <w:rsid w:val="00AF278E"/>
    <w:rsid w:val="00AF71F5"/>
    <w:rsid w:val="00B10032"/>
    <w:rsid w:val="00B12237"/>
    <w:rsid w:val="00B14FD7"/>
    <w:rsid w:val="00B15792"/>
    <w:rsid w:val="00B17DF1"/>
    <w:rsid w:val="00B200E2"/>
    <w:rsid w:val="00B22153"/>
    <w:rsid w:val="00B25070"/>
    <w:rsid w:val="00B42926"/>
    <w:rsid w:val="00B432CA"/>
    <w:rsid w:val="00B4331F"/>
    <w:rsid w:val="00B434C1"/>
    <w:rsid w:val="00B52D63"/>
    <w:rsid w:val="00B53B73"/>
    <w:rsid w:val="00B552A9"/>
    <w:rsid w:val="00B62E49"/>
    <w:rsid w:val="00B65EDF"/>
    <w:rsid w:val="00B674DA"/>
    <w:rsid w:val="00B71A89"/>
    <w:rsid w:val="00B750C9"/>
    <w:rsid w:val="00B75148"/>
    <w:rsid w:val="00B756F7"/>
    <w:rsid w:val="00B75BFE"/>
    <w:rsid w:val="00B76C25"/>
    <w:rsid w:val="00B817BF"/>
    <w:rsid w:val="00B86274"/>
    <w:rsid w:val="00B875E1"/>
    <w:rsid w:val="00B9119D"/>
    <w:rsid w:val="00B9253B"/>
    <w:rsid w:val="00B93228"/>
    <w:rsid w:val="00B941FE"/>
    <w:rsid w:val="00B9538B"/>
    <w:rsid w:val="00B95AE2"/>
    <w:rsid w:val="00BA2F7E"/>
    <w:rsid w:val="00BA4508"/>
    <w:rsid w:val="00BA5155"/>
    <w:rsid w:val="00BA541B"/>
    <w:rsid w:val="00BA5DC4"/>
    <w:rsid w:val="00BA7EBC"/>
    <w:rsid w:val="00BB2FF0"/>
    <w:rsid w:val="00BB732E"/>
    <w:rsid w:val="00BB76D6"/>
    <w:rsid w:val="00BB7776"/>
    <w:rsid w:val="00BC3B91"/>
    <w:rsid w:val="00BC5FF4"/>
    <w:rsid w:val="00BC672F"/>
    <w:rsid w:val="00BC6865"/>
    <w:rsid w:val="00BD13AE"/>
    <w:rsid w:val="00BD1FB6"/>
    <w:rsid w:val="00BD3934"/>
    <w:rsid w:val="00BD5B82"/>
    <w:rsid w:val="00BD7AB4"/>
    <w:rsid w:val="00BE02EC"/>
    <w:rsid w:val="00BE19A1"/>
    <w:rsid w:val="00BF1DAA"/>
    <w:rsid w:val="00BF2FE5"/>
    <w:rsid w:val="00BF3180"/>
    <w:rsid w:val="00BF3864"/>
    <w:rsid w:val="00BF6D71"/>
    <w:rsid w:val="00BF7F77"/>
    <w:rsid w:val="00C00730"/>
    <w:rsid w:val="00C01E11"/>
    <w:rsid w:val="00C12301"/>
    <w:rsid w:val="00C263CE"/>
    <w:rsid w:val="00C272D0"/>
    <w:rsid w:val="00C27DF8"/>
    <w:rsid w:val="00C3410B"/>
    <w:rsid w:val="00C411B0"/>
    <w:rsid w:val="00C43AAE"/>
    <w:rsid w:val="00C44190"/>
    <w:rsid w:val="00C442F9"/>
    <w:rsid w:val="00C50BFD"/>
    <w:rsid w:val="00C60F19"/>
    <w:rsid w:val="00C64FFA"/>
    <w:rsid w:val="00C67CD8"/>
    <w:rsid w:val="00C70712"/>
    <w:rsid w:val="00C70E12"/>
    <w:rsid w:val="00C714E1"/>
    <w:rsid w:val="00C716B4"/>
    <w:rsid w:val="00C71B6C"/>
    <w:rsid w:val="00C7687B"/>
    <w:rsid w:val="00C85915"/>
    <w:rsid w:val="00C90983"/>
    <w:rsid w:val="00C91E13"/>
    <w:rsid w:val="00C9233E"/>
    <w:rsid w:val="00C9347C"/>
    <w:rsid w:val="00C93B85"/>
    <w:rsid w:val="00CA0E7E"/>
    <w:rsid w:val="00CA37F7"/>
    <w:rsid w:val="00CA4EC5"/>
    <w:rsid w:val="00CA5FB6"/>
    <w:rsid w:val="00CA7160"/>
    <w:rsid w:val="00CB0889"/>
    <w:rsid w:val="00CB3F46"/>
    <w:rsid w:val="00CB64E4"/>
    <w:rsid w:val="00CC16BC"/>
    <w:rsid w:val="00CC3F90"/>
    <w:rsid w:val="00CC4458"/>
    <w:rsid w:val="00CC499B"/>
    <w:rsid w:val="00CC62BC"/>
    <w:rsid w:val="00CD063F"/>
    <w:rsid w:val="00CD4C73"/>
    <w:rsid w:val="00CE1C7A"/>
    <w:rsid w:val="00CE3664"/>
    <w:rsid w:val="00CE36B8"/>
    <w:rsid w:val="00CE6123"/>
    <w:rsid w:val="00CF5750"/>
    <w:rsid w:val="00CF5C60"/>
    <w:rsid w:val="00CF6A8C"/>
    <w:rsid w:val="00CF7490"/>
    <w:rsid w:val="00CF787A"/>
    <w:rsid w:val="00D029AA"/>
    <w:rsid w:val="00D05942"/>
    <w:rsid w:val="00D106E8"/>
    <w:rsid w:val="00D12544"/>
    <w:rsid w:val="00D13C79"/>
    <w:rsid w:val="00D14832"/>
    <w:rsid w:val="00D15205"/>
    <w:rsid w:val="00D170AB"/>
    <w:rsid w:val="00D20381"/>
    <w:rsid w:val="00D21FD8"/>
    <w:rsid w:val="00D234CB"/>
    <w:rsid w:val="00D23DFC"/>
    <w:rsid w:val="00D24B77"/>
    <w:rsid w:val="00D2656D"/>
    <w:rsid w:val="00D324E1"/>
    <w:rsid w:val="00D352B4"/>
    <w:rsid w:val="00D353BF"/>
    <w:rsid w:val="00D40EFF"/>
    <w:rsid w:val="00D4512D"/>
    <w:rsid w:val="00D5242D"/>
    <w:rsid w:val="00D54A61"/>
    <w:rsid w:val="00D5503F"/>
    <w:rsid w:val="00D621FB"/>
    <w:rsid w:val="00D62456"/>
    <w:rsid w:val="00D62E5E"/>
    <w:rsid w:val="00D665C4"/>
    <w:rsid w:val="00D674F4"/>
    <w:rsid w:val="00D6777E"/>
    <w:rsid w:val="00D70B60"/>
    <w:rsid w:val="00D7463F"/>
    <w:rsid w:val="00D76A56"/>
    <w:rsid w:val="00D825B6"/>
    <w:rsid w:val="00D82CC1"/>
    <w:rsid w:val="00D87245"/>
    <w:rsid w:val="00D87300"/>
    <w:rsid w:val="00D90E08"/>
    <w:rsid w:val="00DB0501"/>
    <w:rsid w:val="00DB250A"/>
    <w:rsid w:val="00DB3C35"/>
    <w:rsid w:val="00DB3D14"/>
    <w:rsid w:val="00DB6B05"/>
    <w:rsid w:val="00DB7860"/>
    <w:rsid w:val="00DC04AA"/>
    <w:rsid w:val="00DC32EC"/>
    <w:rsid w:val="00DC551D"/>
    <w:rsid w:val="00DC60AA"/>
    <w:rsid w:val="00DD50D0"/>
    <w:rsid w:val="00DD57BC"/>
    <w:rsid w:val="00DE0B07"/>
    <w:rsid w:val="00DE2ADF"/>
    <w:rsid w:val="00DF1A15"/>
    <w:rsid w:val="00DF1CB4"/>
    <w:rsid w:val="00DF324D"/>
    <w:rsid w:val="00DF792D"/>
    <w:rsid w:val="00DF7D1B"/>
    <w:rsid w:val="00E00723"/>
    <w:rsid w:val="00E0498A"/>
    <w:rsid w:val="00E04C8B"/>
    <w:rsid w:val="00E0505F"/>
    <w:rsid w:val="00E06ADC"/>
    <w:rsid w:val="00E104B1"/>
    <w:rsid w:val="00E1502C"/>
    <w:rsid w:val="00E258F8"/>
    <w:rsid w:val="00E30766"/>
    <w:rsid w:val="00E3171F"/>
    <w:rsid w:val="00E31C61"/>
    <w:rsid w:val="00E31F15"/>
    <w:rsid w:val="00E327E6"/>
    <w:rsid w:val="00E34F0D"/>
    <w:rsid w:val="00E35CB0"/>
    <w:rsid w:val="00E3769D"/>
    <w:rsid w:val="00E420D2"/>
    <w:rsid w:val="00E4311E"/>
    <w:rsid w:val="00E448AB"/>
    <w:rsid w:val="00E54884"/>
    <w:rsid w:val="00E57015"/>
    <w:rsid w:val="00E60348"/>
    <w:rsid w:val="00E6043D"/>
    <w:rsid w:val="00E60C11"/>
    <w:rsid w:val="00E61C60"/>
    <w:rsid w:val="00E73351"/>
    <w:rsid w:val="00E74596"/>
    <w:rsid w:val="00E80981"/>
    <w:rsid w:val="00E81E68"/>
    <w:rsid w:val="00E84AAA"/>
    <w:rsid w:val="00E91ECC"/>
    <w:rsid w:val="00E922D8"/>
    <w:rsid w:val="00E9561F"/>
    <w:rsid w:val="00E95689"/>
    <w:rsid w:val="00EA277C"/>
    <w:rsid w:val="00EA38FC"/>
    <w:rsid w:val="00EA3971"/>
    <w:rsid w:val="00EA3C60"/>
    <w:rsid w:val="00EA3D90"/>
    <w:rsid w:val="00EA5973"/>
    <w:rsid w:val="00EA64C3"/>
    <w:rsid w:val="00EB039C"/>
    <w:rsid w:val="00EB2C34"/>
    <w:rsid w:val="00EB4BCD"/>
    <w:rsid w:val="00EC6C39"/>
    <w:rsid w:val="00EC78BD"/>
    <w:rsid w:val="00EC7DBC"/>
    <w:rsid w:val="00ED0099"/>
    <w:rsid w:val="00ED02D5"/>
    <w:rsid w:val="00ED297C"/>
    <w:rsid w:val="00EE1C59"/>
    <w:rsid w:val="00EE3BEE"/>
    <w:rsid w:val="00EE613B"/>
    <w:rsid w:val="00EE7555"/>
    <w:rsid w:val="00EF35ED"/>
    <w:rsid w:val="00F02E3E"/>
    <w:rsid w:val="00F04DAB"/>
    <w:rsid w:val="00F0743A"/>
    <w:rsid w:val="00F105CA"/>
    <w:rsid w:val="00F133B9"/>
    <w:rsid w:val="00F13429"/>
    <w:rsid w:val="00F16F48"/>
    <w:rsid w:val="00F17A3B"/>
    <w:rsid w:val="00F229A7"/>
    <w:rsid w:val="00F308C1"/>
    <w:rsid w:val="00F308DA"/>
    <w:rsid w:val="00F35509"/>
    <w:rsid w:val="00F36671"/>
    <w:rsid w:val="00F40A90"/>
    <w:rsid w:val="00F41E71"/>
    <w:rsid w:val="00F424E2"/>
    <w:rsid w:val="00F46ECF"/>
    <w:rsid w:val="00F53272"/>
    <w:rsid w:val="00F558D2"/>
    <w:rsid w:val="00F6156F"/>
    <w:rsid w:val="00F66B95"/>
    <w:rsid w:val="00F672C7"/>
    <w:rsid w:val="00F67493"/>
    <w:rsid w:val="00F6791B"/>
    <w:rsid w:val="00F75BAC"/>
    <w:rsid w:val="00F824D3"/>
    <w:rsid w:val="00F84BE4"/>
    <w:rsid w:val="00F8766D"/>
    <w:rsid w:val="00F91C32"/>
    <w:rsid w:val="00F91E2B"/>
    <w:rsid w:val="00F92092"/>
    <w:rsid w:val="00F951F3"/>
    <w:rsid w:val="00F95871"/>
    <w:rsid w:val="00FA00A7"/>
    <w:rsid w:val="00FA3345"/>
    <w:rsid w:val="00FA7030"/>
    <w:rsid w:val="00FA7B48"/>
    <w:rsid w:val="00FB0717"/>
    <w:rsid w:val="00FB4D9B"/>
    <w:rsid w:val="00FB7673"/>
    <w:rsid w:val="00FB7914"/>
    <w:rsid w:val="00FC0031"/>
    <w:rsid w:val="00FC0B30"/>
    <w:rsid w:val="00FC116D"/>
    <w:rsid w:val="00FC38F8"/>
    <w:rsid w:val="00FD15D6"/>
    <w:rsid w:val="00FD1FD5"/>
    <w:rsid w:val="00FD3AB2"/>
    <w:rsid w:val="00FD71F7"/>
    <w:rsid w:val="00FE392C"/>
    <w:rsid w:val="00FE7FED"/>
    <w:rsid w:val="00FF1134"/>
    <w:rsid w:val="00FF15A2"/>
    <w:rsid w:val="00FF265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8D37355B-58DB-4A35-B16E-3173BFAAA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cs-CZ"/>
    </w:rPr>
  </w:style>
  <w:style w:type="paragraph" w:styleId="Heading1">
    <w:name w:val="heading 1"/>
    <w:basedOn w:val="Normal"/>
    <w:next w:val="Text1"/>
    <w:link w:val="Heading1Char"/>
    <w:uiPriority w:val="9"/>
    <w:qFormat/>
    <w:pPr>
      <w:keepNext/>
      <w:numPr>
        <w:numId w:val="14"/>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14"/>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14"/>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14"/>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14"/>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14"/>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14"/>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FE7FED"/>
    <w:pPr>
      <w:numPr>
        <w:numId w:val="1"/>
      </w:numPr>
    </w:pPr>
    <w:rPr>
      <w:rFonts w:eastAsia="Times New Roman"/>
      <w:lang w:eastAsia="en-GB"/>
    </w:rPr>
  </w:style>
  <w:style w:type="character" w:styleId="Hyperlink">
    <w:name w:val="Hyperlink"/>
    <w:basedOn w:val="DefaultParagraphFont"/>
    <w:rsid w:val="009713B0"/>
    <w:rPr>
      <w:color w:val="2F5773"/>
      <w:u w:val="single"/>
    </w:rPr>
  </w:style>
  <w:style w:type="paragraph" w:styleId="ListBullet2">
    <w:name w:val="List Bullet 2"/>
    <w:basedOn w:val="Normal"/>
    <w:uiPriority w:val="99"/>
    <w:semiHidden/>
    <w:unhideWhenUsed/>
    <w:rsid w:val="009713B0"/>
    <w:pPr>
      <w:numPr>
        <w:numId w:val="3"/>
      </w:numPr>
      <w:contextualSpacing/>
    </w:pPr>
  </w:style>
  <w:style w:type="paragraph" w:styleId="ListNumber2">
    <w:name w:val="List Number 2"/>
    <w:basedOn w:val="Normal"/>
    <w:uiPriority w:val="99"/>
    <w:semiHidden/>
    <w:unhideWhenUsed/>
    <w:rsid w:val="009713B0"/>
    <w:pPr>
      <w:numPr>
        <w:numId w:val="4"/>
      </w:numPr>
      <w:contextualSpacing/>
    </w:pPr>
  </w:style>
  <w:style w:type="paragraph" w:styleId="ListBullet3">
    <w:name w:val="List Bullet 3"/>
    <w:basedOn w:val="Normal"/>
    <w:uiPriority w:val="99"/>
    <w:semiHidden/>
    <w:unhideWhenUsed/>
    <w:rsid w:val="001840A1"/>
    <w:pPr>
      <w:numPr>
        <w:numId w:val="5"/>
      </w:numPr>
      <w:contextualSpacing/>
    </w:pPr>
  </w:style>
  <w:style w:type="paragraph" w:styleId="ListBullet4">
    <w:name w:val="List Bullet 4"/>
    <w:basedOn w:val="Normal"/>
    <w:uiPriority w:val="99"/>
    <w:semiHidden/>
    <w:unhideWhenUsed/>
    <w:rsid w:val="001840A1"/>
    <w:pPr>
      <w:numPr>
        <w:numId w:val="6"/>
      </w:numPr>
      <w:contextualSpacing/>
    </w:pPr>
  </w:style>
  <w:style w:type="character" w:styleId="CommentReference">
    <w:name w:val="annotation reference"/>
    <w:basedOn w:val="DefaultParagraphFont"/>
    <w:uiPriority w:val="99"/>
    <w:semiHidden/>
    <w:unhideWhenUsed/>
    <w:rsid w:val="00F6156F"/>
    <w:rPr>
      <w:sz w:val="16"/>
      <w:szCs w:val="16"/>
    </w:rPr>
  </w:style>
  <w:style w:type="paragraph" w:styleId="CommentText">
    <w:name w:val="annotation text"/>
    <w:basedOn w:val="Normal"/>
    <w:link w:val="CommentTextChar"/>
    <w:uiPriority w:val="99"/>
    <w:unhideWhenUsed/>
    <w:rsid w:val="00F6156F"/>
    <w:rPr>
      <w:sz w:val="20"/>
      <w:szCs w:val="20"/>
    </w:rPr>
  </w:style>
  <w:style w:type="character" w:customStyle="1" w:styleId="CommentTextChar">
    <w:name w:val="Comment Text Char"/>
    <w:basedOn w:val="DefaultParagraphFont"/>
    <w:link w:val="CommentText"/>
    <w:uiPriority w:val="99"/>
    <w:rsid w:val="00F6156F"/>
    <w:rPr>
      <w:rFonts w:ascii="Times New Roman" w:hAnsi="Times New Roman" w:cs="Times New Roman"/>
      <w:sz w:val="20"/>
      <w:szCs w:val="20"/>
      <w:lang w:val="cs-CZ"/>
    </w:rPr>
  </w:style>
  <w:style w:type="paragraph" w:styleId="CommentSubject">
    <w:name w:val="annotation subject"/>
    <w:basedOn w:val="CommentText"/>
    <w:next w:val="CommentText"/>
    <w:link w:val="CommentSubjectChar"/>
    <w:uiPriority w:val="99"/>
    <w:semiHidden/>
    <w:unhideWhenUsed/>
    <w:rsid w:val="00F6156F"/>
    <w:rPr>
      <w:b/>
      <w:bCs/>
    </w:rPr>
  </w:style>
  <w:style w:type="character" w:customStyle="1" w:styleId="CommentSubjectChar">
    <w:name w:val="Comment Subject Char"/>
    <w:basedOn w:val="CommentTextChar"/>
    <w:link w:val="CommentSubject"/>
    <w:uiPriority w:val="99"/>
    <w:semiHidden/>
    <w:rsid w:val="00F6156F"/>
    <w:rPr>
      <w:rFonts w:ascii="Times New Roman" w:hAnsi="Times New Roman" w:cs="Times New Roman"/>
      <w:b/>
      <w:bCs/>
      <w:sz w:val="20"/>
      <w:szCs w:val="20"/>
      <w:lang w:val="cs-CZ"/>
    </w:rPr>
  </w:style>
  <w:style w:type="character" w:customStyle="1" w:styleId="UnresolvedMention">
    <w:name w:val="Unresolved Mention"/>
    <w:basedOn w:val="DefaultParagraphFont"/>
    <w:uiPriority w:val="99"/>
    <w:semiHidden/>
    <w:unhideWhenUsed/>
    <w:rsid w:val="00F6156F"/>
    <w:rPr>
      <w:color w:val="605E5C"/>
      <w:shd w:val="clear" w:color="auto" w:fill="E1DFDD"/>
    </w:rPr>
  </w:style>
  <w:style w:type="paragraph" w:styleId="Revision">
    <w:name w:val="Revision"/>
    <w:hidden/>
    <w:uiPriority w:val="99"/>
    <w:semiHidden/>
    <w:rsid w:val="00F6156F"/>
    <w:pPr>
      <w:spacing w:after="0" w:line="240" w:lineRule="auto"/>
    </w:pPr>
    <w:rPr>
      <w:rFonts w:ascii="Times New Roman" w:hAnsi="Times New Roman" w:cs="Times New Roman"/>
      <w:sz w:val="24"/>
    </w:rPr>
  </w:style>
  <w:style w:type="character" w:customStyle="1" w:styleId="HeaderChar">
    <w:name w:val="Header Char"/>
    <w:basedOn w:val="DefaultParagraphFont"/>
    <w:link w:val="Header"/>
    <w:uiPriority w:val="99"/>
    <w:rsid w:val="0083067D"/>
    <w:rPr>
      <w:rFonts w:ascii="Times New Roman" w:hAnsi="Times New Roman" w:cs="Times New Roman"/>
      <w:sz w:val="24"/>
      <w:lang w:val="cs-CZ"/>
    </w:rPr>
  </w:style>
  <w:style w:type="character" w:customStyle="1" w:styleId="FooterChar">
    <w:name w:val="Footer Char"/>
    <w:basedOn w:val="DefaultParagraphFont"/>
    <w:link w:val="Footer"/>
    <w:uiPriority w:val="99"/>
    <w:rsid w:val="0083067D"/>
    <w:rPr>
      <w:rFonts w:ascii="Times New Roman" w:hAnsi="Times New Roman" w:cs="Times New Roman"/>
      <w:sz w:val="24"/>
      <w:lang w:val="cs-CZ"/>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cs-CZ"/>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cs-CZ"/>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cs-CZ"/>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cs-CZ"/>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cs-CZ"/>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cs-CZ"/>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cs-CZ"/>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83067D"/>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83067D"/>
    <w:pPr>
      <w:spacing w:before="0"/>
      <w:jc w:val="right"/>
    </w:pPr>
    <w:rPr>
      <w:sz w:val="28"/>
    </w:rPr>
  </w:style>
  <w:style w:type="paragraph" w:customStyle="1" w:styleId="FooterSensitivity">
    <w:name w:val="Footer Sensitivity"/>
    <w:basedOn w:val="Normal"/>
    <w:rsid w:val="0083067D"/>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7"/>
      </w:numPr>
    </w:pPr>
  </w:style>
  <w:style w:type="paragraph" w:customStyle="1" w:styleId="Tiret1">
    <w:name w:val="Tiret 1"/>
    <w:basedOn w:val="Point1"/>
    <w:pPr>
      <w:numPr>
        <w:numId w:val="8"/>
      </w:numPr>
    </w:pPr>
  </w:style>
  <w:style w:type="paragraph" w:customStyle="1" w:styleId="Tiret2">
    <w:name w:val="Tiret 2"/>
    <w:basedOn w:val="Point2"/>
    <w:pPr>
      <w:numPr>
        <w:numId w:val="9"/>
      </w:numPr>
    </w:pPr>
  </w:style>
  <w:style w:type="paragraph" w:customStyle="1" w:styleId="Tiret3">
    <w:name w:val="Tiret 3"/>
    <w:basedOn w:val="Point3"/>
    <w:pPr>
      <w:numPr>
        <w:numId w:val="10"/>
      </w:numPr>
    </w:pPr>
  </w:style>
  <w:style w:type="paragraph" w:customStyle="1" w:styleId="Tiret4">
    <w:name w:val="Tiret 4"/>
    <w:basedOn w:val="Point4"/>
    <w:pPr>
      <w:numPr>
        <w:numId w:val="11"/>
      </w:numPr>
    </w:pPr>
  </w:style>
  <w:style w:type="paragraph" w:customStyle="1" w:styleId="Tiret5">
    <w:name w:val="Tiret 5"/>
    <w:basedOn w:val="Point5"/>
    <w:pPr>
      <w:numPr>
        <w:numId w:val="12"/>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3"/>
      </w:numPr>
    </w:pPr>
  </w:style>
  <w:style w:type="paragraph" w:customStyle="1" w:styleId="NumPar2">
    <w:name w:val="NumPar 2"/>
    <w:basedOn w:val="Normal"/>
    <w:next w:val="Text1"/>
    <w:pPr>
      <w:numPr>
        <w:ilvl w:val="1"/>
        <w:numId w:val="13"/>
      </w:numPr>
    </w:pPr>
  </w:style>
  <w:style w:type="paragraph" w:customStyle="1" w:styleId="NumPar3">
    <w:name w:val="NumPar 3"/>
    <w:basedOn w:val="Normal"/>
    <w:next w:val="Text1"/>
    <w:pPr>
      <w:numPr>
        <w:ilvl w:val="2"/>
        <w:numId w:val="13"/>
      </w:numPr>
    </w:pPr>
  </w:style>
  <w:style w:type="paragraph" w:customStyle="1" w:styleId="NumPar4">
    <w:name w:val="NumPar 4"/>
    <w:basedOn w:val="Normal"/>
    <w:next w:val="Text1"/>
    <w:pPr>
      <w:numPr>
        <w:ilvl w:val="3"/>
        <w:numId w:val="13"/>
      </w:numPr>
    </w:pPr>
  </w:style>
  <w:style w:type="paragraph" w:customStyle="1" w:styleId="NumPar5">
    <w:name w:val="NumPar 5"/>
    <w:basedOn w:val="Normal"/>
    <w:next w:val="Text2"/>
    <w:pPr>
      <w:numPr>
        <w:ilvl w:val="4"/>
        <w:numId w:val="13"/>
      </w:numPr>
    </w:pPr>
  </w:style>
  <w:style w:type="paragraph" w:customStyle="1" w:styleId="NumPar6">
    <w:name w:val="NumPar 6"/>
    <w:basedOn w:val="Normal"/>
    <w:next w:val="Text2"/>
    <w:pPr>
      <w:numPr>
        <w:ilvl w:val="5"/>
        <w:numId w:val="13"/>
      </w:numPr>
    </w:pPr>
  </w:style>
  <w:style w:type="paragraph" w:customStyle="1" w:styleId="NumPar7">
    <w:name w:val="NumPar 7"/>
    <w:basedOn w:val="Normal"/>
    <w:next w:val="Text2"/>
    <w:pPr>
      <w:numPr>
        <w:ilvl w:val="6"/>
        <w:numId w:val="13"/>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15"/>
      </w:numPr>
    </w:pPr>
  </w:style>
  <w:style w:type="paragraph" w:customStyle="1" w:styleId="Point1number">
    <w:name w:val="Point 1 (number)"/>
    <w:basedOn w:val="Normal"/>
    <w:pPr>
      <w:numPr>
        <w:ilvl w:val="2"/>
        <w:numId w:val="15"/>
      </w:numPr>
    </w:pPr>
  </w:style>
  <w:style w:type="paragraph" w:customStyle="1" w:styleId="Point2number">
    <w:name w:val="Point 2 (number)"/>
    <w:basedOn w:val="Normal"/>
    <w:pPr>
      <w:numPr>
        <w:ilvl w:val="4"/>
        <w:numId w:val="15"/>
      </w:numPr>
    </w:pPr>
  </w:style>
  <w:style w:type="paragraph" w:customStyle="1" w:styleId="Point3number">
    <w:name w:val="Point 3 (number)"/>
    <w:basedOn w:val="Normal"/>
    <w:pPr>
      <w:numPr>
        <w:ilvl w:val="6"/>
        <w:numId w:val="15"/>
      </w:numPr>
    </w:pPr>
  </w:style>
  <w:style w:type="paragraph" w:customStyle="1" w:styleId="Point0letter">
    <w:name w:val="Point 0 (letter)"/>
    <w:basedOn w:val="Normal"/>
    <w:pPr>
      <w:numPr>
        <w:ilvl w:val="1"/>
        <w:numId w:val="15"/>
      </w:numPr>
    </w:pPr>
  </w:style>
  <w:style w:type="paragraph" w:customStyle="1" w:styleId="Point1letter">
    <w:name w:val="Point 1 (letter)"/>
    <w:basedOn w:val="Normal"/>
    <w:pPr>
      <w:numPr>
        <w:ilvl w:val="3"/>
        <w:numId w:val="15"/>
      </w:numPr>
    </w:pPr>
  </w:style>
  <w:style w:type="paragraph" w:customStyle="1" w:styleId="Point2letter">
    <w:name w:val="Point 2 (letter)"/>
    <w:basedOn w:val="Normal"/>
    <w:pPr>
      <w:numPr>
        <w:ilvl w:val="5"/>
        <w:numId w:val="15"/>
      </w:numPr>
    </w:pPr>
  </w:style>
  <w:style w:type="paragraph" w:customStyle="1" w:styleId="Point3letter">
    <w:name w:val="Point 3 (letter)"/>
    <w:basedOn w:val="Normal"/>
    <w:pPr>
      <w:numPr>
        <w:ilvl w:val="7"/>
        <w:numId w:val="15"/>
      </w:numPr>
    </w:pPr>
  </w:style>
  <w:style w:type="paragraph" w:customStyle="1" w:styleId="Point4letter">
    <w:name w:val="Point 4 (letter)"/>
    <w:basedOn w:val="Normal"/>
    <w:pPr>
      <w:numPr>
        <w:ilvl w:val="8"/>
        <w:numId w:val="15"/>
      </w:numPr>
    </w:pPr>
  </w:style>
  <w:style w:type="paragraph" w:customStyle="1" w:styleId="Bullet0">
    <w:name w:val="Bullet 0"/>
    <w:basedOn w:val="Normal"/>
    <w:pPr>
      <w:numPr>
        <w:numId w:val="16"/>
      </w:numPr>
    </w:pPr>
  </w:style>
  <w:style w:type="paragraph" w:customStyle="1" w:styleId="Bullet1">
    <w:name w:val="Bullet 1"/>
    <w:basedOn w:val="Normal"/>
    <w:pPr>
      <w:numPr>
        <w:numId w:val="17"/>
      </w:numPr>
    </w:pPr>
  </w:style>
  <w:style w:type="paragraph" w:customStyle="1" w:styleId="Bullet2">
    <w:name w:val="Bullet 2"/>
    <w:basedOn w:val="Normal"/>
    <w:pPr>
      <w:numPr>
        <w:numId w:val="18"/>
      </w:numPr>
    </w:pPr>
  </w:style>
  <w:style w:type="paragraph" w:customStyle="1" w:styleId="Bullet3">
    <w:name w:val="Bullet 3"/>
    <w:basedOn w:val="Normal"/>
    <w:pPr>
      <w:numPr>
        <w:numId w:val="19"/>
      </w:numPr>
    </w:pPr>
  </w:style>
  <w:style w:type="paragraph" w:customStyle="1" w:styleId="Bullet4">
    <w:name w:val="Bullet 4"/>
    <w:basedOn w:val="Normal"/>
    <w:pPr>
      <w:numPr>
        <w:numId w:val="20"/>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21"/>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83067D"/>
    <w:pPr>
      <w:tabs>
        <w:tab w:val="center" w:pos="4535"/>
        <w:tab w:val="right" w:pos="9071"/>
      </w:tabs>
      <w:spacing w:before="0"/>
    </w:pPr>
  </w:style>
  <w:style w:type="paragraph" w:customStyle="1" w:styleId="HeaderLandscape">
    <w:name w:val="HeaderLandscape"/>
    <w:basedOn w:val="Normal"/>
    <w:rsid w:val="0083067D"/>
    <w:pPr>
      <w:tabs>
        <w:tab w:val="center" w:pos="7285"/>
        <w:tab w:val="right" w:pos="14003"/>
      </w:tabs>
      <w:spacing w:before="0"/>
    </w:pPr>
  </w:style>
  <w:style w:type="paragraph" w:styleId="Footer">
    <w:name w:val="footer"/>
    <w:basedOn w:val="Normal"/>
    <w:link w:val="FooterChar"/>
    <w:uiPriority w:val="99"/>
    <w:unhideWhenUsed/>
    <w:rsid w:val="0083067D"/>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83067D"/>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300798">
      <w:bodyDiv w:val="1"/>
      <w:marLeft w:val="0"/>
      <w:marRight w:val="0"/>
      <w:marTop w:val="0"/>
      <w:marBottom w:val="0"/>
      <w:divBdr>
        <w:top w:val="none" w:sz="0" w:space="0" w:color="auto"/>
        <w:left w:val="none" w:sz="0" w:space="0" w:color="auto"/>
        <w:bottom w:val="none" w:sz="0" w:space="0" w:color="auto"/>
        <w:right w:val="none" w:sz="0" w:space="0" w:color="auto"/>
      </w:divBdr>
    </w:div>
    <w:div w:id="550653829">
      <w:bodyDiv w:val="1"/>
      <w:marLeft w:val="0"/>
      <w:marRight w:val="0"/>
      <w:marTop w:val="0"/>
      <w:marBottom w:val="0"/>
      <w:divBdr>
        <w:top w:val="none" w:sz="0" w:space="0" w:color="auto"/>
        <w:left w:val="none" w:sz="0" w:space="0" w:color="auto"/>
        <w:bottom w:val="none" w:sz="0" w:space="0" w:color="auto"/>
        <w:right w:val="none" w:sz="0" w:space="0" w:color="auto"/>
      </w:divBdr>
    </w:div>
    <w:div w:id="784278377">
      <w:bodyDiv w:val="1"/>
      <w:marLeft w:val="0"/>
      <w:marRight w:val="0"/>
      <w:marTop w:val="0"/>
      <w:marBottom w:val="0"/>
      <w:divBdr>
        <w:top w:val="none" w:sz="0" w:space="0" w:color="auto"/>
        <w:left w:val="none" w:sz="0" w:space="0" w:color="auto"/>
        <w:bottom w:val="none" w:sz="0" w:space="0" w:color="auto"/>
        <w:right w:val="none" w:sz="0" w:space="0" w:color="auto"/>
      </w:divBdr>
    </w:div>
    <w:div w:id="869949458">
      <w:bodyDiv w:val="1"/>
      <w:marLeft w:val="0"/>
      <w:marRight w:val="0"/>
      <w:marTop w:val="0"/>
      <w:marBottom w:val="0"/>
      <w:divBdr>
        <w:top w:val="none" w:sz="0" w:space="0" w:color="auto"/>
        <w:left w:val="none" w:sz="0" w:space="0" w:color="auto"/>
        <w:bottom w:val="none" w:sz="0" w:space="0" w:color="auto"/>
        <w:right w:val="none" w:sz="0" w:space="0" w:color="auto"/>
      </w:divBdr>
    </w:div>
    <w:div w:id="881015070">
      <w:bodyDiv w:val="1"/>
      <w:marLeft w:val="0"/>
      <w:marRight w:val="0"/>
      <w:marTop w:val="0"/>
      <w:marBottom w:val="0"/>
      <w:divBdr>
        <w:top w:val="none" w:sz="0" w:space="0" w:color="auto"/>
        <w:left w:val="none" w:sz="0" w:space="0" w:color="auto"/>
        <w:bottom w:val="none" w:sz="0" w:space="0" w:color="auto"/>
        <w:right w:val="none" w:sz="0" w:space="0" w:color="auto"/>
      </w:divBdr>
    </w:div>
    <w:div w:id="920212406">
      <w:bodyDiv w:val="1"/>
      <w:marLeft w:val="0"/>
      <w:marRight w:val="0"/>
      <w:marTop w:val="0"/>
      <w:marBottom w:val="0"/>
      <w:divBdr>
        <w:top w:val="none" w:sz="0" w:space="0" w:color="auto"/>
        <w:left w:val="none" w:sz="0" w:space="0" w:color="auto"/>
        <w:bottom w:val="none" w:sz="0" w:space="0" w:color="auto"/>
        <w:right w:val="none" w:sz="0" w:space="0" w:color="auto"/>
      </w:divBdr>
    </w:div>
    <w:div w:id="1095593330">
      <w:bodyDiv w:val="1"/>
      <w:marLeft w:val="0"/>
      <w:marRight w:val="0"/>
      <w:marTop w:val="0"/>
      <w:marBottom w:val="0"/>
      <w:divBdr>
        <w:top w:val="none" w:sz="0" w:space="0" w:color="auto"/>
        <w:left w:val="none" w:sz="0" w:space="0" w:color="auto"/>
        <w:bottom w:val="none" w:sz="0" w:space="0" w:color="auto"/>
        <w:right w:val="none" w:sz="0" w:space="0" w:color="auto"/>
      </w:divBdr>
    </w:div>
    <w:div w:id="1494568034">
      <w:bodyDiv w:val="1"/>
      <w:marLeft w:val="0"/>
      <w:marRight w:val="0"/>
      <w:marTop w:val="0"/>
      <w:marBottom w:val="0"/>
      <w:divBdr>
        <w:top w:val="none" w:sz="0" w:space="0" w:color="auto"/>
        <w:left w:val="none" w:sz="0" w:space="0" w:color="auto"/>
        <w:bottom w:val="none" w:sz="0" w:space="0" w:color="auto"/>
        <w:right w:val="none" w:sz="0" w:space="0" w:color="auto"/>
      </w:divBdr>
    </w:div>
    <w:div w:id="1989820838">
      <w:bodyDiv w:val="1"/>
      <w:marLeft w:val="0"/>
      <w:marRight w:val="0"/>
      <w:marTop w:val="0"/>
      <w:marBottom w:val="0"/>
      <w:divBdr>
        <w:top w:val="none" w:sz="0" w:space="0" w:color="auto"/>
        <w:left w:val="none" w:sz="0" w:space="0" w:color="auto"/>
        <w:bottom w:val="none" w:sz="0" w:space="0" w:color="auto"/>
        <w:right w:val="none" w:sz="0" w:space="0" w:color="auto"/>
      </w:divBdr>
    </w:div>
    <w:div w:id="2130515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AA042-8990-48CF-9F49-CCC060D398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9D5FD2-A6F3-4EB5-A6CF-7867F88AEFD4}">
  <ds:schemaRefs>
    <ds:schemaRef ds:uri="http://schemas.microsoft.com/sharepoint/v3/contenttype/forms"/>
  </ds:schemaRefs>
</ds:datastoreItem>
</file>

<file path=customXml/itemProps3.xml><?xml version="1.0" encoding="utf-8"?>
<ds:datastoreItem xmlns:ds="http://schemas.openxmlformats.org/officeDocument/2006/customXml" ds:itemID="{07EAE6E2-368D-42B0-9134-B6800FDB77A6}">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customXml/itemProps4.xml><?xml version="1.0" encoding="utf-8"?>
<ds:datastoreItem xmlns:ds="http://schemas.openxmlformats.org/officeDocument/2006/customXml" ds:itemID="{CEDAA408-D59C-4F0B-A6F4-476F73EE7839}">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4</TotalTime>
  <Pages>5</Pages>
  <Words>1430</Words>
  <Characters>8155</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31</cp:revision>
  <cp:lastPrinted>2025-05-08T07:59:00Z</cp:lastPrinted>
  <dcterms:created xsi:type="dcterms:W3CDTF">2025-08-08T08:06:00Z</dcterms:created>
  <dcterms:modified xsi:type="dcterms:W3CDTF">2025-09-30T15:22:00Z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9.1, Build 20240808</vt:lpwstr>
  </property>
  <property fmtid="{D5CDD505-2E9C-101B-9397-08002B2CF9AE}" pid="5" name="Created using">
    <vt:lpwstr>LW 9.1, Build 20240808</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MSIP_Label_6bd9ddd1-4d20-43f6-abfa-fc3c07406f94_Enabled">
    <vt:lpwstr>true</vt:lpwstr>
  </property>
  <property fmtid="{D5CDD505-2E9C-101B-9397-08002B2CF9AE}" pid="11" name="MSIP_Label_6bd9ddd1-4d20-43f6-abfa-fc3c07406f94_SetDate">
    <vt:lpwstr>2025-02-25T08:26:14Z</vt:lpwstr>
  </property>
  <property fmtid="{D5CDD505-2E9C-101B-9397-08002B2CF9AE}" pid="12" name="MSIP_Label_6bd9ddd1-4d20-43f6-abfa-fc3c07406f94_Method">
    <vt:lpwstr>Standard</vt:lpwstr>
  </property>
  <property fmtid="{D5CDD505-2E9C-101B-9397-08002B2CF9AE}" pid="13" name="MSIP_Label_6bd9ddd1-4d20-43f6-abfa-fc3c07406f94_Name">
    <vt:lpwstr>Commission Use</vt:lpwstr>
  </property>
  <property fmtid="{D5CDD505-2E9C-101B-9397-08002B2CF9AE}" pid="14" name="MSIP_Label_6bd9ddd1-4d20-43f6-abfa-fc3c07406f94_SiteId">
    <vt:lpwstr>b24c8b06-522c-46fe-9080-70926f8dddb1</vt:lpwstr>
  </property>
  <property fmtid="{D5CDD505-2E9C-101B-9397-08002B2CF9AE}" pid="15" name="MSIP_Label_6bd9ddd1-4d20-43f6-abfa-fc3c07406f94_ActionId">
    <vt:lpwstr>be3cf09d-66c6-4ba0-8026-31162a6dd493</vt:lpwstr>
  </property>
  <property fmtid="{D5CDD505-2E9C-101B-9397-08002B2CF9AE}" pid="16" name="MSIP_Label_6bd9ddd1-4d20-43f6-abfa-fc3c07406f94_ContentBits">
    <vt:lpwstr>0</vt:lpwstr>
  </property>
  <property fmtid="{D5CDD505-2E9C-101B-9397-08002B2CF9AE}" pid="17" name="ContentTypeId">
    <vt:lpwstr>0x010100BAD999D84E12C74482EA5120F5227F6F00217DECAAC21D6B43958DFE68658C192E</vt:lpwstr>
  </property>
  <property fmtid="{D5CDD505-2E9C-101B-9397-08002B2CF9AE}" pid="18" name="MediaServiceImageTags">
    <vt:lpwstr/>
  </property>
  <property fmtid="{D5CDD505-2E9C-101B-9397-08002B2CF9AE}" pid="19" name="ClassificationContentMarkingHeaderShapeIds">
    <vt:lpwstr>20238a3b,33d08159,24cbf427,4ef86fca,5453675e,568b7bab</vt:lpwstr>
  </property>
  <property fmtid="{D5CDD505-2E9C-101B-9397-08002B2CF9AE}" pid="20" name="ClassificationContentMarkingHeaderFontProps">
    <vt:lpwstr>#000000,12,Aptos</vt:lpwstr>
  </property>
  <property fmtid="{D5CDD505-2E9C-101B-9397-08002B2CF9AE}" pid="21" name="ClassificationContentMarkingHeaderText">
    <vt:lpwstr>EBA Regular Use</vt:lpwstr>
  </property>
  <property fmtid="{D5CDD505-2E9C-101B-9397-08002B2CF9AE}" pid="22" name="DQCStatus">
    <vt:lpwstr>Green (DQC version 03)</vt:lpwstr>
  </property>
</Properties>
</file>