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33F" w:rsidRPr="009E775D" w:rsidRDefault="00770367" w:rsidP="0077036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11DF25F-5DBB-4EE2-AAD7-376C4BEE3F38" style="width:455.25pt;height:383.25pt">
            <v:imagedata r:id="rId11" o:title=""/>
          </v:shape>
        </w:pict>
      </w:r>
    </w:p>
    <w:p w:rsidR="00FE7FED" w:rsidRPr="009E775D" w:rsidRDefault="00FE7FED">
      <w:pPr>
        <w:rPr>
          <w:noProof/>
        </w:rPr>
        <w:sectPr w:rsidR="00FE7FED" w:rsidRPr="009E775D" w:rsidSect="00770367">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rsidR="009713B0" w:rsidRPr="009E775D" w:rsidRDefault="009E775D" w:rsidP="009E775D">
      <w:pPr>
        <w:pStyle w:val="Typedudocument"/>
        <w:rPr>
          <w:noProof/>
        </w:rPr>
      </w:pPr>
      <w:bookmarkStart w:id="0" w:name="_Hlk209178632"/>
      <w:bookmarkStart w:id="1" w:name="_GoBack"/>
      <w:bookmarkEnd w:id="1"/>
      <w:r w:rsidRPr="009E775D">
        <w:rPr>
          <w:noProof/>
        </w:rPr>
        <w:lastRenderedPageBreak/>
        <w:t>РЕГЛАМЕНТ ЗА ИЗПЪЛНЕНИЕ (ЕС) .../… НА КОМИСИЯТА</w:t>
      </w:r>
    </w:p>
    <w:p w:rsidR="009713B0" w:rsidRPr="009E775D" w:rsidRDefault="00FC7139" w:rsidP="009E775D">
      <w:pPr>
        <w:pStyle w:val="Datedadoption"/>
        <w:rPr>
          <w:noProof/>
        </w:rPr>
      </w:pPr>
      <w:r>
        <w:rPr>
          <w:noProof/>
        </w:rPr>
        <w:t>от 1.10.2025 година</w:t>
      </w:r>
    </w:p>
    <w:p w:rsidR="009713B0" w:rsidRPr="009E775D" w:rsidRDefault="009E775D" w:rsidP="009E775D">
      <w:pPr>
        <w:pStyle w:val="Titreobjet"/>
        <w:rPr>
          <w:noProof/>
        </w:rPr>
      </w:pPr>
      <w:r w:rsidRPr="009E775D">
        <w:rPr>
          <w:noProof/>
        </w:rPr>
        <w:t>за определяне на технически стандарти за изпълнение за прилагането на Регламент (ЕС) № 260/2012 на Европейския парламент и на Съвета по отношение на единните образци за докладване, указанията и методиката за докладване на размера на таксите за кредитни преводи, незабавни кредитни преводи и платежни сметки, както и на дела на отказаните операции</w:t>
      </w:r>
    </w:p>
    <w:bookmarkEnd w:id="0"/>
    <w:p w:rsidR="009713B0" w:rsidRPr="009E775D" w:rsidRDefault="009713B0" w:rsidP="009713B0">
      <w:pPr>
        <w:pStyle w:val="Institutionquiagit"/>
        <w:rPr>
          <w:noProof/>
        </w:rPr>
      </w:pPr>
      <w:r w:rsidRPr="009E775D">
        <w:rPr>
          <w:noProof/>
        </w:rPr>
        <w:t>ЕВРОПЕЙСКАТА КОМИСИЯ,</w:t>
      </w:r>
    </w:p>
    <w:p w:rsidR="009713B0" w:rsidRPr="009E775D" w:rsidRDefault="009713B0" w:rsidP="009713B0">
      <w:pPr>
        <w:rPr>
          <w:noProof/>
          <w:color w:val="000000"/>
        </w:rPr>
      </w:pPr>
      <w:r w:rsidRPr="009E775D">
        <w:rPr>
          <w:noProof/>
          <w:color w:val="000000"/>
        </w:rPr>
        <w:t>като взе предвид Договора за функционирането на Европейския съюз,</w:t>
      </w:r>
    </w:p>
    <w:p w:rsidR="009713B0" w:rsidRPr="009E775D" w:rsidRDefault="009713B0" w:rsidP="009713B0">
      <w:pPr>
        <w:rPr>
          <w:noProof/>
          <w:color w:val="000000"/>
        </w:rPr>
      </w:pPr>
      <w:r w:rsidRPr="009E775D">
        <w:rPr>
          <w:noProof/>
          <w:color w:val="000000"/>
        </w:rPr>
        <w:t>като взе предвид Регламент (ЕС) № 260/2012 на Европейския парламент и на Съвета от 14 март 2012 г. за определяне на технически и бизнес изисквания за кредитни преводи и директни дебити в евро и за изменение на Регламент (ЕО) № 924/2009</w:t>
      </w:r>
      <w:r w:rsidRPr="009E775D">
        <w:rPr>
          <w:rStyle w:val="FootnoteReference"/>
          <w:noProof/>
          <w:color w:val="000000"/>
        </w:rPr>
        <w:footnoteReference w:id="2"/>
      </w:r>
      <w:r w:rsidRPr="009E775D">
        <w:rPr>
          <w:noProof/>
          <w:color w:val="000000"/>
        </w:rPr>
        <w:t xml:space="preserve">, и по-специално член 15, параграф 5, трета алинея от него, </w:t>
      </w:r>
    </w:p>
    <w:p w:rsidR="009713B0" w:rsidRPr="009E775D" w:rsidRDefault="009713B0" w:rsidP="009713B0">
      <w:pPr>
        <w:rPr>
          <w:noProof/>
        </w:rPr>
      </w:pPr>
      <w:r w:rsidRPr="009E775D">
        <w:rPr>
          <w:noProof/>
          <w:color w:val="000000"/>
        </w:rPr>
        <w:t>като има предвид, че</w:t>
      </w:r>
      <w:r w:rsidRPr="009E775D">
        <w:rPr>
          <w:noProof/>
        </w:rPr>
        <w:t>:</w:t>
      </w:r>
    </w:p>
    <w:p w:rsidR="00AC0006" w:rsidRPr="009E775D" w:rsidRDefault="00FE07C8" w:rsidP="00FE07C8">
      <w:pPr>
        <w:pStyle w:val="ManualConsidrant"/>
        <w:rPr>
          <w:noProof/>
        </w:rPr>
      </w:pPr>
      <w:r w:rsidRPr="00FE07C8">
        <w:rPr>
          <w:noProof/>
        </w:rPr>
        <w:t>(1)</w:t>
      </w:r>
      <w:r w:rsidRPr="00FE07C8">
        <w:rPr>
          <w:noProof/>
        </w:rPr>
        <w:tab/>
      </w:r>
      <w:r w:rsidR="00925CEE" w:rsidRPr="009E775D">
        <w:rPr>
          <w:noProof/>
        </w:rPr>
        <w:t xml:space="preserve">Докладването на размера на таксите съгласно член 15, параграф 3 от Регламент (ЕС) № 260/2012 следва да позволи на Комисията да оцени въздействието на правилото за начисляваните за незабавни кредитни преводи такси, предвидено в член 5б, параграф 1 от посочения регламент, върху таксите за платежните сметки както за националните, така и за презграничните кредитни преводи, и за незабавните кредитни преводи в евро и в националната валута на държавите членки, чиято парична единица не е еврото. Таксите, начислявани от доставчиците на платежни услуги (ДПУ) за кредитни преводи, включително за незабавни кредитни преводи, обикновено варират в зависимост от характеристиките на съответния кредитен превод. Тези характеристики може да се отнасят до това дали ползвателят на платежни услуги (ППУ) е платец или получател, потребител или не, или до вида на начина за иницииране на плащане. Следователно докладването във връзка с изпратените кредитни преводи следва да включва разбивки по национални и презгранични преводи, вид на ППУ и начин за иницииране на плащане. </w:t>
      </w:r>
    </w:p>
    <w:p w:rsidR="00F133B9" w:rsidRPr="009E775D" w:rsidRDefault="00FE07C8" w:rsidP="00FE07C8">
      <w:pPr>
        <w:pStyle w:val="ManualConsidrant"/>
        <w:rPr>
          <w:noProof/>
        </w:rPr>
      </w:pPr>
      <w:r w:rsidRPr="00FE07C8">
        <w:rPr>
          <w:noProof/>
        </w:rPr>
        <w:t>(2)</w:t>
      </w:r>
      <w:r w:rsidRPr="00FE07C8">
        <w:rPr>
          <w:noProof/>
        </w:rPr>
        <w:tab/>
      </w:r>
      <w:r w:rsidR="00914C54" w:rsidRPr="009E775D">
        <w:rPr>
          <w:noProof/>
        </w:rPr>
        <w:t>ДПУ може да изберат да определят таксите за всяка операция или в номинално изражение, или като процент от стойността на операцията. ДПУ може също така да изберат алтернативни структури на начисляване на такси, в това число диференцирано ценообразуване, основано на различни диапазони на стойността на операцията, или подходи, при които определен брой операции на месец са безплатни, след което се прилага такса за всяка операция. Би било нежелателно подобна хетерогенност на търговските практики да доведе до заобикаляне на целта на правилото относно таксите за незабавни кредитни преводи, установено в член 5б, параграф 1 от Регламент (ЕС) № 260/2012. Методиката за докладване на информацията относно размера на таксите за редовни и незабавни кредитни преводи следва да позволи на Комисията — въпреки различните методи на начисляване на такси, използвани от ДПУ — да оценява предоставената от ДПУ информация по еднакъв и сравним начин на равнището на даден ДПУ във времето и за различните ДПУ в даден момент. Поради това докладването следва да съдържа информация за общите агрегирани такси, обема и стойността на кредитните преводи, включително незабавните кредитни преводи, в национална валута. Докладването във връзка с кредитните преводи, както изпратени, така и получени, следва да включва и разбивка по безплатни и платени кредитни преводи.</w:t>
      </w:r>
    </w:p>
    <w:p w:rsidR="009713B0" w:rsidRPr="009E775D" w:rsidRDefault="00FE07C8" w:rsidP="00FE07C8">
      <w:pPr>
        <w:pStyle w:val="ManualConsidrant"/>
        <w:rPr>
          <w:noProof/>
        </w:rPr>
      </w:pPr>
      <w:r w:rsidRPr="00FE07C8">
        <w:rPr>
          <w:noProof/>
        </w:rPr>
        <w:t>(3)</w:t>
      </w:r>
      <w:r w:rsidRPr="00FE07C8">
        <w:rPr>
          <w:noProof/>
        </w:rPr>
        <w:tab/>
      </w:r>
      <w:r w:rsidR="004425F3" w:rsidRPr="009E775D">
        <w:rPr>
          <w:noProof/>
        </w:rPr>
        <w:t>ДПУ следва да спазват задължението си да представят доклади, предвидено в член 15, параграф 3 от Регламент (ЕС) № 260/2012, на равнището на отделния субект. За да се осигури съответствие с подхода за докладване на статистически данни за плащанията пред ЕЦБ, клоновете на ДПУ, които се намират в държави членки, различни от държавите членки на техните дружества майки, следва да представят своите данни на компетентния орган на приемащата държава членка, а дружествата майки следва да докладват своите данни пред компетентния орган на своята държава членка по произход.</w:t>
      </w:r>
    </w:p>
    <w:p w:rsidR="009713B0" w:rsidRPr="009E775D" w:rsidRDefault="00FE07C8" w:rsidP="00FE07C8">
      <w:pPr>
        <w:pStyle w:val="ManualConsidrant"/>
        <w:rPr>
          <w:noProof/>
        </w:rPr>
      </w:pPr>
      <w:r w:rsidRPr="00FE07C8">
        <w:rPr>
          <w:noProof/>
        </w:rPr>
        <w:t>(4)</w:t>
      </w:r>
      <w:r w:rsidRPr="00FE07C8">
        <w:rPr>
          <w:noProof/>
        </w:rPr>
        <w:tab/>
      </w:r>
      <w:r w:rsidR="000D1771" w:rsidRPr="009E775D">
        <w:rPr>
          <w:noProof/>
        </w:rPr>
        <w:t>ДПУ, които се намират в държави членки, чиято парична единица не е еврото, и които предлагат на своите ППУ платежната услуга за получаване и изпращане на редовни кредитни преводи в евро, са задължени да предложат на своите ППУ платежната услуга за получаване на незабавни кредитни преводи в евро до 9 януари 2027 г., а платежната услуга за изпращане на незабавни кредитни преводи в евро — до 9 юли 2027 г., както е предвидено в член 5а, параграф 8 от Регламент (ЕС) № 260/2012. Тези ДПУ следва също така да спазват задълженията относно таксите, начислявани на платците и получателите на плащанията във връзка с изпращането и получаването на незабавни кредитни преводи в евро, до 9 януари 2027 г. в съответствие с член 5б, параграф 3, втора алинея от посочения регламент. За да се даде възможност на Комисията да оцени въздействието на Регламент (ЕС) № 260/2012 върху размера на таксите за кредитни преводи, включително незабавни кредитни преводи, деноминирани в националната валута на държавите членки, чиято парична единица не е еврото, съгласно член 15, параграф 2, буква а) от посочения регламент, е целесъобразно ДПУ, които се намират в тези държави членки и които предлагат на своите ППУ платежната услуга за получаване и изпращане на редовни кредитни преводи в евро, да докладват за броя и стойностите на кредитните преводи, включително незабавните кредитни преводи, деноминирани в тяхната национална валута и в евро, както и за таксите за тези преводи.</w:t>
      </w:r>
    </w:p>
    <w:p w:rsidR="009713B0" w:rsidRPr="009E775D" w:rsidRDefault="00FE07C8" w:rsidP="00FE07C8">
      <w:pPr>
        <w:pStyle w:val="ManualConsidrant"/>
        <w:rPr>
          <w:noProof/>
        </w:rPr>
      </w:pPr>
      <w:r w:rsidRPr="00FE07C8">
        <w:rPr>
          <w:noProof/>
        </w:rPr>
        <w:t>(5)</w:t>
      </w:r>
      <w:r w:rsidRPr="00FE07C8">
        <w:rPr>
          <w:noProof/>
        </w:rPr>
        <w:tab/>
      </w:r>
      <w:r w:rsidR="009713B0" w:rsidRPr="009E775D">
        <w:rPr>
          <w:noProof/>
        </w:rPr>
        <w:t>За целите на докладването в съответствие с член 15, параграф 3 от Регламент (ЕС) № 260/2012 ДПУ следва да предоставят на своите компетентни органи данни за общия брой платежни сметки и за агрегирания размер на общите такси за платежни сметки. За да се даде възможност на Комисията да оцени дали има връзка между потенциалните промени в таксите за платежни сметки и промените в таксите за кредитни преводи и незабавни кредитни преводи, докладването следва да включва разбивки за таксите за поддържане.</w:t>
      </w:r>
    </w:p>
    <w:p w:rsidR="009713B0" w:rsidRPr="009E775D" w:rsidRDefault="00FE07C8" w:rsidP="00FE07C8">
      <w:pPr>
        <w:pStyle w:val="ManualConsidrant"/>
        <w:rPr>
          <w:noProof/>
        </w:rPr>
      </w:pPr>
      <w:r w:rsidRPr="00FE07C8">
        <w:rPr>
          <w:noProof/>
        </w:rPr>
        <w:t>(6)</w:t>
      </w:r>
      <w:r w:rsidRPr="00FE07C8">
        <w:rPr>
          <w:noProof/>
        </w:rPr>
        <w:tab/>
      </w:r>
      <w:r w:rsidR="00136075" w:rsidRPr="009E775D">
        <w:rPr>
          <w:noProof/>
        </w:rPr>
        <w:t>За да се даде възможност на Комисията да оцени дела на незабавните кредитни преводи, отказани поради прилагането на конкретни финансови ограничителни мерки, приети в съответствие с член 215 от Договора за функционирането на Европейския съюз, и да оцени дали този дял се е променил след началото на прилагането на измененията на Регламент (ЕС) № 260/2012, въведени с Регламент (ЕС) 2024/886 на Европейския парламент и на Съвета</w:t>
      </w:r>
      <w:r w:rsidR="00136075" w:rsidRPr="009E775D">
        <w:rPr>
          <w:rStyle w:val="FootnoteReference"/>
          <w:noProof/>
        </w:rPr>
        <w:footnoteReference w:id="3"/>
      </w:r>
      <w:r w:rsidR="00136075" w:rsidRPr="009E775D">
        <w:rPr>
          <w:noProof/>
        </w:rPr>
        <w:t xml:space="preserve">, ДПУ следва да предоставят на своите компетентни органи данни за този дял през дадена година, включително за броя на случаите, в които незабавни кредитни преводи не са били изпълнени или средствата са били замразени от страна на ДПУ на платеца или на получателя. </w:t>
      </w:r>
    </w:p>
    <w:p w:rsidR="0039723A" w:rsidRPr="009E775D" w:rsidRDefault="00FE07C8" w:rsidP="00FE07C8">
      <w:pPr>
        <w:pStyle w:val="ManualConsidrant"/>
        <w:rPr>
          <w:noProof/>
        </w:rPr>
      </w:pPr>
      <w:r w:rsidRPr="00FE07C8">
        <w:rPr>
          <w:noProof/>
        </w:rPr>
        <w:t>(7)</w:t>
      </w:r>
      <w:r w:rsidRPr="00FE07C8">
        <w:rPr>
          <w:noProof/>
        </w:rPr>
        <w:tab/>
      </w:r>
      <w:r w:rsidR="00B17DF1" w:rsidRPr="009E775D">
        <w:rPr>
          <w:noProof/>
        </w:rPr>
        <w:t>За да се хармонизира докладването, ДПУ следва да използват информационния модел за данните и формулите за утвърждаване, достъпни на уебсайта на Европейския банков орган (ЕБО). Освен това, за да се намали тежестта на докладването и да се избегне дублиране, компетентните органи следва да могат да разрешават на ДПУ, които се намират в тяхната юрисдикция, да ограничат докладването до онези данни, които не са били представени преди това.</w:t>
      </w:r>
    </w:p>
    <w:p w:rsidR="009713B0" w:rsidRPr="009E775D" w:rsidRDefault="00FE07C8" w:rsidP="00FE07C8">
      <w:pPr>
        <w:pStyle w:val="ManualConsidrant"/>
        <w:rPr>
          <w:noProof/>
        </w:rPr>
      </w:pPr>
      <w:r w:rsidRPr="00FE07C8">
        <w:rPr>
          <w:noProof/>
        </w:rPr>
        <w:t>(8)</w:t>
      </w:r>
      <w:r w:rsidRPr="00FE07C8">
        <w:rPr>
          <w:noProof/>
        </w:rPr>
        <w:tab/>
      </w:r>
      <w:r w:rsidR="009713B0" w:rsidRPr="009E775D">
        <w:rPr>
          <w:noProof/>
        </w:rPr>
        <w:t>Настоящият регламент е изготвен въз основа на проекта на технически стандарти за изпълнение, представени на Комисията от ЕБО.</w:t>
      </w:r>
    </w:p>
    <w:p w:rsidR="009713B0" w:rsidRPr="009E775D" w:rsidRDefault="00FE07C8" w:rsidP="00FE07C8">
      <w:pPr>
        <w:pStyle w:val="ManualConsidrant"/>
        <w:rPr>
          <w:noProof/>
        </w:rPr>
      </w:pPr>
      <w:r w:rsidRPr="00FE07C8">
        <w:rPr>
          <w:noProof/>
        </w:rPr>
        <w:t>(9)</w:t>
      </w:r>
      <w:r w:rsidRPr="00FE07C8">
        <w:rPr>
          <w:noProof/>
        </w:rPr>
        <w:tab/>
      </w:r>
      <w:r w:rsidR="009713B0" w:rsidRPr="009E775D">
        <w:rPr>
          <w:noProof/>
        </w:rPr>
        <w:t>ЕБО проведе открити обществени консултации по проекта на технически стандарти за изпълнение, въз основа на които е изготвен настоящият регламент, анализира потенциалните разходи и ползи и поиска становище от Групата на участниците от банковия сектор, създадена по силата на член 37 от Регламент (ЕС) № 1093/2010 на Европейския парламент и на Съвета</w:t>
      </w:r>
      <w:r w:rsidR="009713B0" w:rsidRPr="009E775D">
        <w:rPr>
          <w:rStyle w:val="FootnoteReference"/>
          <w:noProof/>
        </w:rPr>
        <w:footnoteReference w:id="4"/>
      </w:r>
      <w:r w:rsidR="009713B0" w:rsidRPr="009E775D">
        <w:rPr>
          <w:noProof/>
        </w:rPr>
        <w:t>,</w:t>
      </w:r>
    </w:p>
    <w:p w:rsidR="009713B0" w:rsidRPr="009E775D" w:rsidRDefault="009713B0" w:rsidP="009713B0">
      <w:pPr>
        <w:pStyle w:val="Formuledadoption"/>
        <w:rPr>
          <w:noProof/>
        </w:rPr>
      </w:pPr>
      <w:r w:rsidRPr="009E775D">
        <w:rPr>
          <w:noProof/>
        </w:rPr>
        <w:t>ПРИЕ НАСТОЯЩИЯ РЕГЛАМЕНТ:</w:t>
      </w:r>
    </w:p>
    <w:p w:rsidR="009713B0" w:rsidRPr="009E775D" w:rsidRDefault="009713B0" w:rsidP="009713B0">
      <w:pPr>
        <w:pStyle w:val="Titrearticle"/>
        <w:rPr>
          <w:noProof/>
        </w:rPr>
      </w:pPr>
      <w:r w:rsidRPr="009E775D">
        <w:rPr>
          <w:noProof/>
        </w:rPr>
        <w:t>Член 1</w:t>
      </w:r>
    </w:p>
    <w:p w:rsidR="009713B0" w:rsidRPr="009E775D" w:rsidRDefault="009713B0" w:rsidP="009713B0">
      <w:pPr>
        <w:jc w:val="center"/>
        <w:rPr>
          <w:b/>
          <w:bCs/>
          <w:noProof/>
        </w:rPr>
      </w:pPr>
      <w:r w:rsidRPr="009E775D">
        <w:rPr>
          <w:b/>
          <w:noProof/>
        </w:rPr>
        <w:t>Докладване относно размера на таксите</w:t>
      </w:r>
    </w:p>
    <w:p w:rsidR="009713B0" w:rsidRPr="009E775D" w:rsidRDefault="009713B0" w:rsidP="009713B0">
      <w:pPr>
        <w:pStyle w:val="Point0"/>
        <w:rPr>
          <w:noProof/>
        </w:rPr>
      </w:pPr>
      <w:r w:rsidRPr="009E775D">
        <w:rPr>
          <w:noProof/>
        </w:rPr>
        <w:t>1.</w:t>
      </w:r>
      <w:r w:rsidRPr="009E775D">
        <w:rPr>
          <w:noProof/>
        </w:rPr>
        <w:tab/>
        <w:t>ДПУ докладват размера на таксите за кредитни преводи, незабавни кредитни преводи и платежни сметки, като представят информацията, посочена в образци 1.1, 1.2, 2.1, 2.2 и 3, включени в приложение I, и в съответствие с указанията, изложени в приложение II.</w:t>
      </w:r>
    </w:p>
    <w:p w:rsidR="009713B0" w:rsidRPr="009E775D" w:rsidRDefault="009713B0" w:rsidP="009713B0">
      <w:pPr>
        <w:pStyle w:val="Point0"/>
        <w:rPr>
          <w:noProof/>
        </w:rPr>
      </w:pPr>
      <w:r w:rsidRPr="009E775D">
        <w:rPr>
          <w:noProof/>
        </w:rPr>
        <w:t>2.</w:t>
      </w:r>
      <w:r w:rsidRPr="009E775D">
        <w:rPr>
          <w:noProof/>
        </w:rPr>
        <w:tab/>
        <w:t>ДПУ докладват годишните обобщени данни до 31 декември на календарната година, предхождаща годината, в която е представен докладът.</w:t>
      </w:r>
    </w:p>
    <w:p w:rsidR="009713B0" w:rsidRPr="009E775D" w:rsidRDefault="009713B0" w:rsidP="009713B0">
      <w:pPr>
        <w:pStyle w:val="Point0"/>
        <w:rPr>
          <w:noProof/>
        </w:rPr>
      </w:pPr>
      <w:r w:rsidRPr="009E775D">
        <w:rPr>
          <w:noProof/>
        </w:rPr>
        <w:t>3.</w:t>
      </w:r>
      <w:r w:rsidRPr="009E775D">
        <w:rPr>
          <w:noProof/>
        </w:rPr>
        <w:tab/>
        <w:t>Чрез дерогация от параграф 2 първият хармонизиран доклад съдържа обобщени данни за всяка година, предхождаща годината, в която е представен докладът, като за 2022 г. се започва с периода от 26 октомври 2022 г. до 31 декември 2022 г.</w:t>
      </w:r>
    </w:p>
    <w:p w:rsidR="009713B0" w:rsidRPr="009E775D" w:rsidRDefault="009713B0" w:rsidP="009713B0">
      <w:pPr>
        <w:pStyle w:val="Titrearticle"/>
        <w:rPr>
          <w:noProof/>
        </w:rPr>
      </w:pPr>
      <w:r w:rsidRPr="009E775D">
        <w:rPr>
          <w:noProof/>
        </w:rPr>
        <w:t>Член 2</w:t>
      </w:r>
    </w:p>
    <w:p w:rsidR="009713B0" w:rsidRPr="009E775D" w:rsidRDefault="009713B0" w:rsidP="009713B0">
      <w:pPr>
        <w:jc w:val="center"/>
        <w:rPr>
          <w:b/>
          <w:bCs/>
          <w:noProof/>
        </w:rPr>
      </w:pPr>
      <w:r w:rsidRPr="009E775D">
        <w:rPr>
          <w:b/>
          <w:noProof/>
        </w:rPr>
        <w:t>Докладване на дела на отказаните операции за незабавен кредитен превод и референтни периоди</w:t>
      </w:r>
    </w:p>
    <w:p w:rsidR="009713B0" w:rsidRPr="009E775D" w:rsidRDefault="009713B0" w:rsidP="009713B0">
      <w:pPr>
        <w:pStyle w:val="Point0"/>
        <w:rPr>
          <w:noProof/>
        </w:rPr>
      </w:pPr>
      <w:r w:rsidRPr="009E775D">
        <w:rPr>
          <w:noProof/>
        </w:rPr>
        <w:t>1.</w:t>
      </w:r>
      <w:r w:rsidRPr="009E775D">
        <w:rPr>
          <w:noProof/>
        </w:rPr>
        <w:tab/>
        <w:t>ДПУ докладват дела на операциите за незабавен кредитен превод, които са били отказани поради конкретни финансови ограничителни мерки, както е посочено в член 15, параграф 3 от Регламент (ЕС) № 260/2012, в това число отделни данни за националните и презграничните операции, като представят информацията, посочена в образец 4, включен в приложение I, и в съответствие с указанията, изложени в приложение II.</w:t>
      </w:r>
    </w:p>
    <w:p w:rsidR="009713B0" w:rsidRPr="009E775D" w:rsidRDefault="009713B0" w:rsidP="009713B0">
      <w:pPr>
        <w:pStyle w:val="Point0"/>
        <w:rPr>
          <w:noProof/>
        </w:rPr>
      </w:pPr>
      <w:r w:rsidRPr="009E775D">
        <w:rPr>
          <w:noProof/>
        </w:rPr>
        <w:t>2.</w:t>
      </w:r>
      <w:r w:rsidRPr="009E775D">
        <w:rPr>
          <w:noProof/>
        </w:rPr>
        <w:tab/>
        <w:t>Докладите включват броя на отказите за календарната година, предхождаща годината, в която е представен докладът.</w:t>
      </w:r>
    </w:p>
    <w:p w:rsidR="00AD7B15" w:rsidRPr="009E775D" w:rsidRDefault="009713B0" w:rsidP="009713B0">
      <w:pPr>
        <w:pStyle w:val="Point0"/>
        <w:rPr>
          <w:noProof/>
        </w:rPr>
      </w:pPr>
      <w:r w:rsidRPr="009E775D">
        <w:rPr>
          <w:noProof/>
        </w:rPr>
        <w:t>3.</w:t>
      </w:r>
      <w:r w:rsidRPr="009E775D">
        <w:rPr>
          <w:noProof/>
        </w:rPr>
        <w:tab/>
        <w:t>Чрез дерогация от параграф 2 първият хармонизиран доклад съдържа попълнените образци с броя на отказите за всяка година, предхождаща годината, в която е представен докладът, като за 2022 г. се започва с периода от 26 октомври 2022 г. до 31 декември 2022 г.</w:t>
      </w:r>
    </w:p>
    <w:p w:rsidR="00AD7B15" w:rsidRPr="009E775D" w:rsidRDefault="00AD7B15">
      <w:pPr>
        <w:spacing w:before="0" w:after="200" w:line="276" w:lineRule="auto"/>
        <w:jc w:val="left"/>
        <w:rPr>
          <w:noProof/>
        </w:rPr>
      </w:pPr>
      <w:r w:rsidRPr="009E775D">
        <w:rPr>
          <w:noProof/>
        </w:rPr>
        <w:br w:type="page"/>
      </w:r>
    </w:p>
    <w:p w:rsidR="009713B0" w:rsidRPr="009E775D" w:rsidRDefault="009713B0" w:rsidP="009713B0">
      <w:pPr>
        <w:pStyle w:val="Titrearticle"/>
        <w:rPr>
          <w:noProof/>
        </w:rPr>
      </w:pPr>
      <w:r w:rsidRPr="009E775D">
        <w:rPr>
          <w:noProof/>
        </w:rPr>
        <w:t>Член 3</w:t>
      </w:r>
    </w:p>
    <w:p w:rsidR="009713B0" w:rsidRPr="009E775D" w:rsidRDefault="009713B0" w:rsidP="009713B0">
      <w:pPr>
        <w:jc w:val="center"/>
        <w:rPr>
          <w:b/>
          <w:bCs/>
          <w:noProof/>
        </w:rPr>
      </w:pPr>
      <w:r w:rsidRPr="009E775D">
        <w:rPr>
          <w:b/>
          <w:noProof/>
        </w:rPr>
        <w:t>Формати за обмен на данни и информация, придружаваща подаването на данни</w:t>
      </w:r>
    </w:p>
    <w:p w:rsidR="009713B0" w:rsidRPr="009E775D" w:rsidRDefault="009713B0" w:rsidP="009713B0">
      <w:pPr>
        <w:rPr>
          <w:noProof/>
        </w:rPr>
      </w:pPr>
      <w:r w:rsidRPr="009E775D">
        <w:rPr>
          <w:noProof/>
        </w:rPr>
        <w:t>ДПУ представят информацията, посочена в членове 1 и 2 от настоящия регламент, във форматите за обмен на данни и по начините на представяне, определени от компетентните органи, и съблюдават определенията за данните от информационния модел за данните и формулите за утвърждаване, достъпни на уебсайта на ЕБО. ДПУ изпълняват следните спецификации:</w:t>
      </w:r>
    </w:p>
    <w:p w:rsidR="009713B0" w:rsidRPr="009E775D" w:rsidRDefault="00F04593" w:rsidP="00F04593">
      <w:pPr>
        <w:pStyle w:val="Point0"/>
        <w:rPr>
          <w:noProof/>
        </w:rPr>
      </w:pPr>
      <w:r>
        <w:rPr>
          <w:noProof/>
        </w:rPr>
        <w:t>а)</w:t>
      </w:r>
      <w:r>
        <w:rPr>
          <w:noProof/>
        </w:rPr>
        <w:tab/>
      </w:r>
      <w:r w:rsidR="009713B0" w:rsidRPr="009E775D">
        <w:rPr>
          <w:noProof/>
        </w:rPr>
        <w:t>в подадените данни не се включва информация, която не е изискана или не е приложима;</w:t>
      </w:r>
    </w:p>
    <w:p w:rsidR="009713B0" w:rsidRPr="009E775D" w:rsidRDefault="00F04593" w:rsidP="00F04593">
      <w:pPr>
        <w:pStyle w:val="Point0"/>
        <w:rPr>
          <w:noProof/>
        </w:rPr>
      </w:pPr>
      <w:r>
        <w:rPr>
          <w:noProof/>
        </w:rPr>
        <w:t>б)</w:t>
      </w:r>
      <w:r>
        <w:rPr>
          <w:noProof/>
        </w:rPr>
        <w:tab/>
      </w:r>
      <w:r w:rsidR="009713B0" w:rsidRPr="009E775D">
        <w:rPr>
          <w:noProof/>
        </w:rPr>
        <w:t>числените стойности се подават, както следва:</w:t>
      </w:r>
    </w:p>
    <w:p w:rsidR="009713B0" w:rsidRPr="009E775D" w:rsidRDefault="0055071E" w:rsidP="009713B0">
      <w:pPr>
        <w:pStyle w:val="Point1"/>
        <w:rPr>
          <w:noProof/>
        </w:rPr>
      </w:pPr>
      <w:r w:rsidRPr="009E775D">
        <w:rPr>
          <w:noProof/>
        </w:rPr>
        <w:t>i)</w:t>
      </w:r>
      <w:r w:rsidRPr="009E775D">
        <w:rPr>
          <w:noProof/>
        </w:rPr>
        <w:tab/>
        <w:t>ДПУ докладват данните от вид „паричен“ с минимална точност до хиляда единици;</w:t>
      </w:r>
    </w:p>
    <w:p w:rsidR="009713B0" w:rsidRPr="009E775D" w:rsidRDefault="0055071E" w:rsidP="009713B0">
      <w:pPr>
        <w:pStyle w:val="Point1"/>
        <w:rPr>
          <w:noProof/>
        </w:rPr>
      </w:pPr>
      <w:r w:rsidRPr="009E775D">
        <w:rPr>
          <w:noProof/>
        </w:rPr>
        <w:t>ii)</w:t>
      </w:r>
      <w:r w:rsidRPr="009E775D">
        <w:rPr>
          <w:noProof/>
        </w:rPr>
        <w:tab/>
        <w:t>ДПУ докладват данните от тип „цяло число“ без десетични знаци с точност до единици.</w:t>
      </w:r>
    </w:p>
    <w:p w:rsidR="009713B0" w:rsidRPr="009E775D" w:rsidRDefault="009713B0" w:rsidP="009713B0">
      <w:pPr>
        <w:pStyle w:val="Titrearticle"/>
        <w:rPr>
          <w:noProof/>
        </w:rPr>
      </w:pPr>
      <w:r w:rsidRPr="009E775D">
        <w:rPr>
          <w:noProof/>
        </w:rPr>
        <w:t>Член 4</w:t>
      </w:r>
    </w:p>
    <w:p w:rsidR="009713B0" w:rsidRPr="009E775D" w:rsidRDefault="009713B0" w:rsidP="009713B0">
      <w:pPr>
        <w:jc w:val="center"/>
        <w:rPr>
          <w:noProof/>
        </w:rPr>
      </w:pPr>
      <w:r w:rsidRPr="009E775D">
        <w:rPr>
          <w:b/>
          <w:noProof/>
        </w:rPr>
        <w:t>Влизане в сила</w:t>
      </w:r>
    </w:p>
    <w:p w:rsidR="009713B0" w:rsidRPr="009E775D" w:rsidRDefault="009713B0" w:rsidP="009713B0">
      <w:pPr>
        <w:rPr>
          <w:noProof/>
        </w:rPr>
      </w:pPr>
      <w:r w:rsidRPr="009E775D">
        <w:rPr>
          <w:noProof/>
        </w:rPr>
        <w:t xml:space="preserve">Настоящият регламент влиза в сила на двадесетия ден след публикуването му в </w:t>
      </w:r>
      <w:r w:rsidRPr="009E775D">
        <w:rPr>
          <w:i/>
          <w:noProof/>
        </w:rPr>
        <w:t>Официален вестник на Европейския съюз</w:t>
      </w:r>
      <w:r w:rsidRPr="009E775D">
        <w:rPr>
          <w:noProof/>
        </w:rPr>
        <w:t>.</w:t>
      </w:r>
    </w:p>
    <w:p w:rsidR="009713B0" w:rsidRPr="009E775D" w:rsidRDefault="009713B0" w:rsidP="009713B0">
      <w:pPr>
        <w:pStyle w:val="Applicationdirecte"/>
        <w:rPr>
          <w:noProof/>
        </w:rPr>
      </w:pPr>
      <w:r w:rsidRPr="009E775D">
        <w:rPr>
          <w:noProof/>
        </w:rPr>
        <w:t>Настоящият регламент е задължителен в своята цялост и се прилага пряко във всички държави членки.</w:t>
      </w:r>
    </w:p>
    <w:p w:rsidR="009713B0" w:rsidRPr="009E775D" w:rsidRDefault="00FC7139" w:rsidP="00664DF1">
      <w:pPr>
        <w:pStyle w:val="Fait"/>
        <w:rPr>
          <w:noProof/>
        </w:rPr>
      </w:pPr>
      <w:r>
        <w:rPr>
          <w:noProof/>
        </w:rPr>
        <w:t>Съставено в Брюксел на 1.10.2025 година.</w:t>
      </w:r>
    </w:p>
    <w:p w:rsidR="009713B0" w:rsidRPr="009E775D" w:rsidRDefault="009713B0" w:rsidP="00664DF1">
      <w:pPr>
        <w:pStyle w:val="Institutionquisigne"/>
        <w:rPr>
          <w:noProof/>
        </w:rPr>
      </w:pPr>
      <w:r w:rsidRPr="009E775D">
        <w:rPr>
          <w:noProof/>
        </w:rPr>
        <w:tab/>
        <w:t>За Комисията</w:t>
      </w:r>
    </w:p>
    <w:p w:rsidR="00FE7FED" w:rsidRPr="009E775D" w:rsidRDefault="00623C2F" w:rsidP="009713B0">
      <w:pPr>
        <w:pStyle w:val="Personnequisigne"/>
        <w:rPr>
          <w:noProof/>
        </w:rPr>
      </w:pPr>
      <w:r>
        <w:rPr>
          <w:noProof/>
        </w:rPr>
        <w:tab/>
        <w:t>Председател</w:t>
      </w:r>
      <w:r>
        <w:rPr>
          <w:noProof/>
        </w:rPr>
        <w:br/>
      </w:r>
      <w:r>
        <w:rPr>
          <w:noProof/>
        </w:rPr>
        <w:tab/>
        <w:t>Ursula VON DER LEYEN</w:t>
      </w:r>
    </w:p>
    <w:sectPr w:rsidR="00FE7FED" w:rsidRPr="009E775D" w:rsidSect="00770367">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EBC" w:rsidRDefault="00973EBC" w:rsidP="00FE7FED">
      <w:pPr>
        <w:spacing w:before="0" w:after="0"/>
      </w:pPr>
      <w:r>
        <w:separator/>
      </w:r>
    </w:p>
  </w:endnote>
  <w:endnote w:type="continuationSeparator" w:id="0">
    <w:p w:rsidR="00973EBC" w:rsidRDefault="00973EBC" w:rsidP="00FE7FED">
      <w:pPr>
        <w:spacing w:before="0" w:after="0"/>
      </w:pPr>
      <w:r>
        <w:continuationSeparator/>
      </w:r>
    </w:p>
  </w:endnote>
  <w:endnote w:type="continuationNotice" w:id="1">
    <w:p w:rsidR="00973EBC" w:rsidRDefault="00973EB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Footer"/>
      <w:rPr>
        <w:rFonts w:ascii="Arial" w:hAnsi="Arial" w:cs="Arial"/>
        <w:b/>
        <w:sz w:val="48"/>
      </w:rPr>
    </w:pPr>
    <w:r w:rsidRPr="00770367">
      <w:rPr>
        <w:rFonts w:ascii="Arial" w:hAnsi="Arial" w:cs="Arial"/>
        <w:b/>
        <w:sz w:val="48"/>
      </w:rPr>
      <w:t>BG</w:t>
    </w:r>
    <w:r w:rsidRPr="00770367">
      <w:rPr>
        <w:rFonts w:ascii="Arial" w:hAnsi="Arial" w:cs="Arial"/>
        <w:b/>
        <w:sz w:val="48"/>
      </w:rPr>
      <w:tab/>
    </w:r>
    <w:r w:rsidRPr="00770367">
      <w:rPr>
        <w:rFonts w:ascii="Arial" w:hAnsi="Arial" w:cs="Arial"/>
        <w:b/>
        <w:sz w:val="48"/>
      </w:rPr>
      <w:tab/>
    </w:r>
    <w:r w:rsidRPr="00770367">
      <w:tab/>
    </w:r>
    <w:r w:rsidRPr="00770367">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Footer"/>
      <w:rPr>
        <w:rFonts w:ascii="Arial" w:hAnsi="Arial" w:cs="Arial"/>
        <w:b/>
        <w:sz w:val="48"/>
      </w:rPr>
    </w:pPr>
    <w:r w:rsidRPr="00770367">
      <w:rPr>
        <w:rFonts w:ascii="Arial" w:hAnsi="Arial" w:cs="Arial"/>
        <w:b/>
        <w:sz w:val="48"/>
      </w:rPr>
      <w:t>BG</w:t>
    </w:r>
    <w:r w:rsidRPr="00770367">
      <w:rPr>
        <w:rFonts w:ascii="Arial" w:hAnsi="Arial" w:cs="Arial"/>
        <w:b/>
        <w:sz w:val="48"/>
      </w:rPr>
      <w:tab/>
    </w:r>
    <w:r w:rsidRPr="00770367">
      <w:rPr>
        <w:rFonts w:ascii="Arial" w:hAnsi="Arial" w:cs="Arial"/>
        <w:b/>
        <w:sz w:val="48"/>
      </w:rPr>
      <w:tab/>
    </w:r>
    <w:r w:rsidRPr="00770367">
      <w:tab/>
    </w:r>
    <w:r w:rsidRPr="00770367">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Default="007703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Footer"/>
      <w:rPr>
        <w:rFonts w:ascii="Arial" w:hAnsi="Arial" w:cs="Arial"/>
        <w:b/>
        <w:sz w:val="48"/>
      </w:rPr>
    </w:pPr>
    <w:r w:rsidRPr="00770367">
      <w:rPr>
        <w:rFonts w:ascii="Arial" w:hAnsi="Arial" w:cs="Arial"/>
        <w:b/>
        <w:sz w:val="48"/>
      </w:rPr>
      <w:t>BG</w:t>
    </w:r>
    <w:r w:rsidRPr="00770367">
      <w:rPr>
        <w:rFonts w:ascii="Arial" w:hAnsi="Arial" w:cs="Arial"/>
        <w:b/>
        <w:sz w:val="48"/>
      </w:rPr>
      <w:tab/>
    </w:r>
    <w:r>
      <w:fldChar w:fldCharType="begin"/>
    </w:r>
    <w:r>
      <w:instrText xml:space="preserve"> PAGE  \* MERGEFORMAT </w:instrText>
    </w:r>
    <w:r>
      <w:fldChar w:fldCharType="separate"/>
    </w:r>
    <w:r w:rsidR="0027229D">
      <w:rPr>
        <w:noProof/>
      </w:rPr>
      <w:t>1</w:t>
    </w:r>
    <w:r>
      <w:fldChar w:fldCharType="end"/>
    </w:r>
    <w:r>
      <w:tab/>
    </w:r>
    <w:r w:rsidRPr="00770367">
      <w:tab/>
    </w:r>
    <w:r w:rsidRPr="00770367">
      <w:rPr>
        <w:rFonts w:ascii="Arial" w:hAnsi="Arial" w:cs="Arial"/>
        <w:b/>
        <w:sz w:val="48"/>
      </w:rPr>
      <w:t>BG</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Default="00770367" w:rsidP="00770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EBC" w:rsidRDefault="00973EBC" w:rsidP="00FE7FED">
      <w:pPr>
        <w:spacing w:before="0" w:after="0"/>
      </w:pPr>
      <w:r>
        <w:separator/>
      </w:r>
    </w:p>
  </w:footnote>
  <w:footnote w:type="continuationSeparator" w:id="0">
    <w:p w:rsidR="00973EBC" w:rsidRDefault="00973EBC" w:rsidP="00FE7FED">
      <w:pPr>
        <w:spacing w:before="0" w:after="0"/>
      </w:pPr>
      <w:r>
        <w:continuationSeparator/>
      </w:r>
    </w:p>
  </w:footnote>
  <w:footnote w:type="continuationNotice" w:id="1">
    <w:p w:rsidR="00973EBC" w:rsidRDefault="00973EBC">
      <w:pPr>
        <w:spacing w:before="0" w:after="0"/>
      </w:pPr>
    </w:p>
  </w:footnote>
  <w:footnote w:id="2">
    <w:p w:rsidR="00A8350B" w:rsidRPr="00A20E96" w:rsidRDefault="00A8350B">
      <w:pPr>
        <w:pStyle w:val="FootnoteText"/>
      </w:pPr>
      <w:r>
        <w:rPr>
          <w:rStyle w:val="FootnoteReference"/>
        </w:rPr>
        <w:footnoteRef/>
      </w:r>
      <w:r>
        <w:tab/>
        <w:t xml:space="preserve">ОВ L 94, 30.3.2012 г., стр. 22, ELI: http://data.europa.eu/eli/reg/2012/260/oj. </w:t>
      </w:r>
    </w:p>
  </w:footnote>
  <w:footnote w:id="3">
    <w:p w:rsidR="00AD7B15" w:rsidRPr="00AD7B15" w:rsidRDefault="00AD7B15" w:rsidP="00D05942">
      <w:pPr>
        <w:pStyle w:val="FootnoteText"/>
        <w:ind w:left="0" w:firstLine="0"/>
      </w:pPr>
      <w:r>
        <w:rPr>
          <w:rStyle w:val="FootnoteReference"/>
        </w:rPr>
        <w:footnoteRef/>
      </w:r>
      <w:r>
        <w:tab/>
        <w:t>Регламент (ЕС) 2024/886 на Европейския парламент и на Съвета от 13 март 2024 г. за изменение на регламенти (ЕС) № 260/2012 и (ЕС) 2021/1230 и на директиви 98/26/ЕО и (ЕС) 2015/2366 по отношение на незабавните кредитни преводи в евро (ОВ L, 2024/886, 19.3.2024 г., ELI: http://data.europa.eu/eli/reg/2024/886/oj).</w:t>
      </w:r>
    </w:p>
  </w:footnote>
  <w:footnote w:id="4">
    <w:p w:rsidR="009713B0" w:rsidRPr="00AD7B15" w:rsidRDefault="009713B0" w:rsidP="009713B0">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(OВ L 331, 15.12.2010 г., стр. 12, ELI: http://data.europa.eu/eli/reg/2010/1093/oj).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Pr="00770367" w:rsidRDefault="00770367" w:rsidP="007703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Default="007703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367" w:rsidRDefault="00770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F9DE80BA"/>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16C0063C"/>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FDEC9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6CE005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3"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4"/>
  </w:num>
  <w:num w:numId="2">
    <w:abstractNumId w:val="1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2"/>
  </w:num>
  <w:num w:numId="7">
    <w:abstractNumId w:val="1"/>
  </w:num>
  <w:num w:numId="8">
    <w:abstractNumId w:val="16"/>
  </w:num>
  <w:num w:numId="9">
    <w:abstractNumId w:val="9"/>
  </w:num>
  <w:num w:numId="10">
    <w:abstractNumId w:val="18"/>
  </w:num>
  <w:num w:numId="11">
    <w:abstractNumId w:val="8"/>
  </w:num>
  <w:num w:numId="12">
    <w:abstractNumId w:val="10"/>
  </w:num>
  <w:num w:numId="13">
    <w:abstractNumId w:val="11"/>
  </w:num>
  <w:num w:numId="14">
    <w:abstractNumId w:val="6"/>
  </w:num>
  <w:num w:numId="15">
    <w:abstractNumId w:val="17"/>
  </w:num>
  <w:num w:numId="16">
    <w:abstractNumId w:val="5"/>
  </w:num>
  <w:num w:numId="17">
    <w:abstractNumId w:val="12"/>
  </w:num>
  <w:num w:numId="18">
    <w:abstractNumId w:val="14"/>
  </w:num>
  <w:num w:numId="19">
    <w:abstractNumId w:val="15"/>
  </w:num>
  <w:num w:numId="20">
    <w:abstractNumId w:val="7"/>
  </w:num>
  <w:num w:numId="21">
    <w:abstractNumId w:val="13"/>
  </w:num>
  <w:num w:numId="22">
    <w:abstractNumId w:val="19"/>
  </w:num>
  <w:num w:numId="23">
    <w:abstractNumId w:val="16"/>
  </w:num>
  <w:num w:numId="24">
    <w:abstractNumId w:val="9"/>
  </w:num>
  <w:num w:numId="25">
    <w:abstractNumId w:val="18"/>
  </w:num>
  <w:num w:numId="26">
    <w:abstractNumId w:val="8"/>
  </w:num>
  <w:num w:numId="27">
    <w:abstractNumId w:val="10"/>
  </w:num>
  <w:num w:numId="28">
    <w:abstractNumId w:val="11"/>
  </w:num>
  <w:num w:numId="29">
    <w:abstractNumId w:val="6"/>
  </w:num>
  <w:num w:numId="30">
    <w:abstractNumId w:val="17"/>
  </w:num>
  <w:num w:numId="31">
    <w:abstractNumId w:val="5"/>
  </w:num>
  <w:num w:numId="32">
    <w:abstractNumId w:val="12"/>
  </w:num>
  <w:num w:numId="33">
    <w:abstractNumId w:val="14"/>
  </w:num>
  <w:num w:numId="34">
    <w:abstractNumId w:val="15"/>
  </w:num>
  <w:num w:numId="35">
    <w:abstractNumId w:val="7"/>
  </w:num>
  <w:num w:numId="36">
    <w:abstractNumId w:val="13"/>
  </w:num>
  <w:num w:numId="3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5-09-30 17:25:3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11DF25F-5DBB-4EE2-AAD7-376C4BEE3F38"/>
    <w:docVar w:name="LW_COVERPAGE_TYPE" w:val="1"/>
    <w:docVar w:name="LW_CreatedUtc" w:val="2025-02-25T08:25:43.0388982Z"/>
    <w:docVar w:name="LW_CROSSREFERENCE" w:val="&lt;UNUSED&gt;"/>
    <w:docVar w:name="LW_DATE.ADOPT.CP" w:val="\u1086?\u1090? 1.10.2025 \u1075?\u1086?\u1076?\u1080?\u1085?\u1072?"/>
    <w:docVar w:name="LW_DATE.ADOPT.CP_DATEFORMAT" w:val="\u1086?\u1090? %DATE% \u1075?\u1086?\u1076?\u1080?\u1085?\u1072?"/>
    <w:docVar w:name="LW_DATE.ADOPT.CP_ISODATE" w:val="2025-10-01"/>
    <w:docVar w:name="LW_DocType" w:val="COM"/>
    <w:docVar w:name="LW_EMISSION" w:val="1.10.2025"/>
    <w:docVar w:name="LW_EMISSION_ISODATE" w:val="2025-10-01"/>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lt;UNUSED&gt;"/>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 \u1089?\u1090?\u1072?\u1085?\u1076?\u1072?\u1088?\u1090?\u1080? \u1079?\u1072? \u1080?\u1079?\u1087?\u1098?\u1083?\u1085?\u1077?\u1085?\u1080?\u1077? \u1079?\u1072? \u1087?\u1088?\u1080?\u1083?\u1072?\u1075?\u1072?\u1085?\u1077?\u1090?\u1086? \u1085?\u1072? \u1056?\u1077?\u1075?\u1083?\u1072?\u1084?\u1077?\u1085?\u1090? (\u1045?\u1057?) \u8470? 260/2012 \u1085?\u1072? \u1045?\u1074?\u1088?\u1086?\u1087?\u1077?\u1081?\u1089?\u1082?\u1080?\u1103? \u1087?\u1072?\u1088?\u1083?\u1072?\u1084?\u1077?\u1085?\u1090? \u1080? \u1085?\u1072? \u1057?\u1098?\u1074?\u1077?\u1090?\u1072? \u1087?\u1086? \u1086?\u1090?\u1085?\u1086?\u1096?\u1077?\u1085?\u1080?\u1077? \u1085?\u1072? \u1077?\u1076?\u1080?\u1085?\u1085?\u1080?\u1090?\u1077? \u1086?\u1073?\u1088?\u1072?\u1079?\u1094?\u1080? \u1079?\u1072? \u1076?\u1086?\u1082?\u1083?\u1072?\u1076?\u1074?\u1072?\u1085?\u1077?, \u1091?\u1082?\u1072?\u1079?\u1072?\u1085?\u1080?\u1103?\u1090?\u1072? \u1080? \u1084?\u1077?\u1090?\u1086?\u1076?\u1080?\u1082?\u1072?\u1090?\u1072? \u1079?\u1072? \u1076?\u1086?\u1082?\u1083?\u1072?\u1076?\u1074?\u1072?\u1085?\u1077? \u1085?\u1072? \u1088?\u1072?\u1079?\u1084?\u1077?\u1088?\u1072? \u1085?\u1072? \u1090?\u1072?\u1082?\u1089?\u1080?\u1090?\u1077? \u1079?\u1072? \u1082?\u1088?\u1077?\u1076?\u1080?\u1090?\u1085?\u1080? \u1087?\u1088?\u1077?\u1074?\u1086?\u1076?\u1080?, \u1085?\u1077?\u1079?\u1072?\u1073?\u1072?\u1074?\u1085?\u1080? \u1082?\u1088?\u1077?\u1076?\u1080?\u1090?\u1085?\u1080? \u1087?\u1088?\u1077?\u1074?\u1086?\u1076?\u1080? \u1080? \u1087?\u1083?\u1072?\u1090?\u1077?\u1078?\u1085?\u1080? \u1089?\u1084?\u1077?\u1090?\u1082?\u1080?, \u1082?\u1072?\u1082?\u1090?\u1086? \u1080? \u1085?\u1072? \u1076?\u1077?\u1083?\u1072? \u1085?\u1072? \u1086?\u1090?\u1082?\u1072?\u1079?\u1072?\u1085?\u1080?\u1090?\u1077? \u1086?\u1087?\u1077?\u1088?\u1072?\u1094?\u1080?\u1080?"/>
    <w:docVar w:name="LW_TYPE.DOC.CP" w:val="\u1056?\u1045?\u1043?\u1051?\u1040?\u1052?\u1045?\u1053?\u1058? \u1047?\u1040? \u1048?\u1047?\u1055?\u1066?\u1051?\u1053?\u1045?\u1053?\u1048?\u1045? (\u1045?\u1057?) .../\u8230? \u1053?\u1040? \u1050?\u1054?\u1052?\u1048?\u1057?\u1048?\u1071?\u1058?\u1040?"/>
    <w:docVar w:name="LwApiVersions" w:val="LW4CoDe 1.24.5.0; LW 9.0, Build 20240221"/>
  </w:docVars>
  <w:rsids>
    <w:rsidRoot w:val="00FE7FED"/>
    <w:rsid w:val="00001BC7"/>
    <w:rsid w:val="000066ED"/>
    <w:rsid w:val="000068B4"/>
    <w:rsid w:val="00006C4B"/>
    <w:rsid w:val="000079A5"/>
    <w:rsid w:val="00014C12"/>
    <w:rsid w:val="00016168"/>
    <w:rsid w:val="00025818"/>
    <w:rsid w:val="0002592C"/>
    <w:rsid w:val="0002598B"/>
    <w:rsid w:val="00033F48"/>
    <w:rsid w:val="000373AB"/>
    <w:rsid w:val="000421B5"/>
    <w:rsid w:val="00042488"/>
    <w:rsid w:val="0004347B"/>
    <w:rsid w:val="00047478"/>
    <w:rsid w:val="000504E3"/>
    <w:rsid w:val="00055CE3"/>
    <w:rsid w:val="0006406A"/>
    <w:rsid w:val="000642D0"/>
    <w:rsid w:val="00072E61"/>
    <w:rsid w:val="000744DD"/>
    <w:rsid w:val="00075170"/>
    <w:rsid w:val="000758A1"/>
    <w:rsid w:val="000768B7"/>
    <w:rsid w:val="0008161A"/>
    <w:rsid w:val="0008224E"/>
    <w:rsid w:val="000847C4"/>
    <w:rsid w:val="00096BAD"/>
    <w:rsid w:val="000A4172"/>
    <w:rsid w:val="000A41FC"/>
    <w:rsid w:val="000A4298"/>
    <w:rsid w:val="000A454E"/>
    <w:rsid w:val="000B2C1B"/>
    <w:rsid w:val="000B7C50"/>
    <w:rsid w:val="000C0B38"/>
    <w:rsid w:val="000C387D"/>
    <w:rsid w:val="000C449F"/>
    <w:rsid w:val="000C4F0E"/>
    <w:rsid w:val="000D043A"/>
    <w:rsid w:val="000D1771"/>
    <w:rsid w:val="000D391D"/>
    <w:rsid w:val="000D5A8B"/>
    <w:rsid w:val="000D6822"/>
    <w:rsid w:val="000E08FA"/>
    <w:rsid w:val="000E15A7"/>
    <w:rsid w:val="000E50E2"/>
    <w:rsid w:val="000E7CB2"/>
    <w:rsid w:val="000F0AA0"/>
    <w:rsid w:val="000F26D8"/>
    <w:rsid w:val="000F4AF6"/>
    <w:rsid w:val="001030E9"/>
    <w:rsid w:val="00104199"/>
    <w:rsid w:val="001065F5"/>
    <w:rsid w:val="001066B5"/>
    <w:rsid w:val="0010750E"/>
    <w:rsid w:val="00114B61"/>
    <w:rsid w:val="0011705A"/>
    <w:rsid w:val="00117E87"/>
    <w:rsid w:val="001238EF"/>
    <w:rsid w:val="00123A96"/>
    <w:rsid w:val="00124229"/>
    <w:rsid w:val="001254D0"/>
    <w:rsid w:val="00126A52"/>
    <w:rsid w:val="001309E5"/>
    <w:rsid w:val="00130A11"/>
    <w:rsid w:val="0013354A"/>
    <w:rsid w:val="00136075"/>
    <w:rsid w:val="00140C92"/>
    <w:rsid w:val="00141111"/>
    <w:rsid w:val="00141C39"/>
    <w:rsid w:val="00142A94"/>
    <w:rsid w:val="00143368"/>
    <w:rsid w:val="0014583F"/>
    <w:rsid w:val="00145DAF"/>
    <w:rsid w:val="001475E9"/>
    <w:rsid w:val="00150298"/>
    <w:rsid w:val="001519B1"/>
    <w:rsid w:val="00152432"/>
    <w:rsid w:val="00153975"/>
    <w:rsid w:val="00153E27"/>
    <w:rsid w:val="00154745"/>
    <w:rsid w:val="00154E88"/>
    <w:rsid w:val="00154ED4"/>
    <w:rsid w:val="00155F1D"/>
    <w:rsid w:val="00156590"/>
    <w:rsid w:val="00160FDD"/>
    <w:rsid w:val="00162F28"/>
    <w:rsid w:val="0016376B"/>
    <w:rsid w:val="0016398E"/>
    <w:rsid w:val="00171733"/>
    <w:rsid w:val="001721CC"/>
    <w:rsid w:val="00180D6D"/>
    <w:rsid w:val="001840A1"/>
    <w:rsid w:val="001913B0"/>
    <w:rsid w:val="00191CEA"/>
    <w:rsid w:val="00197613"/>
    <w:rsid w:val="001A1FA1"/>
    <w:rsid w:val="001A5381"/>
    <w:rsid w:val="001A6744"/>
    <w:rsid w:val="001A7B61"/>
    <w:rsid w:val="001B081E"/>
    <w:rsid w:val="001C0071"/>
    <w:rsid w:val="001C0950"/>
    <w:rsid w:val="001C3C75"/>
    <w:rsid w:val="001C6408"/>
    <w:rsid w:val="001C7C6B"/>
    <w:rsid w:val="001D019A"/>
    <w:rsid w:val="001D08D6"/>
    <w:rsid w:val="001D6BB7"/>
    <w:rsid w:val="001E0062"/>
    <w:rsid w:val="001F78E3"/>
    <w:rsid w:val="00203CF1"/>
    <w:rsid w:val="002102D8"/>
    <w:rsid w:val="00210337"/>
    <w:rsid w:val="00215208"/>
    <w:rsid w:val="002174F2"/>
    <w:rsid w:val="00220F9F"/>
    <w:rsid w:val="0022745F"/>
    <w:rsid w:val="00227D76"/>
    <w:rsid w:val="00230E4C"/>
    <w:rsid w:val="00232FDF"/>
    <w:rsid w:val="002339C3"/>
    <w:rsid w:val="00233DC7"/>
    <w:rsid w:val="0023679A"/>
    <w:rsid w:val="00240C3D"/>
    <w:rsid w:val="00244629"/>
    <w:rsid w:val="002464E8"/>
    <w:rsid w:val="00247779"/>
    <w:rsid w:val="00251C02"/>
    <w:rsid w:val="00251D78"/>
    <w:rsid w:val="002537B3"/>
    <w:rsid w:val="00253A7F"/>
    <w:rsid w:val="00255D10"/>
    <w:rsid w:val="00260F3C"/>
    <w:rsid w:val="002614D0"/>
    <w:rsid w:val="002619F9"/>
    <w:rsid w:val="00262DE1"/>
    <w:rsid w:val="00270578"/>
    <w:rsid w:val="0027229D"/>
    <w:rsid w:val="00281B09"/>
    <w:rsid w:val="00285BEE"/>
    <w:rsid w:val="00287FAC"/>
    <w:rsid w:val="00293F82"/>
    <w:rsid w:val="0029533F"/>
    <w:rsid w:val="002A2EE8"/>
    <w:rsid w:val="002A5779"/>
    <w:rsid w:val="002A5E80"/>
    <w:rsid w:val="002B1522"/>
    <w:rsid w:val="002B30AF"/>
    <w:rsid w:val="002B4662"/>
    <w:rsid w:val="002C0286"/>
    <w:rsid w:val="002C10B5"/>
    <w:rsid w:val="002C1A4F"/>
    <w:rsid w:val="002C5B13"/>
    <w:rsid w:val="002D2CC4"/>
    <w:rsid w:val="002D3A91"/>
    <w:rsid w:val="002D6964"/>
    <w:rsid w:val="002E15CA"/>
    <w:rsid w:val="002E2315"/>
    <w:rsid w:val="002E3165"/>
    <w:rsid w:val="002E53A7"/>
    <w:rsid w:val="002F1C71"/>
    <w:rsid w:val="002F1EE7"/>
    <w:rsid w:val="002F4C83"/>
    <w:rsid w:val="003002E2"/>
    <w:rsid w:val="00303696"/>
    <w:rsid w:val="00311576"/>
    <w:rsid w:val="003119D5"/>
    <w:rsid w:val="00311E05"/>
    <w:rsid w:val="00316FD9"/>
    <w:rsid w:val="003213CE"/>
    <w:rsid w:val="003253A9"/>
    <w:rsid w:val="0033033C"/>
    <w:rsid w:val="00331F2E"/>
    <w:rsid w:val="003327E2"/>
    <w:rsid w:val="0033344A"/>
    <w:rsid w:val="00333E44"/>
    <w:rsid w:val="003429AC"/>
    <w:rsid w:val="00342B4F"/>
    <w:rsid w:val="003444B9"/>
    <w:rsid w:val="00345DA0"/>
    <w:rsid w:val="00350A45"/>
    <w:rsid w:val="003525DD"/>
    <w:rsid w:val="00352F0E"/>
    <w:rsid w:val="00354C7E"/>
    <w:rsid w:val="00356ADE"/>
    <w:rsid w:val="00361593"/>
    <w:rsid w:val="00361846"/>
    <w:rsid w:val="003657C0"/>
    <w:rsid w:val="00365DE4"/>
    <w:rsid w:val="00374796"/>
    <w:rsid w:val="003803FC"/>
    <w:rsid w:val="00380DD8"/>
    <w:rsid w:val="00383FF9"/>
    <w:rsid w:val="00385766"/>
    <w:rsid w:val="00386A30"/>
    <w:rsid w:val="003904C2"/>
    <w:rsid w:val="00395A2F"/>
    <w:rsid w:val="0039723A"/>
    <w:rsid w:val="003975E5"/>
    <w:rsid w:val="003A0056"/>
    <w:rsid w:val="003A5115"/>
    <w:rsid w:val="003B549F"/>
    <w:rsid w:val="003B57CD"/>
    <w:rsid w:val="003B5A1D"/>
    <w:rsid w:val="003B7CFF"/>
    <w:rsid w:val="003C1B52"/>
    <w:rsid w:val="003C33CB"/>
    <w:rsid w:val="003C4CAE"/>
    <w:rsid w:val="003D371C"/>
    <w:rsid w:val="003D73DF"/>
    <w:rsid w:val="003E167C"/>
    <w:rsid w:val="003E4FA2"/>
    <w:rsid w:val="003E5CF0"/>
    <w:rsid w:val="003F018F"/>
    <w:rsid w:val="003F0EC5"/>
    <w:rsid w:val="003F1E03"/>
    <w:rsid w:val="004019E8"/>
    <w:rsid w:val="00403029"/>
    <w:rsid w:val="00404CFA"/>
    <w:rsid w:val="00405044"/>
    <w:rsid w:val="00411FBF"/>
    <w:rsid w:val="00412F99"/>
    <w:rsid w:val="00412FDD"/>
    <w:rsid w:val="00415B42"/>
    <w:rsid w:val="004163A8"/>
    <w:rsid w:val="00421245"/>
    <w:rsid w:val="0042648E"/>
    <w:rsid w:val="00427029"/>
    <w:rsid w:val="00427E22"/>
    <w:rsid w:val="00431B0E"/>
    <w:rsid w:val="00432F41"/>
    <w:rsid w:val="0043372F"/>
    <w:rsid w:val="004425F3"/>
    <w:rsid w:val="004442AF"/>
    <w:rsid w:val="00444B3C"/>
    <w:rsid w:val="0045254B"/>
    <w:rsid w:val="00452C9A"/>
    <w:rsid w:val="00455F8A"/>
    <w:rsid w:val="00460097"/>
    <w:rsid w:val="00461F43"/>
    <w:rsid w:val="00462A07"/>
    <w:rsid w:val="00463137"/>
    <w:rsid w:val="00464680"/>
    <w:rsid w:val="00466E33"/>
    <w:rsid w:val="0047014B"/>
    <w:rsid w:val="004711D5"/>
    <w:rsid w:val="00472FD8"/>
    <w:rsid w:val="00477A35"/>
    <w:rsid w:val="00477CD9"/>
    <w:rsid w:val="00481E97"/>
    <w:rsid w:val="004822DC"/>
    <w:rsid w:val="004853C6"/>
    <w:rsid w:val="004868D0"/>
    <w:rsid w:val="004871A7"/>
    <w:rsid w:val="004901D3"/>
    <w:rsid w:val="004936D2"/>
    <w:rsid w:val="0049689C"/>
    <w:rsid w:val="00497ECB"/>
    <w:rsid w:val="004A373B"/>
    <w:rsid w:val="004A4894"/>
    <w:rsid w:val="004A7134"/>
    <w:rsid w:val="004B03D1"/>
    <w:rsid w:val="004B2FFA"/>
    <w:rsid w:val="004C15AA"/>
    <w:rsid w:val="004C5916"/>
    <w:rsid w:val="004C60B0"/>
    <w:rsid w:val="004C635B"/>
    <w:rsid w:val="004C79F1"/>
    <w:rsid w:val="004D084C"/>
    <w:rsid w:val="004D4226"/>
    <w:rsid w:val="004E047A"/>
    <w:rsid w:val="004E1BAA"/>
    <w:rsid w:val="004E2937"/>
    <w:rsid w:val="004E572C"/>
    <w:rsid w:val="004E7796"/>
    <w:rsid w:val="004E7D14"/>
    <w:rsid w:val="004F15B9"/>
    <w:rsid w:val="004F5850"/>
    <w:rsid w:val="00501867"/>
    <w:rsid w:val="0050376F"/>
    <w:rsid w:val="00503AAA"/>
    <w:rsid w:val="00507BC8"/>
    <w:rsid w:val="00520EC8"/>
    <w:rsid w:val="00523CF7"/>
    <w:rsid w:val="0052515F"/>
    <w:rsid w:val="005261A7"/>
    <w:rsid w:val="00530551"/>
    <w:rsid w:val="00531AAF"/>
    <w:rsid w:val="00532147"/>
    <w:rsid w:val="005330E9"/>
    <w:rsid w:val="005347DC"/>
    <w:rsid w:val="00535135"/>
    <w:rsid w:val="00536042"/>
    <w:rsid w:val="005423FA"/>
    <w:rsid w:val="00542EE6"/>
    <w:rsid w:val="005432C7"/>
    <w:rsid w:val="005450B1"/>
    <w:rsid w:val="0055071E"/>
    <w:rsid w:val="00551113"/>
    <w:rsid w:val="00551319"/>
    <w:rsid w:val="0056023D"/>
    <w:rsid w:val="00561BB5"/>
    <w:rsid w:val="00561C47"/>
    <w:rsid w:val="00561ED7"/>
    <w:rsid w:val="00564B4F"/>
    <w:rsid w:val="00565BEF"/>
    <w:rsid w:val="00566B29"/>
    <w:rsid w:val="00566E44"/>
    <w:rsid w:val="00570ADD"/>
    <w:rsid w:val="00570C41"/>
    <w:rsid w:val="00571DF5"/>
    <w:rsid w:val="00574D2C"/>
    <w:rsid w:val="00576696"/>
    <w:rsid w:val="00582116"/>
    <w:rsid w:val="00596FA4"/>
    <w:rsid w:val="005A206D"/>
    <w:rsid w:val="005A31F7"/>
    <w:rsid w:val="005A5967"/>
    <w:rsid w:val="005B1EB6"/>
    <w:rsid w:val="005B4B70"/>
    <w:rsid w:val="005B5F79"/>
    <w:rsid w:val="005C1F32"/>
    <w:rsid w:val="005C23A8"/>
    <w:rsid w:val="005C2C67"/>
    <w:rsid w:val="005C58BF"/>
    <w:rsid w:val="005C5BEE"/>
    <w:rsid w:val="005D090B"/>
    <w:rsid w:val="005D2EB4"/>
    <w:rsid w:val="005D4C37"/>
    <w:rsid w:val="005D67F4"/>
    <w:rsid w:val="005E141A"/>
    <w:rsid w:val="00602DFC"/>
    <w:rsid w:val="006033A9"/>
    <w:rsid w:val="00604C25"/>
    <w:rsid w:val="0060533B"/>
    <w:rsid w:val="0060742C"/>
    <w:rsid w:val="00612113"/>
    <w:rsid w:val="006158F4"/>
    <w:rsid w:val="006162FE"/>
    <w:rsid w:val="00620589"/>
    <w:rsid w:val="00623C2F"/>
    <w:rsid w:val="00626B53"/>
    <w:rsid w:val="00626E74"/>
    <w:rsid w:val="006307D8"/>
    <w:rsid w:val="00633C43"/>
    <w:rsid w:val="00637401"/>
    <w:rsid w:val="00637578"/>
    <w:rsid w:val="00637A53"/>
    <w:rsid w:val="00642ABC"/>
    <w:rsid w:val="006443C4"/>
    <w:rsid w:val="0064496B"/>
    <w:rsid w:val="00645810"/>
    <w:rsid w:val="00653EFF"/>
    <w:rsid w:val="006563C0"/>
    <w:rsid w:val="00664DF1"/>
    <w:rsid w:val="00670C78"/>
    <w:rsid w:val="00672EFA"/>
    <w:rsid w:val="00674252"/>
    <w:rsid w:val="00674AAE"/>
    <w:rsid w:val="00676C8D"/>
    <w:rsid w:val="0067704C"/>
    <w:rsid w:val="00677FED"/>
    <w:rsid w:val="0068377C"/>
    <w:rsid w:val="00684931"/>
    <w:rsid w:val="00686892"/>
    <w:rsid w:val="0069142A"/>
    <w:rsid w:val="006914F4"/>
    <w:rsid w:val="00691552"/>
    <w:rsid w:val="0069173A"/>
    <w:rsid w:val="0069225A"/>
    <w:rsid w:val="00692762"/>
    <w:rsid w:val="00694295"/>
    <w:rsid w:val="0069517A"/>
    <w:rsid w:val="006960A4"/>
    <w:rsid w:val="006A2582"/>
    <w:rsid w:val="006A44B8"/>
    <w:rsid w:val="006A6123"/>
    <w:rsid w:val="006A6B77"/>
    <w:rsid w:val="006A74A3"/>
    <w:rsid w:val="006B0215"/>
    <w:rsid w:val="006B62A8"/>
    <w:rsid w:val="006B7EB5"/>
    <w:rsid w:val="006C06F3"/>
    <w:rsid w:val="006C4B71"/>
    <w:rsid w:val="006E28FD"/>
    <w:rsid w:val="006E39FA"/>
    <w:rsid w:val="006E5C4A"/>
    <w:rsid w:val="006E64E5"/>
    <w:rsid w:val="006E6B2D"/>
    <w:rsid w:val="006E78FA"/>
    <w:rsid w:val="006E7992"/>
    <w:rsid w:val="006E7F11"/>
    <w:rsid w:val="006F0053"/>
    <w:rsid w:val="006F089E"/>
    <w:rsid w:val="006F0FDC"/>
    <w:rsid w:val="006F68C4"/>
    <w:rsid w:val="006F7400"/>
    <w:rsid w:val="00700210"/>
    <w:rsid w:val="00706DDD"/>
    <w:rsid w:val="00706E59"/>
    <w:rsid w:val="0071264F"/>
    <w:rsid w:val="007147E3"/>
    <w:rsid w:val="00720C74"/>
    <w:rsid w:val="00722EF3"/>
    <w:rsid w:val="00724289"/>
    <w:rsid w:val="00726798"/>
    <w:rsid w:val="00726A58"/>
    <w:rsid w:val="00727E53"/>
    <w:rsid w:val="00734A8B"/>
    <w:rsid w:val="00734D8A"/>
    <w:rsid w:val="00735833"/>
    <w:rsid w:val="00736120"/>
    <w:rsid w:val="00736B17"/>
    <w:rsid w:val="00737F09"/>
    <w:rsid w:val="007406AE"/>
    <w:rsid w:val="00743ADA"/>
    <w:rsid w:val="00743E70"/>
    <w:rsid w:val="00743EB2"/>
    <w:rsid w:val="00745A56"/>
    <w:rsid w:val="007464B1"/>
    <w:rsid w:val="00750F39"/>
    <w:rsid w:val="00752C41"/>
    <w:rsid w:val="00755584"/>
    <w:rsid w:val="0075651E"/>
    <w:rsid w:val="007605D9"/>
    <w:rsid w:val="00761345"/>
    <w:rsid w:val="00764A2C"/>
    <w:rsid w:val="00770367"/>
    <w:rsid w:val="00770A0E"/>
    <w:rsid w:val="00770C5B"/>
    <w:rsid w:val="00773331"/>
    <w:rsid w:val="00774B57"/>
    <w:rsid w:val="007809A1"/>
    <w:rsid w:val="00780FEA"/>
    <w:rsid w:val="007836A8"/>
    <w:rsid w:val="00787878"/>
    <w:rsid w:val="00792105"/>
    <w:rsid w:val="007932EF"/>
    <w:rsid w:val="007951B8"/>
    <w:rsid w:val="007A16D3"/>
    <w:rsid w:val="007A4891"/>
    <w:rsid w:val="007B1166"/>
    <w:rsid w:val="007B118F"/>
    <w:rsid w:val="007B5227"/>
    <w:rsid w:val="007C059D"/>
    <w:rsid w:val="007C17A2"/>
    <w:rsid w:val="007C470E"/>
    <w:rsid w:val="007C493D"/>
    <w:rsid w:val="007D150D"/>
    <w:rsid w:val="007D3B08"/>
    <w:rsid w:val="007D4717"/>
    <w:rsid w:val="007D6756"/>
    <w:rsid w:val="007E05B0"/>
    <w:rsid w:val="007E601F"/>
    <w:rsid w:val="007E6EFD"/>
    <w:rsid w:val="007E71CE"/>
    <w:rsid w:val="007E7C74"/>
    <w:rsid w:val="007F104A"/>
    <w:rsid w:val="007F4E83"/>
    <w:rsid w:val="007F4F35"/>
    <w:rsid w:val="00801E87"/>
    <w:rsid w:val="00802964"/>
    <w:rsid w:val="00804319"/>
    <w:rsid w:val="00805CF7"/>
    <w:rsid w:val="00805ED6"/>
    <w:rsid w:val="00806337"/>
    <w:rsid w:val="00807467"/>
    <w:rsid w:val="008101A8"/>
    <w:rsid w:val="0081488B"/>
    <w:rsid w:val="00816042"/>
    <w:rsid w:val="00816AFC"/>
    <w:rsid w:val="00817CF7"/>
    <w:rsid w:val="008231E0"/>
    <w:rsid w:val="00827C4D"/>
    <w:rsid w:val="0083038A"/>
    <w:rsid w:val="0083128A"/>
    <w:rsid w:val="0083272F"/>
    <w:rsid w:val="00835D9A"/>
    <w:rsid w:val="0083730D"/>
    <w:rsid w:val="00840128"/>
    <w:rsid w:val="008413EA"/>
    <w:rsid w:val="00841AE1"/>
    <w:rsid w:val="00847508"/>
    <w:rsid w:val="008525C0"/>
    <w:rsid w:val="008553FF"/>
    <w:rsid w:val="00865668"/>
    <w:rsid w:val="00865898"/>
    <w:rsid w:val="00865D84"/>
    <w:rsid w:val="008664F6"/>
    <w:rsid w:val="0087059E"/>
    <w:rsid w:val="00874D22"/>
    <w:rsid w:val="00877882"/>
    <w:rsid w:val="00880425"/>
    <w:rsid w:val="00881518"/>
    <w:rsid w:val="0088282D"/>
    <w:rsid w:val="00883037"/>
    <w:rsid w:val="008836F9"/>
    <w:rsid w:val="00886942"/>
    <w:rsid w:val="00887571"/>
    <w:rsid w:val="00890216"/>
    <w:rsid w:val="00890246"/>
    <w:rsid w:val="00891706"/>
    <w:rsid w:val="00893DA7"/>
    <w:rsid w:val="008A2914"/>
    <w:rsid w:val="008B0DB8"/>
    <w:rsid w:val="008B5552"/>
    <w:rsid w:val="008B6C23"/>
    <w:rsid w:val="008C0AC8"/>
    <w:rsid w:val="008C258F"/>
    <w:rsid w:val="008C29E2"/>
    <w:rsid w:val="008C2B35"/>
    <w:rsid w:val="008C386A"/>
    <w:rsid w:val="008C4818"/>
    <w:rsid w:val="008C486C"/>
    <w:rsid w:val="008C4B71"/>
    <w:rsid w:val="008C5385"/>
    <w:rsid w:val="008C6C71"/>
    <w:rsid w:val="008C7227"/>
    <w:rsid w:val="008D2B36"/>
    <w:rsid w:val="008D2E1C"/>
    <w:rsid w:val="008D68E8"/>
    <w:rsid w:val="008E17A3"/>
    <w:rsid w:val="008E1A3A"/>
    <w:rsid w:val="008E4D8E"/>
    <w:rsid w:val="008E4DD2"/>
    <w:rsid w:val="008E5C8A"/>
    <w:rsid w:val="008E6BEE"/>
    <w:rsid w:val="008F0117"/>
    <w:rsid w:val="008F0F5E"/>
    <w:rsid w:val="008F5762"/>
    <w:rsid w:val="00900DD3"/>
    <w:rsid w:val="009013F8"/>
    <w:rsid w:val="00911C72"/>
    <w:rsid w:val="00912850"/>
    <w:rsid w:val="00914C54"/>
    <w:rsid w:val="0091508E"/>
    <w:rsid w:val="00915816"/>
    <w:rsid w:val="00917E85"/>
    <w:rsid w:val="009203A5"/>
    <w:rsid w:val="00925CEE"/>
    <w:rsid w:val="00930421"/>
    <w:rsid w:val="00930648"/>
    <w:rsid w:val="00933431"/>
    <w:rsid w:val="00936D2B"/>
    <w:rsid w:val="0094211A"/>
    <w:rsid w:val="00944EE3"/>
    <w:rsid w:val="0094607C"/>
    <w:rsid w:val="00947057"/>
    <w:rsid w:val="00951211"/>
    <w:rsid w:val="00952943"/>
    <w:rsid w:val="009537E1"/>
    <w:rsid w:val="00953813"/>
    <w:rsid w:val="00954A2A"/>
    <w:rsid w:val="00957327"/>
    <w:rsid w:val="00957789"/>
    <w:rsid w:val="00960C4B"/>
    <w:rsid w:val="009638BD"/>
    <w:rsid w:val="0096627D"/>
    <w:rsid w:val="009664CD"/>
    <w:rsid w:val="009713B0"/>
    <w:rsid w:val="00971653"/>
    <w:rsid w:val="009724F4"/>
    <w:rsid w:val="00973EBC"/>
    <w:rsid w:val="00976DB6"/>
    <w:rsid w:val="00980990"/>
    <w:rsid w:val="0098199B"/>
    <w:rsid w:val="00984B0F"/>
    <w:rsid w:val="009850E8"/>
    <w:rsid w:val="00986335"/>
    <w:rsid w:val="00986892"/>
    <w:rsid w:val="009927FD"/>
    <w:rsid w:val="00994CA3"/>
    <w:rsid w:val="00996030"/>
    <w:rsid w:val="0099612E"/>
    <w:rsid w:val="0099719C"/>
    <w:rsid w:val="009A2B3E"/>
    <w:rsid w:val="009B28D4"/>
    <w:rsid w:val="009C1173"/>
    <w:rsid w:val="009C6440"/>
    <w:rsid w:val="009C69FE"/>
    <w:rsid w:val="009D1DF0"/>
    <w:rsid w:val="009D60FA"/>
    <w:rsid w:val="009D7A56"/>
    <w:rsid w:val="009E1471"/>
    <w:rsid w:val="009E14C2"/>
    <w:rsid w:val="009E1AC1"/>
    <w:rsid w:val="009E4560"/>
    <w:rsid w:val="009E775D"/>
    <w:rsid w:val="009F1CCA"/>
    <w:rsid w:val="009F2458"/>
    <w:rsid w:val="009F531D"/>
    <w:rsid w:val="009F5DB9"/>
    <w:rsid w:val="009F7E43"/>
    <w:rsid w:val="00A008CD"/>
    <w:rsid w:val="00A02384"/>
    <w:rsid w:val="00A0408F"/>
    <w:rsid w:val="00A05D20"/>
    <w:rsid w:val="00A06E20"/>
    <w:rsid w:val="00A10562"/>
    <w:rsid w:val="00A11DC5"/>
    <w:rsid w:val="00A121B1"/>
    <w:rsid w:val="00A125DA"/>
    <w:rsid w:val="00A1626C"/>
    <w:rsid w:val="00A17923"/>
    <w:rsid w:val="00A20E96"/>
    <w:rsid w:val="00A24555"/>
    <w:rsid w:val="00A31053"/>
    <w:rsid w:val="00A369EE"/>
    <w:rsid w:val="00A409A9"/>
    <w:rsid w:val="00A43A59"/>
    <w:rsid w:val="00A514E3"/>
    <w:rsid w:val="00A51981"/>
    <w:rsid w:val="00A54C7E"/>
    <w:rsid w:val="00A55753"/>
    <w:rsid w:val="00A607D3"/>
    <w:rsid w:val="00A61EB7"/>
    <w:rsid w:val="00A62121"/>
    <w:rsid w:val="00A6338B"/>
    <w:rsid w:val="00A71A56"/>
    <w:rsid w:val="00A72B2F"/>
    <w:rsid w:val="00A744A9"/>
    <w:rsid w:val="00A75188"/>
    <w:rsid w:val="00A80233"/>
    <w:rsid w:val="00A813B3"/>
    <w:rsid w:val="00A8350B"/>
    <w:rsid w:val="00A8635C"/>
    <w:rsid w:val="00AA2317"/>
    <w:rsid w:val="00AA3CA4"/>
    <w:rsid w:val="00AA7D65"/>
    <w:rsid w:val="00AB14B1"/>
    <w:rsid w:val="00AB1C6F"/>
    <w:rsid w:val="00AB297D"/>
    <w:rsid w:val="00AB3556"/>
    <w:rsid w:val="00AB3B3D"/>
    <w:rsid w:val="00AB50BC"/>
    <w:rsid w:val="00AB6762"/>
    <w:rsid w:val="00AC0006"/>
    <w:rsid w:val="00AC13E5"/>
    <w:rsid w:val="00AC36A5"/>
    <w:rsid w:val="00AC67B2"/>
    <w:rsid w:val="00AD6EF4"/>
    <w:rsid w:val="00AD7B15"/>
    <w:rsid w:val="00AD7CC1"/>
    <w:rsid w:val="00AE31D5"/>
    <w:rsid w:val="00AE6AB7"/>
    <w:rsid w:val="00AE7D22"/>
    <w:rsid w:val="00AF278E"/>
    <w:rsid w:val="00AF71F5"/>
    <w:rsid w:val="00B053FF"/>
    <w:rsid w:val="00B10032"/>
    <w:rsid w:val="00B12237"/>
    <w:rsid w:val="00B14FD7"/>
    <w:rsid w:val="00B15792"/>
    <w:rsid w:val="00B17DF1"/>
    <w:rsid w:val="00B200E2"/>
    <w:rsid w:val="00B22153"/>
    <w:rsid w:val="00B25070"/>
    <w:rsid w:val="00B27A92"/>
    <w:rsid w:val="00B42926"/>
    <w:rsid w:val="00B432CA"/>
    <w:rsid w:val="00B4331F"/>
    <w:rsid w:val="00B434C1"/>
    <w:rsid w:val="00B52D63"/>
    <w:rsid w:val="00B53B73"/>
    <w:rsid w:val="00B552A9"/>
    <w:rsid w:val="00B62E49"/>
    <w:rsid w:val="00B65EDF"/>
    <w:rsid w:val="00B674DA"/>
    <w:rsid w:val="00B71A89"/>
    <w:rsid w:val="00B750C9"/>
    <w:rsid w:val="00B75148"/>
    <w:rsid w:val="00B756F7"/>
    <w:rsid w:val="00B75BFE"/>
    <w:rsid w:val="00B76C25"/>
    <w:rsid w:val="00B817BF"/>
    <w:rsid w:val="00B86274"/>
    <w:rsid w:val="00B875E1"/>
    <w:rsid w:val="00B9119D"/>
    <w:rsid w:val="00B9253B"/>
    <w:rsid w:val="00B93228"/>
    <w:rsid w:val="00B941FE"/>
    <w:rsid w:val="00B9538B"/>
    <w:rsid w:val="00B95AE2"/>
    <w:rsid w:val="00BA2F7E"/>
    <w:rsid w:val="00BA4508"/>
    <w:rsid w:val="00BA5155"/>
    <w:rsid w:val="00BA541B"/>
    <w:rsid w:val="00BA5DC4"/>
    <w:rsid w:val="00BA7EBC"/>
    <w:rsid w:val="00BB2FF0"/>
    <w:rsid w:val="00BB69ED"/>
    <w:rsid w:val="00BB732E"/>
    <w:rsid w:val="00BB76D6"/>
    <w:rsid w:val="00BB7776"/>
    <w:rsid w:val="00BC3B91"/>
    <w:rsid w:val="00BC55F7"/>
    <w:rsid w:val="00BC5FF4"/>
    <w:rsid w:val="00BC6865"/>
    <w:rsid w:val="00BD13AE"/>
    <w:rsid w:val="00BD1FB6"/>
    <w:rsid w:val="00BD3934"/>
    <w:rsid w:val="00BD5B82"/>
    <w:rsid w:val="00BD7AB4"/>
    <w:rsid w:val="00BE02EC"/>
    <w:rsid w:val="00BE19A1"/>
    <w:rsid w:val="00BF1DAA"/>
    <w:rsid w:val="00BF2FE5"/>
    <w:rsid w:val="00BF3180"/>
    <w:rsid w:val="00BF6D71"/>
    <w:rsid w:val="00BF7F77"/>
    <w:rsid w:val="00C00730"/>
    <w:rsid w:val="00C01E11"/>
    <w:rsid w:val="00C12301"/>
    <w:rsid w:val="00C263CE"/>
    <w:rsid w:val="00C272D0"/>
    <w:rsid w:val="00C27DF8"/>
    <w:rsid w:val="00C3410B"/>
    <w:rsid w:val="00C411B0"/>
    <w:rsid w:val="00C43AAE"/>
    <w:rsid w:val="00C44190"/>
    <w:rsid w:val="00C442F9"/>
    <w:rsid w:val="00C50BFD"/>
    <w:rsid w:val="00C60F19"/>
    <w:rsid w:val="00C64FFA"/>
    <w:rsid w:val="00C67CD8"/>
    <w:rsid w:val="00C70712"/>
    <w:rsid w:val="00C70E12"/>
    <w:rsid w:val="00C714E1"/>
    <w:rsid w:val="00C716B4"/>
    <w:rsid w:val="00C71B6C"/>
    <w:rsid w:val="00C7687B"/>
    <w:rsid w:val="00C85915"/>
    <w:rsid w:val="00C90983"/>
    <w:rsid w:val="00C91E13"/>
    <w:rsid w:val="00C9233E"/>
    <w:rsid w:val="00C9347C"/>
    <w:rsid w:val="00C93B85"/>
    <w:rsid w:val="00CA0E7E"/>
    <w:rsid w:val="00CA37F7"/>
    <w:rsid w:val="00CA4EC5"/>
    <w:rsid w:val="00CA5FB6"/>
    <w:rsid w:val="00CA7160"/>
    <w:rsid w:val="00CB0889"/>
    <w:rsid w:val="00CB64E4"/>
    <w:rsid w:val="00CC16BC"/>
    <w:rsid w:val="00CC3F90"/>
    <w:rsid w:val="00CC4458"/>
    <w:rsid w:val="00CC499B"/>
    <w:rsid w:val="00CC62BC"/>
    <w:rsid w:val="00CD063F"/>
    <w:rsid w:val="00CD4C73"/>
    <w:rsid w:val="00CE1C7A"/>
    <w:rsid w:val="00CE36B8"/>
    <w:rsid w:val="00CE6123"/>
    <w:rsid w:val="00CF5750"/>
    <w:rsid w:val="00CF5C60"/>
    <w:rsid w:val="00CF6A8C"/>
    <w:rsid w:val="00CF7490"/>
    <w:rsid w:val="00CF787A"/>
    <w:rsid w:val="00D029AA"/>
    <w:rsid w:val="00D05942"/>
    <w:rsid w:val="00D106E8"/>
    <w:rsid w:val="00D12544"/>
    <w:rsid w:val="00D13C79"/>
    <w:rsid w:val="00D14832"/>
    <w:rsid w:val="00D14AC5"/>
    <w:rsid w:val="00D15205"/>
    <w:rsid w:val="00D170AB"/>
    <w:rsid w:val="00D20381"/>
    <w:rsid w:val="00D21FD8"/>
    <w:rsid w:val="00D234CB"/>
    <w:rsid w:val="00D2656D"/>
    <w:rsid w:val="00D324E1"/>
    <w:rsid w:val="00D352B4"/>
    <w:rsid w:val="00D353BF"/>
    <w:rsid w:val="00D40EFF"/>
    <w:rsid w:val="00D4512D"/>
    <w:rsid w:val="00D5242D"/>
    <w:rsid w:val="00D54A61"/>
    <w:rsid w:val="00D5503F"/>
    <w:rsid w:val="00D621FB"/>
    <w:rsid w:val="00D62456"/>
    <w:rsid w:val="00D62E5E"/>
    <w:rsid w:val="00D665C4"/>
    <w:rsid w:val="00D674F4"/>
    <w:rsid w:val="00D6777E"/>
    <w:rsid w:val="00D70B60"/>
    <w:rsid w:val="00D7463F"/>
    <w:rsid w:val="00D76A56"/>
    <w:rsid w:val="00D821E5"/>
    <w:rsid w:val="00D825B6"/>
    <w:rsid w:val="00D82CC1"/>
    <w:rsid w:val="00D87245"/>
    <w:rsid w:val="00D87300"/>
    <w:rsid w:val="00D90E08"/>
    <w:rsid w:val="00D93733"/>
    <w:rsid w:val="00DB0501"/>
    <w:rsid w:val="00DB250A"/>
    <w:rsid w:val="00DB3C35"/>
    <w:rsid w:val="00DB3D14"/>
    <w:rsid w:val="00DB6B05"/>
    <w:rsid w:val="00DC04AA"/>
    <w:rsid w:val="00DC32EC"/>
    <w:rsid w:val="00DC551D"/>
    <w:rsid w:val="00DC60AA"/>
    <w:rsid w:val="00DD50D0"/>
    <w:rsid w:val="00DD57BC"/>
    <w:rsid w:val="00DE0540"/>
    <w:rsid w:val="00DE0B07"/>
    <w:rsid w:val="00DE2ADF"/>
    <w:rsid w:val="00DF1A15"/>
    <w:rsid w:val="00DF1CB4"/>
    <w:rsid w:val="00DF324D"/>
    <w:rsid w:val="00DF792D"/>
    <w:rsid w:val="00DF7D1B"/>
    <w:rsid w:val="00E00723"/>
    <w:rsid w:val="00E0498A"/>
    <w:rsid w:val="00E04C8B"/>
    <w:rsid w:val="00E0505F"/>
    <w:rsid w:val="00E06ADC"/>
    <w:rsid w:val="00E104B1"/>
    <w:rsid w:val="00E1502C"/>
    <w:rsid w:val="00E21874"/>
    <w:rsid w:val="00E258F8"/>
    <w:rsid w:val="00E30766"/>
    <w:rsid w:val="00E3171F"/>
    <w:rsid w:val="00E31C61"/>
    <w:rsid w:val="00E31F15"/>
    <w:rsid w:val="00E327E6"/>
    <w:rsid w:val="00E34F0D"/>
    <w:rsid w:val="00E35CB0"/>
    <w:rsid w:val="00E3769D"/>
    <w:rsid w:val="00E420D2"/>
    <w:rsid w:val="00E4311E"/>
    <w:rsid w:val="00E448AB"/>
    <w:rsid w:val="00E54884"/>
    <w:rsid w:val="00E57015"/>
    <w:rsid w:val="00E60348"/>
    <w:rsid w:val="00E6043D"/>
    <w:rsid w:val="00E60C11"/>
    <w:rsid w:val="00E61C60"/>
    <w:rsid w:val="00E73351"/>
    <w:rsid w:val="00E74596"/>
    <w:rsid w:val="00E80981"/>
    <w:rsid w:val="00E81E68"/>
    <w:rsid w:val="00E84AAA"/>
    <w:rsid w:val="00E922D8"/>
    <w:rsid w:val="00E9561F"/>
    <w:rsid w:val="00E95689"/>
    <w:rsid w:val="00EA277C"/>
    <w:rsid w:val="00EA38FC"/>
    <w:rsid w:val="00EA3971"/>
    <w:rsid w:val="00EA3C60"/>
    <w:rsid w:val="00EA3D90"/>
    <w:rsid w:val="00EA5973"/>
    <w:rsid w:val="00EA64C3"/>
    <w:rsid w:val="00EB039C"/>
    <w:rsid w:val="00EB2C34"/>
    <w:rsid w:val="00EB4BCD"/>
    <w:rsid w:val="00EB72E1"/>
    <w:rsid w:val="00EC6C39"/>
    <w:rsid w:val="00EC78BD"/>
    <w:rsid w:val="00EC7DBC"/>
    <w:rsid w:val="00ED0099"/>
    <w:rsid w:val="00ED02D5"/>
    <w:rsid w:val="00ED297C"/>
    <w:rsid w:val="00EE1C59"/>
    <w:rsid w:val="00EE3BEE"/>
    <w:rsid w:val="00EE613B"/>
    <w:rsid w:val="00EE7555"/>
    <w:rsid w:val="00EF35ED"/>
    <w:rsid w:val="00F02A2A"/>
    <w:rsid w:val="00F02E3E"/>
    <w:rsid w:val="00F04593"/>
    <w:rsid w:val="00F04DAB"/>
    <w:rsid w:val="00F0743A"/>
    <w:rsid w:val="00F07441"/>
    <w:rsid w:val="00F105CA"/>
    <w:rsid w:val="00F133B9"/>
    <w:rsid w:val="00F13429"/>
    <w:rsid w:val="00F16F48"/>
    <w:rsid w:val="00F17A3B"/>
    <w:rsid w:val="00F229A7"/>
    <w:rsid w:val="00F308C1"/>
    <w:rsid w:val="00F308DA"/>
    <w:rsid w:val="00F35509"/>
    <w:rsid w:val="00F36671"/>
    <w:rsid w:val="00F40A90"/>
    <w:rsid w:val="00F41E71"/>
    <w:rsid w:val="00F424E2"/>
    <w:rsid w:val="00F46ECF"/>
    <w:rsid w:val="00F511CF"/>
    <w:rsid w:val="00F53272"/>
    <w:rsid w:val="00F54E01"/>
    <w:rsid w:val="00F558D2"/>
    <w:rsid w:val="00F6156F"/>
    <w:rsid w:val="00F66B95"/>
    <w:rsid w:val="00F672C7"/>
    <w:rsid w:val="00F67493"/>
    <w:rsid w:val="00F6791B"/>
    <w:rsid w:val="00F75BAC"/>
    <w:rsid w:val="00F824D3"/>
    <w:rsid w:val="00F84BE4"/>
    <w:rsid w:val="00F8766D"/>
    <w:rsid w:val="00F91E2B"/>
    <w:rsid w:val="00F92092"/>
    <w:rsid w:val="00F951F3"/>
    <w:rsid w:val="00F95871"/>
    <w:rsid w:val="00FA00A7"/>
    <w:rsid w:val="00FA7030"/>
    <w:rsid w:val="00FA7B48"/>
    <w:rsid w:val="00FB0717"/>
    <w:rsid w:val="00FB4D9B"/>
    <w:rsid w:val="00FB7673"/>
    <w:rsid w:val="00FB7914"/>
    <w:rsid w:val="00FC0031"/>
    <w:rsid w:val="00FC0B30"/>
    <w:rsid w:val="00FC38F8"/>
    <w:rsid w:val="00FC7139"/>
    <w:rsid w:val="00FD15D6"/>
    <w:rsid w:val="00FD1FD5"/>
    <w:rsid w:val="00FD3AB2"/>
    <w:rsid w:val="00FD71F7"/>
    <w:rsid w:val="00FE07C8"/>
    <w:rsid w:val="00FE392C"/>
    <w:rsid w:val="00FE7FED"/>
    <w:rsid w:val="00FF1134"/>
    <w:rsid w:val="00FF15A2"/>
    <w:rsid w:val="00FF26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D37355B-58DB-4A35-B16E-3173BFAA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FE7FED"/>
    <w:pPr>
      <w:numPr>
        <w:numId w:val="1"/>
      </w:numPr>
    </w:pPr>
    <w:rPr>
      <w:rFonts w:eastAsia="Times New Roman"/>
      <w:lang w:eastAsia="en-GB"/>
    </w:rPr>
  </w:style>
  <w:style w:type="character" w:styleId="Hyperlink">
    <w:name w:val="Hyperlink"/>
    <w:basedOn w:val="DefaultParagraphFont"/>
    <w:rsid w:val="009713B0"/>
    <w:rPr>
      <w:color w:val="2F5773"/>
      <w:u w:val="single"/>
    </w:rPr>
  </w:style>
  <w:style w:type="paragraph" w:styleId="ListBullet2">
    <w:name w:val="List Bullet 2"/>
    <w:basedOn w:val="Normal"/>
    <w:uiPriority w:val="99"/>
    <w:semiHidden/>
    <w:unhideWhenUsed/>
    <w:rsid w:val="009713B0"/>
    <w:pPr>
      <w:numPr>
        <w:numId w:val="4"/>
      </w:numPr>
      <w:contextualSpacing/>
    </w:pPr>
  </w:style>
  <w:style w:type="paragraph" w:styleId="ListNumber2">
    <w:name w:val="List Number 2"/>
    <w:basedOn w:val="Normal"/>
    <w:uiPriority w:val="99"/>
    <w:semiHidden/>
    <w:unhideWhenUsed/>
    <w:rsid w:val="009713B0"/>
    <w:pPr>
      <w:numPr>
        <w:numId w:val="5"/>
      </w:numPr>
      <w:contextualSpacing/>
    </w:pPr>
  </w:style>
  <w:style w:type="paragraph" w:styleId="ListBullet3">
    <w:name w:val="List Bullet 3"/>
    <w:basedOn w:val="Normal"/>
    <w:uiPriority w:val="99"/>
    <w:semiHidden/>
    <w:unhideWhenUsed/>
    <w:rsid w:val="001840A1"/>
    <w:pPr>
      <w:numPr>
        <w:numId w:val="6"/>
      </w:numPr>
      <w:contextualSpacing/>
    </w:pPr>
  </w:style>
  <w:style w:type="paragraph" w:styleId="ListBullet4">
    <w:name w:val="List Bullet 4"/>
    <w:basedOn w:val="Normal"/>
    <w:uiPriority w:val="99"/>
    <w:semiHidden/>
    <w:unhideWhenUsed/>
    <w:rsid w:val="001840A1"/>
    <w:pPr>
      <w:numPr>
        <w:numId w:val="7"/>
      </w:numPr>
      <w:contextualSpacing/>
    </w:pPr>
  </w:style>
  <w:style w:type="character" w:styleId="CommentReference">
    <w:name w:val="annotation reference"/>
    <w:basedOn w:val="DefaultParagraphFont"/>
    <w:uiPriority w:val="99"/>
    <w:semiHidden/>
    <w:unhideWhenUsed/>
    <w:rsid w:val="00F6156F"/>
    <w:rPr>
      <w:sz w:val="16"/>
      <w:szCs w:val="16"/>
    </w:rPr>
  </w:style>
  <w:style w:type="paragraph" w:styleId="CommentText">
    <w:name w:val="annotation text"/>
    <w:basedOn w:val="Normal"/>
    <w:link w:val="CommentTextChar"/>
    <w:uiPriority w:val="99"/>
    <w:unhideWhenUsed/>
    <w:rsid w:val="00F6156F"/>
    <w:rPr>
      <w:sz w:val="20"/>
      <w:szCs w:val="20"/>
    </w:rPr>
  </w:style>
  <w:style w:type="character" w:customStyle="1" w:styleId="CommentTextChar">
    <w:name w:val="Comment Text Char"/>
    <w:basedOn w:val="DefaultParagraphFont"/>
    <w:link w:val="CommentText"/>
    <w:uiPriority w:val="99"/>
    <w:rsid w:val="00F6156F"/>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F6156F"/>
    <w:rPr>
      <w:b/>
      <w:bCs/>
    </w:rPr>
  </w:style>
  <w:style w:type="character" w:customStyle="1" w:styleId="CommentSubjectChar">
    <w:name w:val="Comment Subject Char"/>
    <w:basedOn w:val="CommentTextChar"/>
    <w:link w:val="CommentSubject"/>
    <w:uiPriority w:val="99"/>
    <w:semiHidden/>
    <w:rsid w:val="00F6156F"/>
    <w:rPr>
      <w:rFonts w:ascii="Times New Roman" w:hAnsi="Times New Roman" w:cs="Times New Roman"/>
      <w:b/>
      <w:bCs/>
      <w:sz w:val="20"/>
      <w:szCs w:val="20"/>
      <w:lang w:val="bg-BG"/>
    </w:rPr>
  </w:style>
  <w:style w:type="character" w:customStyle="1" w:styleId="UnresolvedMention">
    <w:name w:val="Unresolved Mention"/>
    <w:basedOn w:val="DefaultParagraphFont"/>
    <w:uiPriority w:val="99"/>
    <w:semiHidden/>
    <w:unhideWhenUsed/>
    <w:rsid w:val="00F6156F"/>
    <w:rPr>
      <w:color w:val="605E5C"/>
      <w:shd w:val="clear" w:color="auto" w:fill="E1DFDD"/>
    </w:rPr>
  </w:style>
  <w:style w:type="paragraph" w:styleId="Revision">
    <w:name w:val="Revision"/>
    <w:hidden/>
    <w:uiPriority w:val="99"/>
    <w:semiHidden/>
    <w:rsid w:val="00F6156F"/>
    <w:pPr>
      <w:spacing w:after="0" w:line="240" w:lineRule="auto"/>
    </w:pPr>
    <w:rPr>
      <w:rFonts w:ascii="Times New Roman" w:hAnsi="Times New Roman" w:cs="Times New Roman"/>
      <w:sz w:val="24"/>
    </w:rPr>
  </w:style>
  <w:style w:type="character" w:customStyle="1" w:styleId="HeaderChar">
    <w:name w:val="Header Char"/>
    <w:basedOn w:val="DefaultParagraphFont"/>
    <w:link w:val="Header"/>
    <w:uiPriority w:val="99"/>
    <w:rsid w:val="00770367"/>
    <w:rPr>
      <w:rFonts w:ascii="Times New Roman" w:hAnsi="Times New Roman" w:cs="Times New Roman"/>
      <w:sz w:val="24"/>
      <w:lang w:val="bg-BG"/>
    </w:rPr>
  </w:style>
  <w:style w:type="character" w:customStyle="1" w:styleId="FooterChar">
    <w:name w:val="Footer Char"/>
    <w:basedOn w:val="DefaultParagraphFont"/>
    <w:link w:val="Footer"/>
    <w:uiPriority w:val="99"/>
    <w:rsid w:val="00770367"/>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7036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70367"/>
    <w:pPr>
      <w:spacing w:before="0"/>
      <w:jc w:val="right"/>
    </w:pPr>
    <w:rPr>
      <w:sz w:val="28"/>
    </w:rPr>
  </w:style>
  <w:style w:type="paragraph" w:customStyle="1" w:styleId="FooterSensitivity">
    <w:name w:val="Footer Sensitivity"/>
    <w:basedOn w:val="Normal"/>
    <w:rsid w:val="0077036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3"/>
      </w:numPr>
    </w:pPr>
  </w:style>
  <w:style w:type="paragraph" w:customStyle="1" w:styleId="Tiret1">
    <w:name w:val="Tiret 1"/>
    <w:basedOn w:val="Point1"/>
    <w:pPr>
      <w:numPr>
        <w:numId w:val="24"/>
      </w:numPr>
    </w:pPr>
  </w:style>
  <w:style w:type="paragraph" w:customStyle="1" w:styleId="Tiret2">
    <w:name w:val="Tiret 2"/>
    <w:basedOn w:val="Point2"/>
    <w:pPr>
      <w:numPr>
        <w:numId w:val="25"/>
      </w:numPr>
    </w:pPr>
  </w:style>
  <w:style w:type="paragraph" w:customStyle="1" w:styleId="Tiret3">
    <w:name w:val="Tiret 3"/>
    <w:basedOn w:val="Point3"/>
    <w:pPr>
      <w:numPr>
        <w:numId w:val="26"/>
      </w:numPr>
    </w:pPr>
  </w:style>
  <w:style w:type="paragraph" w:customStyle="1" w:styleId="Tiret4">
    <w:name w:val="Tiret 4"/>
    <w:basedOn w:val="Point4"/>
    <w:pPr>
      <w:numPr>
        <w:numId w:val="27"/>
      </w:numPr>
    </w:pPr>
  </w:style>
  <w:style w:type="paragraph" w:customStyle="1" w:styleId="Tiret5">
    <w:name w:val="Tiret 5"/>
    <w:basedOn w:val="Point5"/>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NumPar5">
    <w:name w:val="NumPar 5"/>
    <w:basedOn w:val="Normal"/>
    <w:next w:val="Text2"/>
    <w:pPr>
      <w:numPr>
        <w:ilvl w:val="4"/>
        <w:numId w:val="29"/>
      </w:numPr>
    </w:pPr>
  </w:style>
  <w:style w:type="paragraph" w:customStyle="1" w:styleId="NumPar6">
    <w:name w:val="NumPar 6"/>
    <w:basedOn w:val="Normal"/>
    <w:next w:val="Text2"/>
    <w:pPr>
      <w:numPr>
        <w:ilvl w:val="5"/>
        <w:numId w:val="29"/>
      </w:numPr>
    </w:pPr>
  </w:style>
  <w:style w:type="paragraph" w:customStyle="1" w:styleId="NumPar7">
    <w:name w:val="NumPar 7"/>
    <w:basedOn w:val="Normal"/>
    <w:next w:val="Text2"/>
    <w:pPr>
      <w:numPr>
        <w:ilvl w:val="6"/>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770367"/>
    <w:pPr>
      <w:tabs>
        <w:tab w:val="center" w:pos="4535"/>
        <w:tab w:val="right" w:pos="9071"/>
      </w:tabs>
      <w:spacing w:before="0"/>
    </w:pPr>
  </w:style>
  <w:style w:type="paragraph" w:customStyle="1" w:styleId="HeaderLandscape">
    <w:name w:val="HeaderLandscape"/>
    <w:basedOn w:val="Normal"/>
    <w:rsid w:val="00770367"/>
    <w:pPr>
      <w:tabs>
        <w:tab w:val="center" w:pos="7285"/>
        <w:tab w:val="right" w:pos="14003"/>
      </w:tabs>
      <w:spacing w:before="0"/>
    </w:pPr>
  </w:style>
  <w:style w:type="paragraph" w:styleId="Footer">
    <w:name w:val="footer"/>
    <w:basedOn w:val="Normal"/>
    <w:link w:val="FooterChar"/>
    <w:uiPriority w:val="99"/>
    <w:unhideWhenUsed/>
    <w:rsid w:val="0077036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7036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00798">
      <w:bodyDiv w:val="1"/>
      <w:marLeft w:val="0"/>
      <w:marRight w:val="0"/>
      <w:marTop w:val="0"/>
      <w:marBottom w:val="0"/>
      <w:divBdr>
        <w:top w:val="none" w:sz="0" w:space="0" w:color="auto"/>
        <w:left w:val="none" w:sz="0" w:space="0" w:color="auto"/>
        <w:bottom w:val="none" w:sz="0" w:space="0" w:color="auto"/>
        <w:right w:val="none" w:sz="0" w:space="0" w:color="auto"/>
      </w:divBdr>
    </w:div>
    <w:div w:id="550653829">
      <w:bodyDiv w:val="1"/>
      <w:marLeft w:val="0"/>
      <w:marRight w:val="0"/>
      <w:marTop w:val="0"/>
      <w:marBottom w:val="0"/>
      <w:divBdr>
        <w:top w:val="none" w:sz="0" w:space="0" w:color="auto"/>
        <w:left w:val="none" w:sz="0" w:space="0" w:color="auto"/>
        <w:bottom w:val="none" w:sz="0" w:space="0" w:color="auto"/>
        <w:right w:val="none" w:sz="0" w:space="0" w:color="auto"/>
      </w:divBdr>
    </w:div>
    <w:div w:id="784278377">
      <w:bodyDiv w:val="1"/>
      <w:marLeft w:val="0"/>
      <w:marRight w:val="0"/>
      <w:marTop w:val="0"/>
      <w:marBottom w:val="0"/>
      <w:divBdr>
        <w:top w:val="none" w:sz="0" w:space="0" w:color="auto"/>
        <w:left w:val="none" w:sz="0" w:space="0" w:color="auto"/>
        <w:bottom w:val="none" w:sz="0" w:space="0" w:color="auto"/>
        <w:right w:val="none" w:sz="0" w:space="0" w:color="auto"/>
      </w:divBdr>
    </w:div>
    <w:div w:id="869949458">
      <w:bodyDiv w:val="1"/>
      <w:marLeft w:val="0"/>
      <w:marRight w:val="0"/>
      <w:marTop w:val="0"/>
      <w:marBottom w:val="0"/>
      <w:divBdr>
        <w:top w:val="none" w:sz="0" w:space="0" w:color="auto"/>
        <w:left w:val="none" w:sz="0" w:space="0" w:color="auto"/>
        <w:bottom w:val="none" w:sz="0" w:space="0" w:color="auto"/>
        <w:right w:val="none" w:sz="0" w:space="0" w:color="auto"/>
      </w:divBdr>
    </w:div>
    <w:div w:id="881015070">
      <w:bodyDiv w:val="1"/>
      <w:marLeft w:val="0"/>
      <w:marRight w:val="0"/>
      <w:marTop w:val="0"/>
      <w:marBottom w:val="0"/>
      <w:divBdr>
        <w:top w:val="none" w:sz="0" w:space="0" w:color="auto"/>
        <w:left w:val="none" w:sz="0" w:space="0" w:color="auto"/>
        <w:bottom w:val="none" w:sz="0" w:space="0" w:color="auto"/>
        <w:right w:val="none" w:sz="0" w:space="0" w:color="auto"/>
      </w:divBdr>
    </w:div>
    <w:div w:id="920212406">
      <w:bodyDiv w:val="1"/>
      <w:marLeft w:val="0"/>
      <w:marRight w:val="0"/>
      <w:marTop w:val="0"/>
      <w:marBottom w:val="0"/>
      <w:divBdr>
        <w:top w:val="none" w:sz="0" w:space="0" w:color="auto"/>
        <w:left w:val="none" w:sz="0" w:space="0" w:color="auto"/>
        <w:bottom w:val="none" w:sz="0" w:space="0" w:color="auto"/>
        <w:right w:val="none" w:sz="0" w:space="0" w:color="auto"/>
      </w:divBdr>
    </w:div>
    <w:div w:id="1095593330">
      <w:bodyDiv w:val="1"/>
      <w:marLeft w:val="0"/>
      <w:marRight w:val="0"/>
      <w:marTop w:val="0"/>
      <w:marBottom w:val="0"/>
      <w:divBdr>
        <w:top w:val="none" w:sz="0" w:space="0" w:color="auto"/>
        <w:left w:val="none" w:sz="0" w:space="0" w:color="auto"/>
        <w:bottom w:val="none" w:sz="0" w:space="0" w:color="auto"/>
        <w:right w:val="none" w:sz="0" w:space="0" w:color="auto"/>
      </w:divBdr>
    </w:div>
    <w:div w:id="1494568034">
      <w:bodyDiv w:val="1"/>
      <w:marLeft w:val="0"/>
      <w:marRight w:val="0"/>
      <w:marTop w:val="0"/>
      <w:marBottom w:val="0"/>
      <w:divBdr>
        <w:top w:val="none" w:sz="0" w:space="0" w:color="auto"/>
        <w:left w:val="none" w:sz="0" w:space="0" w:color="auto"/>
        <w:bottom w:val="none" w:sz="0" w:space="0" w:color="auto"/>
        <w:right w:val="none" w:sz="0" w:space="0" w:color="auto"/>
      </w:divBdr>
    </w:div>
    <w:div w:id="1989820838">
      <w:bodyDiv w:val="1"/>
      <w:marLeft w:val="0"/>
      <w:marRight w:val="0"/>
      <w:marTop w:val="0"/>
      <w:marBottom w:val="0"/>
      <w:divBdr>
        <w:top w:val="none" w:sz="0" w:space="0" w:color="auto"/>
        <w:left w:val="none" w:sz="0" w:space="0" w:color="auto"/>
        <w:bottom w:val="none" w:sz="0" w:space="0" w:color="auto"/>
        <w:right w:val="none" w:sz="0" w:space="0" w:color="auto"/>
      </w:divBdr>
    </w:div>
    <w:div w:id="21305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AA042-8990-48CF-9F49-CCC060D398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9D5FD2-A6F3-4EB5-A6CF-7867F88AEFD4}">
  <ds:schemaRefs>
    <ds:schemaRef ds:uri="http://schemas.microsoft.com/sharepoint/v3/contenttype/forms"/>
  </ds:schemaRefs>
</ds:datastoreItem>
</file>

<file path=customXml/itemProps3.xml><?xml version="1.0" encoding="utf-8"?>
<ds:datastoreItem xmlns:ds="http://schemas.openxmlformats.org/officeDocument/2006/customXml" ds:itemID="{07EAE6E2-368D-42B0-9134-B6800FDB77A6}">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BDFCBB20-D3D9-462B-89C8-2DEF82B74B1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9</TotalTime>
  <Pages>6</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32</cp:revision>
  <cp:lastPrinted>2025-05-08T07:59:00Z</cp:lastPrinted>
  <dcterms:created xsi:type="dcterms:W3CDTF">2025-09-16T13:52:00Z</dcterms:created>
  <dcterms:modified xsi:type="dcterms:W3CDTF">2025-09-30T15:25:00Z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9.1, Build 20240808</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MSIP_Label_6bd9ddd1-4d20-43f6-abfa-fc3c07406f94_Enabled">
    <vt:lpwstr>true</vt:lpwstr>
  </property>
  <property fmtid="{D5CDD505-2E9C-101B-9397-08002B2CF9AE}" pid="11" name="MSIP_Label_6bd9ddd1-4d20-43f6-abfa-fc3c07406f94_SetDate">
    <vt:lpwstr>2025-02-25T08:26:14Z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be3cf09d-66c6-4ba0-8026-31162a6dd493</vt:lpwstr>
  </property>
  <property fmtid="{D5CDD505-2E9C-101B-9397-08002B2CF9AE}" pid="16" name="MSIP_Label_6bd9ddd1-4d20-43f6-abfa-fc3c07406f94_ContentBits">
    <vt:lpwstr>0</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ClassificationContentMarkingHeaderShapeIds">
    <vt:lpwstr>20238a3b,33d08159,24cbf427,4ef86fca,5453675e,568b7bab</vt:lpwstr>
  </property>
  <property fmtid="{D5CDD505-2E9C-101B-9397-08002B2CF9AE}" pid="20" name="ClassificationContentMarkingHeaderFontProps">
    <vt:lpwstr>#000000,12,Aptos</vt:lpwstr>
  </property>
  <property fmtid="{D5CDD505-2E9C-101B-9397-08002B2CF9AE}" pid="21" name="ClassificationContentMarkingHeaderText">
    <vt:lpwstr>EBA Regular Use</vt:lpwstr>
  </property>
  <property fmtid="{D5CDD505-2E9C-101B-9397-08002B2CF9AE}" pid="22" name="DQCStatus">
    <vt:lpwstr>Green (DQC version 03)</vt:lpwstr>
  </property>
</Properties>
</file>