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41EE93F0" w:rsidR="009E4E5B" w:rsidRDefault="00614A9D" w:rsidP="00614A9D">
      <w:pPr>
        <w:pStyle w:val="Pagedecouverture"/>
        <w:rPr>
          <w:noProof/>
        </w:rPr>
      </w:pPr>
      <w:bookmarkStart w:id="0" w:name="LW_BM_COVERPAGE"/>
      <w:r>
        <w:rPr>
          <w:noProof/>
        </w:rPr>
        <w:pict w14:anchorId="515802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1A5516D7-0860-400D-B375-0B45BD475A98" style="width:455.15pt;height:438.5pt">
            <v:imagedata r:id="rId11" o:title=""/>
          </v:shape>
        </w:pict>
      </w:r>
    </w:p>
    <w:bookmarkEnd w:id="0"/>
    <w:p w14:paraId="70EE9F7F" w14:textId="77777777" w:rsidR="009E4E5B" w:rsidRDefault="009E4E5B" w:rsidP="009E4E5B">
      <w:pPr>
        <w:rPr>
          <w:noProof/>
          <w:lang w:val="en-IE"/>
        </w:rPr>
        <w:sectPr w:rsidR="009E4E5B" w:rsidSect="00614A9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II PIELIKUMS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182191"/>
      <w:bookmarkStart w:id="5" w:name="_Hlk191398973"/>
      <w:r>
        <w:rPr>
          <w:noProof/>
        </w:rPr>
        <w:t>MAKSĀJUMU PAKALPOJUMU SNIEDZĒJU PĀRSKATU SNIEGŠANA PAR</w:t>
      </w:r>
      <w:bookmarkEnd w:id="2"/>
      <w:bookmarkEnd w:id="3"/>
      <w:r>
        <w:rPr>
          <w:noProof/>
        </w:rPr>
        <w:t xml:space="preserve"> KREDĪTA PĀRVEDUMIEM UN MAKSĀJUMU KONTIEM PIEMĒROTO MAKSU LĪMENI UN PAR NORAIDĪTAJIEM DARĪJUMIEM – NORĀDĪJUMI</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Satura rādītājs</w:t>
          </w:r>
        </w:p>
        <w:p w14:paraId="2DF7855F" w14:textId="77EB5060" w:rsidR="00127A1A"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182191" w:history="1">
            <w:r w:rsidR="00127A1A" w:rsidRPr="00904541">
              <w:rPr>
                <w:rStyle w:val="Hyperlink"/>
                <w:noProof/>
              </w:rPr>
              <w:t>MAKSĀJUMU PAKALPOJUMU SNIEDZĒJU PĀRSKATU SNIEGŠANA PAR KREDĪTA PĀRVEDUMIEM UN MAKSĀJUMU KONTIEM PIEMĒROTO MAKSU LĪMENI UN PAR NORAIDĪTAJIEM DARĪJUMIEM – NORĀDĪJUMI</w:t>
            </w:r>
            <w:r w:rsidR="00127A1A">
              <w:rPr>
                <w:noProof/>
                <w:webHidden/>
              </w:rPr>
              <w:tab/>
            </w:r>
            <w:r w:rsidR="00127A1A">
              <w:rPr>
                <w:noProof/>
                <w:webHidden/>
              </w:rPr>
              <w:fldChar w:fldCharType="begin"/>
            </w:r>
            <w:r w:rsidR="00127A1A">
              <w:rPr>
                <w:noProof/>
                <w:webHidden/>
              </w:rPr>
              <w:instrText xml:space="preserve"> PAGEREF _Toc209182191 \h </w:instrText>
            </w:r>
            <w:r w:rsidR="00127A1A">
              <w:rPr>
                <w:noProof/>
                <w:webHidden/>
              </w:rPr>
            </w:r>
            <w:r w:rsidR="00127A1A">
              <w:rPr>
                <w:noProof/>
                <w:webHidden/>
              </w:rPr>
              <w:fldChar w:fldCharType="separate"/>
            </w:r>
            <w:r w:rsidR="00127A1A">
              <w:rPr>
                <w:noProof/>
                <w:webHidden/>
              </w:rPr>
              <w:t>1</w:t>
            </w:r>
            <w:r w:rsidR="00127A1A">
              <w:rPr>
                <w:noProof/>
                <w:webHidden/>
              </w:rPr>
              <w:fldChar w:fldCharType="end"/>
            </w:r>
          </w:hyperlink>
        </w:p>
        <w:p w14:paraId="0BC458BE" w14:textId="0943C59C" w:rsidR="00127A1A" w:rsidRDefault="00614A9D">
          <w:pPr>
            <w:pStyle w:val="TOC1"/>
            <w:rPr>
              <w:rFonts w:asciiTheme="minorHAnsi" w:eastAsiaTheme="minorEastAsia" w:hAnsiTheme="minorHAnsi" w:cstheme="minorBidi"/>
              <w:noProof/>
              <w:color w:val="auto"/>
              <w:lang w:val="en-IE" w:eastAsia="en-IE"/>
            </w:rPr>
          </w:pPr>
          <w:hyperlink w:anchor="_Toc209182192" w:history="1">
            <w:r w:rsidR="00127A1A" w:rsidRPr="00904541">
              <w:rPr>
                <w:rStyle w:val="Hyperlink"/>
                <w:noProof/>
              </w:rPr>
              <w:t>VISPĀRĪGI NORĀDĪJUMI</w:t>
            </w:r>
            <w:r w:rsidR="00127A1A">
              <w:rPr>
                <w:noProof/>
                <w:webHidden/>
              </w:rPr>
              <w:tab/>
            </w:r>
            <w:r w:rsidR="00127A1A">
              <w:rPr>
                <w:noProof/>
                <w:webHidden/>
              </w:rPr>
              <w:fldChar w:fldCharType="begin"/>
            </w:r>
            <w:r w:rsidR="00127A1A">
              <w:rPr>
                <w:noProof/>
                <w:webHidden/>
              </w:rPr>
              <w:instrText xml:space="preserve"> PAGEREF _Toc209182192 \h </w:instrText>
            </w:r>
            <w:r w:rsidR="00127A1A">
              <w:rPr>
                <w:noProof/>
                <w:webHidden/>
              </w:rPr>
            </w:r>
            <w:r w:rsidR="00127A1A">
              <w:rPr>
                <w:noProof/>
                <w:webHidden/>
              </w:rPr>
              <w:fldChar w:fldCharType="separate"/>
            </w:r>
            <w:r w:rsidR="00127A1A">
              <w:rPr>
                <w:noProof/>
                <w:webHidden/>
              </w:rPr>
              <w:t>2</w:t>
            </w:r>
            <w:r w:rsidR="00127A1A">
              <w:rPr>
                <w:noProof/>
                <w:webHidden/>
              </w:rPr>
              <w:fldChar w:fldCharType="end"/>
            </w:r>
          </w:hyperlink>
        </w:p>
        <w:p w14:paraId="068D3297" w14:textId="6FA08B77" w:rsidR="00127A1A" w:rsidRDefault="00614A9D">
          <w:pPr>
            <w:pStyle w:val="TOC1"/>
            <w:rPr>
              <w:rFonts w:asciiTheme="minorHAnsi" w:eastAsiaTheme="minorEastAsia" w:hAnsiTheme="minorHAnsi" w:cstheme="minorBidi"/>
              <w:noProof/>
              <w:color w:val="auto"/>
              <w:lang w:val="en-IE" w:eastAsia="en-IE"/>
            </w:rPr>
          </w:pPr>
          <w:hyperlink w:anchor="_Toc209182193" w:history="1">
            <w:r w:rsidR="00127A1A" w:rsidRPr="00904541">
              <w:rPr>
                <w:rStyle w:val="Hyperlink"/>
                <w:noProof/>
              </w:rPr>
              <w:t>VEIDNE S 01.01: KREDĪTA PĀRVEDUMU UN TŪLĪTĒJO KREDĪTA PĀRVEDUMU KOPĒJAIS SKAITS UN KOPĒJĀ VĒRTĪBA</w:t>
            </w:r>
            <w:r w:rsidR="00127A1A">
              <w:rPr>
                <w:noProof/>
                <w:webHidden/>
              </w:rPr>
              <w:tab/>
            </w:r>
            <w:r w:rsidR="00127A1A">
              <w:rPr>
                <w:noProof/>
                <w:webHidden/>
              </w:rPr>
              <w:fldChar w:fldCharType="begin"/>
            </w:r>
            <w:r w:rsidR="00127A1A">
              <w:rPr>
                <w:noProof/>
                <w:webHidden/>
              </w:rPr>
              <w:instrText xml:space="preserve"> PAGEREF _Toc209182193 \h </w:instrText>
            </w:r>
            <w:r w:rsidR="00127A1A">
              <w:rPr>
                <w:noProof/>
                <w:webHidden/>
              </w:rPr>
            </w:r>
            <w:r w:rsidR="00127A1A">
              <w:rPr>
                <w:noProof/>
                <w:webHidden/>
              </w:rPr>
              <w:fldChar w:fldCharType="separate"/>
            </w:r>
            <w:r w:rsidR="00127A1A">
              <w:rPr>
                <w:noProof/>
                <w:webHidden/>
              </w:rPr>
              <w:t>4</w:t>
            </w:r>
            <w:r w:rsidR="00127A1A">
              <w:rPr>
                <w:noProof/>
                <w:webHidden/>
              </w:rPr>
              <w:fldChar w:fldCharType="end"/>
            </w:r>
          </w:hyperlink>
        </w:p>
        <w:p w14:paraId="71DA7BDB" w14:textId="04EF7ACF" w:rsidR="00127A1A" w:rsidRDefault="00614A9D">
          <w:pPr>
            <w:pStyle w:val="TOC1"/>
            <w:rPr>
              <w:rFonts w:asciiTheme="minorHAnsi" w:eastAsiaTheme="minorEastAsia" w:hAnsiTheme="minorHAnsi" w:cstheme="minorBidi"/>
              <w:noProof/>
              <w:color w:val="auto"/>
              <w:lang w:val="en-IE" w:eastAsia="en-IE"/>
            </w:rPr>
          </w:pPr>
          <w:hyperlink w:anchor="_Toc209182194" w:history="1">
            <w:r w:rsidR="00127A1A" w:rsidRPr="00904541">
              <w:rPr>
                <w:rStyle w:val="Hyperlink"/>
                <w:noProof/>
              </w:rPr>
              <w:t>VEIDNE S 01.02: KREDĪTA PĀRVEDUMU UN TŪLĪTĒJU KREDĪTA PĀRVEDUMU KOPĒJAIS SKAITS UN KOPĒJĀ VĒRTĪBA (tikai MPS dalībvalstīs ārpus eurozonas)</w:t>
            </w:r>
            <w:r w:rsidR="00127A1A">
              <w:rPr>
                <w:noProof/>
                <w:webHidden/>
              </w:rPr>
              <w:tab/>
            </w:r>
            <w:r w:rsidR="00127A1A">
              <w:rPr>
                <w:noProof/>
                <w:webHidden/>
              </w:rPr>
              <w:fldChar w:fldCharType="begin"/>
            </w:r>
            <w:r w:rsidR="00127A1A">
              <w:rPr>
                <w:noProof/>
                <w:webHidden/>
              </w:rPr>
              <w:instrText xml:space="preserve"> PAGEREF _Toc209182194 \h </w:instrText>
            </w:r>
            <w:r w:rsidR="00127A1A">
              <w:rPr>
                <w:noProof/>
                <w:webHidden/>
              </w:rPr>
            </w:r>
            <w:r w:rsidR="00127A1A">
              <w:rPr>
                <w:noProof/>
                <w:webHidden/>
              </w:rPr>
              <w:fldChar w:fldCharType="separate"/>
            </w:r>
            <w:r w:rsidR="00127A1A">
              <w:rPr>
                <w:noProof/>
                <w:webHidden/>
              </w:rPr>
              <w:t>11</w:t>
            </w:r>
            <w:r w:rsidR="00127A1A">
              <w:rPr>
                <w:noProof/>
                <w:webHidden/>
              </w:rPr>
              <w:fldChar w:fldCharType="end"/>
            </w:r>
          </w:hyperlink>
        </w:p>
        <w:p w14:paraId="65CE78D1" w14:textId="60647114" w:rsidR="00127A1A" w:rsidRDefault="00614A9D">
          <w:pPr>
            <w:pStyle w:val="TOC1"/>
            <w:rPr>
              <w:rFonts w:asciiTheme="minorHAnsi" w:eastAsiaTheme="minorEastAsia" w:hAnsiTheme="minorHAnsi" w:cstheme="minorBidi"/>
              <w:noProof/>
              <w:color w:val="auto"/>
              <w:lang w:val="en-IE" w:eastAsia="en-IE"/>
            </w:rPr>
          </w:pPr>
          <w:hyperlink w:anchor="_Toc209182195" w:history="1">
            <w:r w:rsidR="00127A1A" w:rsidRPr="00904541">
              <w:rPr>
                <w:rStyle w:val="Hyperlink"/>
                <w:noProof/>
              </w:rPr>
              <w:t>VEIDNE S 02.01: MAKSAS PAR KREDĪTA PĀRVEDUMIEM UN TŪLĪTĒJIEM KREDĪTA PĀRVEDUMIEM</w:t>
            </w:r>
            <w:r w:rsidR="00127A1A">
              <w:rPr>
                <w:noProof/>
                <w:webHidden/>
              </w:rPr>
              <w:tab/>
            </w:r>
            <w:r w:rsidR="00127A1A">
              <w:rPr>
                <w:noProof/>
                <w:webHidden/>
              </w:rPr>
              <w:fldChar w:fldCharType="begin"/>
            </w:r>
            <w:r w:rsidR="00127A1A">
              <w:rPr>
                <w:noProof/>
                <w:webHidden/>
              </w:rPr>
              <w:instrText xml:space="preserve"> PAGEREF _Toc209182195 \h </w:instrText>
            </w:r>
            <w:r w:rsidR="00127A1A">
              <w:rPr>
                <w:noProof/>
                <w:webHidden/>
              </w:rPr>
            </w:r>
            <w:r w:rsidR="00127A1A">
              <w:rPr>
                <w:noProof/>
                <w:webHidden/>
              </w:rPr>
              <w:fldChar w:fldCharType="separate"/>
            </w:r>
            <w:r w:rsidR="00127A1A">
              <w:rPr>
                <w:noProof/>
                <w:webHidden/>
              </w:rPr>
              <w:t>12</w:t>
            </w:r>
            <w:r w:rsidR="00127A1A">
              <w:rPr>
                <w:noProof/>
                <w:webHidden/>
              </w:rPr>
              <w:fldChar w:fldCharType="end"/>
            </w:r>
          </w:hyperlink>
        </w:p>
        <w:p w14:paraId="3CFDD84C" w14:textId="30077059" w:rsidR="00127A1A" w:rsidRDefault="00614A9D">
          <w:pPr>
            <w:pStyle w:val="TOC1"/>
            <w:rPr>
              <w:rFonts w:asciiTheme="minorHAnsi" w:eastAsiaTheme="minorEastAsia" w:hAnsiTheme="minorHAnsi" w:cstheme="minorBidi"/>
              <w:noProof/>
              <w:color w:val="auto"/>
              <w:lang w:val="en-IE" w:eastAsia="en-IE"/>
            </w:rPr>
          </w:pPr>
          <w:hyperlink w:anchor="_Toc209182196" w:history="1">
            <w:r w:rsidR="00127A1A" w:rsidRPr="00904541">
              <w:rPr>
                <w:rStyle w:val="Hyperlink"/>
                <w:noProof/>
              </w:rPr>
              <w:t>VEIDNE S 02.02: MAKSAS PAR KREDĪTA PĀRVEDUMIEM UN TŪLĪTĒJIEM KREDĪTA PĀRVEDUMIEM (tikai MPS dalībvalstīs ārpus eurozonas)</w:t>
            </w:r>
            <w:r w:rsidR="00127A1A">
              <w:rPr>
                <w:noProof/>
                <w:webHidden/>
              </w:rPr>
              <w:tab/>
            </w:r>
            <w:r w:rsidR="00127A1A">
              <w:rPr>
                <w:noProof/>
                <w:webHidden/>
              </w:rPr>
              <w:fldChar w:fldCharType="begin"/>
            </w:r>
            <w:r w:rsidR="00127A1A">
              <w:rPr>
                <w:noProof/>
                <w:webHidden/>
              </w:rPr>
              <w:instrText xml:space="preserve"> PAGEREF _Toc209182196 \h </w:instrText>
            </w:r>
            <w:r w:rsidR="00127A1A">
              <w:rPr>
                <w:noProof/>
                <w:webHidden/>
              </w:rPr>
            </w:r>
            <w:r w:rsidR="00127A1A">
              <w:rPr>
                <w:noProof/>
                <w:webHidden/>
              </w:rPr>
              <w:fldChar w:fldCharType="separate"/>
            </w:r>
            <w:r w:rsidR="00127A1A">
              <w:rPr>
                <w:noProof/>
                <w:webHidden/>
              </w:rPr>
              <w:t>15</w:t>
            </w:r>
            <w:r w:rsidR="00127A1A">
              <w:rPr>
                <w:noProof/>
                <w:webHidden/>
              </w:rPr>
              <w:fldChar w:fldCharType="end"/>
            </w:r>
          </w:hyperlink>
        </w:p>
        <w:p w14:paraId="715FA470" w14:textId="561BA077" w:rsidR="00127A1A" w:rsidRDefault="00614A9D">
          <w:pPr>
            <w:pStyle w:val="TOC1"/>
            <w:rPr>
              <w:rFonts w:asciiTheme="minorHAnsi" w:eastAsiaTheme="minorEastAsia" w:hAnsiTheme="minorHAnsi" w:cstheme="minorBidi"/>
              <w:noProof/>
              <w:color w:val="auto"/>
              <w:lang w:val="en-IE" w:eastAsia="en-IE"/>
            </w:rPr>
          </w:pPr>
          <w:hyperlink w:anchor="_Toc209182197" w:history="1">
            <w:r w:rsidR="00127A1A" w:rsidRPr="00904541">
              <w:rPr>
                <w:rStyle w:val="Hyperlink"/>
                <w:noProof/>
              </w:rPr>
              <w:t>VEIDNE S 03.00: MAKSĀJUMU KONTU KOPĒJAIS SKAITS UN KOPĒJĀS MAKSAS PAR MAKSĀJUMU KONTIEM (VALSTS VALŪTĀ)</w:t>
            </w:r>
            <w:r w:rsidR="00127A1A">
              <w:rPr>
                <w:noProof/>
                <w:webHidden/>
              </w:rPr>
              <w:tab/>
            </w:r>
            <w:r w:rsidR="00127A1A">
              <w:rPr>
                <w:noProof/>
                <w:webHidden/>
              </w:rPr>
              <w:fldChar w:fldCharType="begin"/>
            </w:r>
            <w:r w:rsidR="00127A1A">
              <w:rPr>
                <w:noProof/>
                <w:webHidden/>
              </w:rPr>
              <w:instrText xml:space="preserve"> PAGEREF _Toc209182197 \h </w:instrText>
            </w:r>
            <w:r w:rsidR="00127A1A">
              <w:rPr>
                <w:noProof/>
                <w:webHidden/>
              </w:rPr>
            </w:r>
            <w:r w:rsidR="00127A1A">
              <w:rPr>
                <w:noProof/>
                <w:webHidden/>
              </w:rPr>
              <w:fldChar w:fldCharType="separate"/>
            </w:r>
            <w:r w:rsidR="00127A1A">
              <w:rPr>
                <w:noProof/>
                <w:webHidden/>
              </w:rPr>
              <w:t>16</w:t>
            </w:r>
            <w:r w:rsidR="00127A1A">
              <w:rPr>
                <w:noProof/>
                <w:webHidden/>
              </w:rPr>
              <w:fldChar w:fldCharType="end"/>
            </w:r>
          </w:hyperlink>
        </w:p>
        <w:p w14:paraId="7D344BCE" w14:textId="0109205D" w:rsidR="00127A1A" w:rsidRDefault="00614A9D">
          <w:pPr>
            <w:pStyle w:val="TOC1"/>
            <w:rPr>
              <w:rFonts w:asciiTheme="minorHAnsi" w:eastAsiaTheme="minorEastAsia" w:hAnsiTheme="minorHAnsi" w:cstheme="minorBidi"/>
              <w:noProof/>
              <w:color w:val="auto"/>
              <w:lang w:val="en-IE" w:eastAsia="en-IE"/>
            </w:rPr>
          </w:pPr>
          <w:hyperlink w:anchor="_Toc209182198" w:history="1">
            <w:r w:rsidR="00127A1A" w:rsidRPr="00904541">
              <w:rPr>
                <w:rStyle w:val="Hyperlink"/>
                <w:noProof/>
              </w:rPr>
              <w:t>VEIDNE S 04.00: NORAIDĪTO TŪLĪTĒJO KREDĪTA PĀRVEDUMU SKAITS</w:t>
            </w:r>
            <w:r w:rsidR="00127A1A">
              <w:rPr>
                <w:noProof/>
                <w:webHidden/>
              </w:rPr>
              <w:tab/>
            </w:r>
            <w:r w:rsidR="00127A1A">
              <w:rPr>
                <w:noProof/>
                <w:webHidden/>
              </w:rPr>
              <w:fldChar w:fldCharType="begin"/>
            </w:r>
            <w:r w:rsidR="00127A1A">
              <w:rPr>
                <w:noProof/>
                <w:webHidden/>
              </w:rPr>
              <w:instrText xml:space="preserve"> PAGEREF _Toc209182198 \h </w:instrText>
            </w:r>
            <w:r w:rsidR="00127A1A">
              <w:rPr>
                <w:noProof/>
                <w:webHidden/>
              </w:rPr>
            </w:r>
            <w:r w:rsidR="00127A1A">
              <w:rPr>
                <w:noProof/>
                <w:webHidden/>
              </w:rPr>
              <w:fldChar w:fldCharType="separate"/>
            </w:r>
            <w:r w:rsidR="00127A1A">
              <w:rPr>
                <w:noProof/>
                <w:webHidden/>
              </w:rPr>
              <w:t>18</w:t>
            </w:r>
            <w:r w:rsidR="00127A1A">
              <w:rPr>
                <w:noProof/>
                <w:webHidden/>
              </w:rPr>
              <w:fldChar w:fldCharType="end"/>
            </w:r>
          </w:hyperlink>
        </w:p>
        <w:p w14:paraId="0704FBEC" w14:textId="5A4D060F"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182192"/>
      <w:r>
        <w:rPr>
          <w:noProof/>
        </w:rPr>
        <w:t>VISPĀRĪGI NORĀDĪJUMI</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Saturs</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Šajā pielikumā sniegti norādījumi par to, kā aizpildīt I pielikuma pārskatu sniegšanas veidnes. Šie norādījumi ir adresēti maksājumu pakalpojumu sniedzējiem (MPS). Norādījumos attiecībā uz katru veidni ir ietvertas atsauces uz tiesību aktiem.</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I pielikumā ir sešas dažādas veidnes:</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kredīta pārvedumu un tūlītējo kredīta pārvedumu kopējais skaits un kopējā vērtība (valsts valūtā)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kredīta pārvedumu un tūlītējo kredīta pārvedumu kopējais skaits un kopējā vērtība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maksas par kredīta pārvedumiem un tūlītējiem kredīta pārvedumiem (valsts valūtā)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maksas par kredīta pārvedumiem un tūlītējiem kredīta pārvedumiem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maksājumu kontu kopējais skaits un kopējās maksas par maksājumu kontiem (valsts valūtā)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noraidīto tūlītējo kredīta pārvedumu skaits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Regulas I pielikuma slejās “Skaits” MPS norāda skaitliskās vērtības, ievērojot attiecībā uz veidnēm sniegtos īpašos norādījumus.</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Šajos norādījumos izmantoti šādi vispārējie apzīmējumi: {Veidne; Rinda; Sleja; z ass}. Ja veidnēs ir tikai viena sleja, atsaucas tikai uz rindām {Veidne; Rinda}, attiecīgā gadījumā ar z asi.</w:t>
      </w:r>
    </w:p>
    <w:p w14:paraId="62CADA24" w14:textId="77777777" w:rsidR="00AB2441" w:rsidRPr="005B1CFF" w:rsidRDefault="0009071D" w:rsidP="00031D52">
      <w:pPr>
        <w:spacing w:before="120" w:after="120" w:line="276" w:lineRule="auto"/>
        <w:ind w:left="567" w:right="71" w:hanging="10"/>
        <w:rPr>
          <w:noProof/>
        </w:rPr>
      </w:pPr>
      <w:r>
        <w:rPr>
          <w:noProof/>
        </w:rPr>
        <w:t xml:space="preserve">Pārskatu sniegšanas tvērums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MPS, kas atrodas eurozonas dalībvalstīs un uz kuriem, pamatojoties uz Eiropas Parlamenta un Padomes Regulas (ES) Nr. 260/2012</w:t>
      </w:r>
      <w:r>
        <w:rPr>
          <w:rStyle w:val="FootnoteReference"/>
          <w:noProof/>
          <w:lang w:val="en-IE"/>
        </w:rPr>
        <w:footnoteReference w:id="2"/>
      </w:r>
      <w:r>
        <w:rPr>
          <w:noProof/>
        </w:rPr>
        <w:t> 15. pantu, attiecas pārskatu sniegšanas pienākumi, uzrāda S 01.01, S 02.01, S 03.00 un S 04.00 veidnes, norādot visus šajā pielikumā noteiktos datu punktus, ja vien valsts kompetentās iestādes to jurisdikcijā neļauj tiem nosūtīt tikai atsauci (tostarp saiti, ja tāda ir pieejama) uz identiskiem iepriekš iesniegtiem datu punktiem.</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Uz MPS, kas atrodas dalībvalstīs ārpus eurozonas un kas piedāvā maksājumu pakalpojumu saņemt un nosūtīt regulārus kredīta pārvedumus euro, attiecas arī pienākums piedāvāt saviem MPL maksājumu pakalpojumu saņemt un nosūtīt tūlītējus kredīta pārvedumus euro. Minētajiem MPS būtu arī jāizpilda pienākumi saistībā ar maksām, ko iekasē no maksātājiem un maksājumu saņēmējiem par tūlītēju kredīta pārvedumu euro nosūtīšanu un saņemšanu. Tādējādi uz minētajiem MPS attiecas arī pārskatu sniegšanas pienākumi, kuru pamatā ir Regulas (ES) Nr. 260/2012 15. pants. Tāpēc tie uzrāda visas veidnes ar visiem šajā pielikumā norādītajiem datu punktiem, ja vien valsts kompetentās iestādes to jurisdikcijā neļauj tiem nosūtīt tikai atsauci (tostarp saiti, ja tāda ir pieejama) uz identiskiem iepriekš iesniegtiem datu punktiem.</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MPS filiāles, kas atrodas dalībvalstīs, kuras nav to mātesuzņēmumu dalībvalstis, iesniedz savus datus uzņēmējas dalībvalsts kompetentajai iestādei, un mātesuzņēmumi paši par sevi sniedz pārskatu savas piederības dalībvalsts kompetentajai iestādei.</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Regulas (ES) Nr. 260/2012 15. panta 2. un 3. punktā ir noteikts, ka minētos punktus piemēro kredīta pārvedumiem un tūlītējiem kredīta pārvedumiem, vienlaikus izslēdzot darījumus, kas noteikti minētās regulas 1. panta 2. punktā. Turklāt Regulas (ES) Nr. 260/2012 15. panta 2. punktā ir noteikts, ka Eiropas Komisija izvērtē arī maksu par iekšzemes un pārrobežu kredīta pārvedumiem un tūlītējiem kredīta pārvedumiem euro un to dalībvalstu valūtā, kuru valūta nav euro, dinamiku. Iekšzemes un pārrobežu kredīta pārvedumi ir definēti minētās regulas 2. panta 26. un 27. punktā. Ņemot to vērā, lai noteiktu, vai kredīta pārvedums ietilpst šīs regulas darbības jomā, jāņem vērā gan kredīta pārveduma valūta (kredīta pārvedums ir euro vai to dalībvalstu valsts valūtā, kuru valūta nav euro), gan MPS atrašanās vieta (maksātāja un maksājuma saņēmēja kredīta pārveduma MPS atrodas Savienībā).</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Maksas par euro denominētiem pārvedumiem vienmēr norāda euro, pat ja tās iekasētas citā valūtā.</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Maksas par pārvedumiem, kas denominēti dalībvalstu valūtās, kuras nav euro, norāda attiecīgajā valsts valūtā, pat ja tās iekasētas citā valūtā. Šādos gadījumos, ja maksas konvertē euro vai citās valstu valūtās, datus konvertē, izmantojot ECB atsauces maiņas kursu vai valūtas maiņas kursus, ko piemēro minētajiem darījumiem, saskaņā ar Eiropas Centrālās bankas Regulu (ES) Nr. 1409/2013</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Valūtas konvertēšanas tarifu izslēdz no pārskatu sniegšanas.</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MPS uzrāda sešu veidņu kopumus šajā pielikumā atsevišķi par katru atsauces periodu.</w:t>
      </w:r>
    </w:p>
    <w:p w14:paraId="4295EDC7" w14:textId="138D1BEE" w:rsidR="00AB2441" w:rsidRPr="005B1CFF" w:rsidRDefault="0009071D" w:rsidP="00820C47">
      <w:pPr>
        <w:pStyle w:val="Heading1"/>
        <w:spacing w:before="120" w:after="120" w:line="276" w:lineRule="auto"/>
        <w:rPr>
          <w:noProof/>
        </w:rPr>
      </w:pPr>
      <w:bookmarkStart w:id="7" w:name="_Toc209182193"/>
      <w:r>
        <w:rPr>
          <w:noProof/>
        </w:rPr>
        <w:t>VEIDNE S 01.01: KREDĪTA PĀRVEDUMU UN TŪLĪTĒJO KREDĪTA PĀRVEDUMU KOPĒJAIS SKAITS UN KOPĒJĀ VĒRTĪBA</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Vispārīgas piezīmes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MPS veidni S 01.01 aizpilda ar nosūtīto kredīta pārvedumu un tūlītēju kredīta pārvedumu skaitu un vērtību euro attiecībā uz MPS, kas atrodas eurozonas dalībvalstīs, un valsts valūtā, kas nav euro, attiecībā uz MPS, kuri atrodas dalībvalstīs ārpus eurozonas.</w:t>
      </w:r>
    </w:p>
    <w:p w14:paraId="2D977F88" w14:textId="6DF1AE87" w:rsidR="00AB2441" w:rsidRPr="005B1CFF" w:rsidRDefault="0009071D" w:rsidP="00031D52">
      <w:pPr>
        <w:spacing w:before="120" w:after="120" w:line="276" w:lineRule="auto"/>
        <w:ind w:left="1134" w:right="75" w:firstLine="0"/>
        <w:rPr>
          <w:noProof/>
        </w:rPr>
      </w:pPr>
      <w:r>
        <w:rPr>
          <w:noProof/>
        </w:rPr>
        <w:t>Kredīta pārvedumu un tūlītēju kredīta pārvedumu skaits un vērtība ietver šādu pārvedumu skaitu, ko atsauces periodā nosūtījis katrs MPS, šādā sadalījumā:</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bezmaksas pārvedumi un maksas pārvedumi;</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klienta, kurš iniciē kredīta pārvedumu, veids;</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kredīta pārveduma iekšzemes vai pārrobežu raksturs;</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izmantotā maksājuma iniciēšanas metode.</w:t>
      </w:r>
    </w:p>
    <w:p w14:paraId="2036A49C" w14:textId="18900F19" w:rsidR="00AB2441" w:rsidRPr="005B1CFF" w:rsidRDefault="0009071D" w:rsidP="00031D52">
      <w:pPr>
        <w:spacing w:before="120" w:after="120" w:line="276" w:lineRule="auto"/>
        <w:ind w:left="1134" w:right="75" w:firstLine="0"/>
        <w:rPr>
          <w:noProof/>
        </w:rPr>
      </w:pPr>
      <w:r>
        <w:rPr>
          <w:noProof/>
        </w:rPr>
        <w:t>Attiecībā uz a), b) un c) apakšpunktā minēto sadalījumu uzrādīto datu punktu summa atbilst uzrādīto kredīta pārvedumu kopējam skaitam vai vērtībai.</w:t>
      </w:r>
    </w:p>
    <w:p w14:paraId="6B55A573" w14:textId="55CCC44D" w:rsidR="00AB2441" w:rsidRPr="005B1CFF" w:rsidRDefault="0009071D" w:rsidP="0023658F">
      <w:pPr>
        <w:spacing w:before="120" w:after="120" w:line="276" w:lineRule="auto"/>
        <w:ind w:left="1134" w:right="75" w:firstLine="0"/>
        <w:rPr>
          <w:noProof/>
        </w:rPr>
      </w:pPr>
      <w:r>
        <w:rPr>
          <w:noProof/>
        </w:rPr>
        <w:t>Attiecībā uz d) apakšpunktā minēto sadalījumu kredīta pārvedumos, “kas iniciēti elektroniski, izmantojot tiešsaistes banku pakalpojumus”, MPS iekļauj kredīta pārvedumus, kas iniciēti tiešsaistē, pamatojoties uz vienu maksājumu, un kredīta pārvedumus, kas iniciēti datnē / datu paketē. Kredīta pārvedumi, kas iniciēti datnē / datu paketē, ir elektroniski iniciēti kredīta pārvedumi, kas ir daļa no kredīta pārvedumu grupas, ko kopīgi iniciējis maksātājs, izmantojot īpašu līniju. Uzrādot pārvedumu skaitu, katru datu paketē ietverto kredīta pārvedumu uzskaita kā atsevišķu kredīta pārvedumu.</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MPS S 01.01 veidnē norāda saņemto kredīta pārvedumu un tūlītēju kredīta pārvedumu skaitu un vērtību euro attiecībā uz MPS, kas atrodas eurozonas dalībvalstīs, un valsts valūtā, kas nav euro, attiecībā uz MPS, kuri atrodas dalībvalstīs ārpus eurozonas. Kredīta pārvedumu un tūlītēju kredīta pārvedumu skaits un vērtība norāda pārvedumu skaitu, ko atsauces periodā saņēmis katrs MPS, sadalījumā pa bezmaksas vai maksas pārvedumiem.</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Informāciju šajā veidnē uzrāda kopējā līmenī.</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Norādījumi par konkrētām pozīcijām veidnē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Rinda; Sleja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Atsauces uz tiesību aktiem un norādes</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Nosūtīto kredīta pārvedumu kopējais skaits</w:t>
            </w:r>
          </w:p>
          <w:p w14:paraId="62BEEBFF" w14:textId="1A1CB4C2" w:rsidR="00AB2441" w:rsidRPr="005B1CFF" w:rsidRDefault="0009071D" w:rsidP="00820C47">
            <w:pPr>
              <w:spacing w:before="120" w:after="120" w:line="276" w:lineRule="auto"/>
              <w:ind w:left="1" w:right="60" w:firstLine="0"/>
              <w:rPr>
                <w:noProof/>
              </w:rPr>
            </w:pPr>
            <w:r>
              <w:rPr>
                <w:noProof/>
              </w:rPr>
              <w:t>Nosūtīto kredīta pārvedumu valsts valūtā kopējais skaits</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t. sk. tūlītēji kredīta pārvedumi</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Nosūtīto kredīta pārvedumu kopējā vērtība</w:t>
            </w:r>
          </w:p>
          <w:p w14:paraId="0460D3CB" w14:textId="7CA45CE4" w:rsidR="00AB2441" w:rsidRPr="005B1CFF" w:rsidRDefault="0009071D" w:rsidP="00820C47">
            <w:pPr>
              <w:spacing w:before="120" w:after="120" w:line="276" w:lineRule="auto"/>
              <w:ind w:left="0" w:right="0" w:firstLine="0"/>
              <w:rPr>
                <w:noProof/>
              </w:rPr>
            </w:pPr>
            <w:r>
              <w:rPr>
                <w:noProof/>
              </w:rPr>
              <w:t>Visu nosūtīto kredīta pārvedumu valsts valūtā kopējā vērtība, izteikta valsts valūtā.</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Saņemto kredīta pārvedumu kopējais skaits</w:t>
            </w:r>
          </w:p>
          <w:p w14:paraId="2E11C75F" w14:textId="7EE36F75" w:rsidR="00AB2441" w:rsidRPr="005B1CFF" w:rsidRDefault="0009071D" w:rsidP="00820C47">
            <w:pPr>
              <w:spacing w:before="120" w:after="120" w:line="276" w:lineRule="auto"/>
              <w:ind w:left="0" w:right="0" w:firstLine="0"/>
              <w:rPr>
                <w:noProof/>
              </w:rPr>
            </w:pPr>
            <w:r>
              <w:rPr>
                <w:noProof/>
              </w:rPr>
              <w:t>Saņemto kredīta pārvedumu valsts valūtā kopējais skaits</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Saņemto kredīta pārvedumu kopējā vērtība</w:t>
            </w:r>
          </w:p>
          <w:p w14:paraId="26545329" w14:textId="4DDCB949" w:rsidR="00AB2441" w:rsidRPr="005B1CFF" w:rsidRDefault="0009071D" w:rsidP="00820C47">
            <w:pPr>
              <w:spacing w:before="120" w:after="120" w:line="276" w:lineRule="auto"/>
              <w:ind w:left="0" w:right="0" w:firstLine="0"/>
              <w:rPr>
                <w:noProof/>
              </w:rPr>
            </w:pPr>
            <w:r>
              <w:rPr>
                <w:noProof/>
              </w:rPr>
              <w:t>Visu saņemto kredīta pārvedumu valsts valūtā kopējā vērtība, izteikta valsts valūtā.</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To nosūtīto kredīta pārvedumu kopējais skaits, kas iniciēti elektroniski, izmantojot tiešsaistes banku pakalpojumus</w:t>
            </w:r>
          </w:p>
          <w:p w14:paraId="32951D8B" w14:textId="33248B32" w:rsidR="00AB2441" w:rsidRPr="005B1CFF" w:rsidRDefault="0009071D" w:rsidP="00820C47">
            <w:pPr>
              <w:spacing w:before="120" w:after="120" w:line="276" w:lineRule="auto"/>
              <w:ind w:left="0" w:right="0" w:firstLine="0"/>
              <w:rPr>
                <w:noProof/>
              </w:rPr>
            </w:pPr>
            <w:r>
              <w:rPr>
                <w:noProof/>
              </w:rPr>
              <w:t>Visu to kredīta pārvedumu kopējais skaits, kas iniciēti, izmantojot tiešsaistes banku pakalpojumus, tostarp kredīta pārvedumi, kas iniciēti datnē / datu paketē, un izmantojot maksājumu iniciēšanas pakalpojumus.</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To nosūtīto kredīta pārvedumu kopējā vērtība, kas iniciēti elektroniski, izmantojot tiešsaistes banku pakalpojumus</w:t>
            </w:r>
          </w:p>
          <w:p w14:paraId="3EF68802" w14:textId="24FD500A" w:rsidR="00AB2441" w:rsidRPr="005B1CFF" w:rsidRDefault="0009071D" w:rsidP="00820C47">
            <w:pPr>
              <w:spacing w:before="120" w:after="120" w:line="276" w:lineRule="auto"/>
              <w:ind w:left="0" w:right="0" w:firstLine="0"/>
              <w:rPr>
                <w:noProof/>
              </w:rPr>
            </w:pPr>
            <w:r>
              <w:rPr>
                <w:noProof/>
              </w:rPr>
              <w:t>Visu to kredīta pārvedumu kopējā vērtība, kas iniciēti, izmantojot tiešsaistes banku pakalpojumus, tostarp kredīta pārvedumi, kas iniciēti datnē / datu paketē, un izmantojot maksājumu iniciēšanas pakalpojumus, izteikta valsts valūtā.</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To nosūtīto kredīta pārvedumu kopējais skaits, kas iniciēti elektroniski, izmantojot mobilo maksājumu risinājumus</w:t>
            </w:r>
          </w:p>
          <w:p w14:paraId="4563148C" w14:textId="002E405E" w:rsidR="00AB2441" w:rsidRPr="005B1CFF" w:rsidRDefault="0009071D" w:rsidP="00820C47">
            <w:pPr>
              <w:spacing w:before="120" w:after="120" w:line="276" w:lineRule="auto"/>
              <w:ind w:left="0" w:right="57" w:firstLine="0"/>
              <w:rPr>
                <w:noProof/>
              </w:rPr>
            </w:pPr>
            <w:r>
              <w:rPr>
                <w:noProof/>
              </w:rPr>
              <w:t xml:space="preserve">To kredīta pārvedumu kopējais skaits, kas iniciēti, izmantojot mobilo maksājumu risinājumu, ja šo risinājumu izmanto, lai iniciētu maksājumus, par kuriem maksājumu dati un maksājuma norādījumi tiek nosūtīti vai apstiprināti ar mobilo sakaru un datu pārraides tehnoloģiju starpniecību, izmantojot mobilo ierīci. Šī kategorija ietver digitālos makus un citus mobilo maksājumu risinājumus, ko izmanto, lai iniciētu </w:t>
            </w:r>
            <w:r>
              <w:rPr>
                <w:i/>
                <w:noProof/>
              </w:rPr>
              <w:t>P2P</w:t>
            </w:r>
            <w:r>
              <w:rPr>
                <w:noProof/>
              </w:rPr>
              <w:t xml:space="preserve"> (fiziska persona fiziskai personai) vai </w:t>
            </w:r>
            <w:r>
              <w:rPr>
                <w:i/>
                <w:noProof/>
              </w:rPr>
              <w:t>C2B</w:t>
            </w:r>
            <w:r>
              <w:rPr>
                <w:noProof/>
              </w:rPr>
              <w:t xml:space="preserve"> (patērētājs uzņēmumam) darījumus saskaņā ar Regulas (ES) Nr. 1409/2013 II pielikumā noteiktajām datu definīcijām.</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To nosūtīto kredīta pārvedumu kopējā vērtība, kas iniciēti elektroniski, izmantojot mobilo maksājumu risinājumus</w:t>
            </w:r>
          </w:p>
          <w:p w14:paraId="22EABCC6" w14:textId="54F6C353" w:rsidR="00AB2441" w:rsidRPr="005B1CFF" w:rsidRDefault="0009071D" w:rsidP="00820C47">
            <w:pPr>
              <w:spacing w:before="120" w:after="120" w:line="276" w:lineRule="auto"/>
              <w:ind w:left="0" w:right="60" w:firstLine="0"/>
              <w:rPr>
                <w:noProof/>
              </w:rPr>
            </w:pPr>
            <w:r>
              <w:rPr>
                <w:noProof/>
              </w:rPr>
              <w:t xml:space="preserve">To kredīta pārvedumu kopējā vērtība, kas iniciēti, izmantojot mobilo maksājumu risinājumu, izteikta valsts valūtā, ja šo risinājumu izmanto, lai iniciētu maksājumus, par kuriem maksājumu dati un maksājuma norādījumi tiek nosūtīti vai apstiprināti ar mobilo sakaru un datu pārraides tehnoloģiju starpniecību, izmantojot mobilo ierīci. Šī kategorija ietver digitālos makus un citus mobilo maksājumu risinājumus, ko izmanto, lai iniciētu </w:t>
            </w:r>
            <w:r>
              <w:rPr>
                <w:i/>
                <w:noProof/>
              </w:rPr>
              <w:t>P2P</w:t>
            </w:r>
            <w:r>
              <w:rPr>
                <w:noProof/>
              </w:rPr>
              <w:t xml:space="preserve"> (fiziska persona fiziskai personai) vai </w:t>
            </w:r>
            <w:r>
              <w:rPr>
                <w:i/>
                <w:noProof/>
              </w:rPr>
              <w:t>C2B</w:t>
            </w:r>
            <w:r>
              <w:rPr>
                <w:noProof/>
              </w:rPr>
              <w:t xml:space="preserve"> (patērētājs uzņēmumam) darījumus saskaņā ar Regulas (ES) Nr. 1409/2013 II pielikumā noteiktajām datu definīcijām.</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To nosūtīto kredīta pārvedumu kopējais skaits, kas iniciēti papīra dokumenta veidā</w:t>
            </w:r>
          </w:p>
          <w:p w14:paraId="3220996B" w14:textId="2B93A90C" w:rsidR="00AB2441" w:rsidRPr="005B1CFF" w:rsidRDefault="0009071D" w:rsidP="00820C47">
            <w:pPr>
              <w:spacing w:before="120" w:after="120" w:line="276" w:lineRule="auto"/>
              <w:ind w:left="0" w:right="58" w:firstLine="0"/>
              <w:rPr>
                <w:noProof/>
              </w:rPr>
            </w:pPr>
            <w:r>
              <w:rPr>
                <w:noProof/>
              </w:rPr>
              <w:t>To kredīta pārvedumu kopējais skaits, kurus maksātājs iniciējis papīra dokumenta veidā, ja “papīra dokumenta veidā iniciēts kredīta pārvedums” saskaņā ar Regulas (ES) Nr. 1409/2013 II pielikumā izklāstītajām definīcijām ir “kredīta pārvedums, kuru maksātājs iesniedz papīra dokumenta veidā vai sniedzot norādījumus darbiniekam filiāles kasē (</w:t>
            </w:r>
            <w:r>
              <w:rPr>
                <w:i/>
                <w:iCs/>
                <w:noProof/>
              </w:rPr>
              <w:t>OTC</w:t>
            </w:r>
            <w:r>
              <w:rPr>
                <w:noProof/>
              </w:rPr>
              <w:t>), lai iniciētu kredīta pārvedumu, kā arī jebkurš cits kredīta pārvedums, kuram vajadzīga manuāla apstrāde”.</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To nosūtīto kredīta pārvedumu kopējā vērtība, kas iniciēti papīra dokumenta veidā</w:t>
            </w:r>
          </w:p>
          <w:p w14:paraId="20B2D36F" w14:textId="7C666989" w:rsidR="00AB2441" w:rsidRPr="005B1CFF" w:rsidRDefault="0009071D" w:rsidP="00820C47">
            <w:pPr>
              <w:spacing w:before="120" w:after="120" w:line="276" w:lineRule="auto"/>
              <w:ind w:left="0" w:right="60" w:firstLine="0"/>
              <w:rPr>
                <w:noProof/>
              </w:rPr>
            </w:pPr>
            <w:r>
              <w:rPr>
                <w:noProof/>
              </w:rPr>
              <w:t>To kredīta pārvedumu kopējā vērtība, ko maksātājs iniciējis papīra dokumenta veidā, izteikta valsts valūtā, kur “papīra dokumenta veidā iniciēts kredīta pārvedums” saskaņā ar Regulas (ES) Nr. 1409/2013 II pielikumā izklāstītajām definīcijām ir “kredīta pārvedums, kuru maksātājs iesniedz papīra dokumenta veidā vai sniedzot norādījumus darbiniekam filiāles kasē (</w:t>
            </w:r>
            <w:r>
              <w:rPr>
                <w:i/>
                <w:noProof/>
              </w:rPr>
              <w:t>OTC</w:t>
            </w:r>
            <w:r>
              <w:rPr>
                <w:noProof/>
              </w:rPr>
              <w:t>), lai iniciētu kredīta pārvedumu, kā arī jebkurš cits kredīta pārvedums, kuram vajadzīga manuāla apstrāde”.</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Nosūtīto iekšzemes kredīta pārvedumu kopējais skaits</w:t>
            </w:r>
          </w:p>
          <w:p w14:paraId="15F6AA0D" w14:textId="461B2106" w:rsidR="00AB2441" w:rsidRPr="005B1CFF" w:rsidRDefault="0009071D" w:rsidP="00820C47">
            <w:pPr>
              <w:spacing w:before="120" w:after="120" w:line="276" w:lineRule="auto"/>
              <w:ind w:left="0" w:right="61" w:firstLine="0"/>
              <w:rPr>
                <w:noProof/>
              </w:rPr>
            </w:pPr>
            <w:r>
              <w:rPr>
                <w:noProof/>
              </w:rPr>
              <w:t>To iekšzemes kredīta pārvedumu kopējais skaits, kuros maksātāja MPS un maksājuma saņēmēja MPS atrodas vienā un tajā pašā dalībvalstī</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Nosūtīto iekšzemes kredīta pārvedumu kopējā vērtība</w:t>
            </w:r>
          </w:p>
          <w:p w14:paraId="37BB885F" w14:textId="1BFA6CDD" w:rsidR="00AB2441" w:rsidRPr="005B1CFF" w:rsidRDefault="0009071D" w:rsidP="00820C47">
            <w:pPr>
              <w:spacing w:before="120" w:after="120" w:line="276" w:lineRule="auto"/>
              <w:ind w:left="0" w:right="60" w:firstLine="0"/>
              <w:rPr>
                <w:noProof/>
              </w:rPr>
            </w:pPr>
            <w:r>
              <w:rPr>
                <w:noProof/>
              </w:rPr>
              <w:t>Visu to kredīta pārvedumu kopējā vērtība, kuros maksātāja MPS un maksājuma saņēmēja MPS atrodas vienā un tajā pašā dalībvalstī. Vērtību izsaka valsts valūtā.</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Nosūtīto pārrobežu kredīta pārvedumu kopējais skaits</w:t>
            </w:r>
          </w:p>
          <w:p w14:paraId="0B67AB47" w14:textId="182DDD13" w:rsidR="00AB2441" w:rsidRPr="005B1CFF" w:rsidRDefault="0009071D" w:rsidP="00820C47">
            <w:pPr>
              <w:spacing w:before="120" w:after="120" w:line="276" w:lineRule="auto"/>
              <w:ind w:left="0" w:right="59" w:firstLine="0"/>
              <w:rPr>
                <w:noProof/>
              </w:rPr>
            </w:pPr>
            <w:r>
              <w:rPr>
                <w:noProof/>
              </w:rPr>
              <w:t>To kredīta pārvedumu kopējais skaits, kuros maksātāja MPS un maksājuma saņēmēja MPS atrodas dažādās dalībvalstīs. Izslēdz pārrobežu darījumus, kuros maksātāja vai maksājuma saņēmēja MPS atrodas ārpus Savienības.</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Nosūtīto pārrobežu kredīta pārvedumu kopējā vērtība</w:t>
            </w:r>
          </w:p>
          <w:p w14:paraId="6287280F" w14:textId="3286DD66" w:rsidR="00AB2441" w:rsidRPr="005B1CFF" w:rsidRDefault="0009071D" w:rsidP="00820C47">
            <w:pPr>
              <w:spacing w:before="120" w:after="120" w:line="276" w:lineRule="auto"/>
              <w:ind w:left="0" w:right="59" w:firstLine="0"/>
              <w:rPr>
                <w:noProof/>
              </w:rPr>
            </w:pPr>
            <w:r>
              <w:rPr>
                <w:noProof/>
              </w:rPr>
              <w:t>To kredīta pārvedumu kopējā vērtība, kuros maksātāja MPS un maksājuma saņēmēja MPS atrodas dažādās dalībvalstīs, izteikta valsts valūtā. Izslēdz pārrobežu darījumus, kuros maksātāja vai maksājuma saņēmēja MPS atrodas ārpus Savienības.</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Nosūtīto bezmaksas kredīta pārvedumu kopējais skaits</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Nosūtīto bezmaksas kredīta pārvedumu kopējais skaits, tostarp gadījumos, kad pārvedums ir bezmaksas par samaksu piedāvāta maksājumu konta komplekta ietvaros.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Nosūtīto bezmaksas</w:t>
            </w:r>
            <w:r>
              <w:rPr>
                <w:noProof/>
              </w:rPr>
              <w:t xml:space="preserve"> </w:t>
            </w:r>
            <w:r>
              <w:rPr>
                <w:b/>
                <w:noProof/>
              </w:rPr>
              <w:t>kredīta pārvedumu kopējā vērtība</w:t>
            </w:r>
          </w:p>
          <w:p w14:paraId="17EF3247" w14:textId="4A9A5DEA" w:rsidR="00AB2441" w:rsidRPr="005B1CFF" w:rsidRDefault="0009071D" w:rsidP="00820C47">
            <w:pPr>
              <w:spacing w:before="120" w:after="120" w:line="276" w:lineRule="auto"/>
              <w:ind w:left="0" w:right="62" w:firstLine="0"/>
              <w:rPr>
                <w:noProof/>
              </w:rPr>
            </w:pPr>
            <w:r>
              <w:rPr>
                <w:noProof/>
              </w:rPr>
              <w:t>Visu nosūtīto bezmaksas kredīta pārvedumu kopējā vērtība, tostarp gadījumos, kad pārvedums ir bezmaksas par samaksu piedāvāta maksājumu konta komplekta ietvaros, izteikta valsts valūtā.</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Saņemto bezmaksas</w:t>
            </w:r>
            <w:r>
              <w:rPr>
                <w:noProof/>
              </w:rPr>
              <w:t xml:space="preserve"> </w:t>
            </w:r>
            <w:r>
              <w:rPr>
                <w:b/>
                <w:noProof/>
              </w:rPr>
              <w:t>kredīta pārvedumu kopējais skaits</w:t>
            </w:r>
          </w:p>
          <w:p w14:paraId="544C6D01" w14:textId="7B45BD07" w:rsidR="00AB2441" w:rsidRPr="005B1CFF" w:rsidRDefault="0009071D" w:rsidP="00820C47">
            <w:pPr>
              <w:spacing w:before="120" w:after="120" w:line="276" w:lineRule="auto"/>
              <w:ind w:left="0" w:right="0" w:firstLine="0"/>
              <w:rPr>
                <w:noProof/>
              </w:rPr>
            </w:pPr>
            <w:r>
              <w:rPr>
                <w:noProof/>
              </w:rPr>
              <w:t>Saņemto bezmaksas kredīta pārvedumu kopējais skaits, tostarp gadījumos, kad pārvedums ir bezmaksas par samaksu piedāvātas maksājumu konta paketes ietvaros.</w:t>
            </w:r>
          </w:p>
        </w:tc>
      </w:tr>
    </w:tbl>
    <w:p w14:paraId="4B4E1CD0"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Saņemto bezmaksas kredīta pārvedumu kopējā vērtība </w:t>
            </w:r>
          </w:p>
          <w:p w14:paraId="033BD5EA" w14:textId="035CCD09" w:rsidR="00AB2441" w:rsidRPr="005B1CFF" w:rsidRDefault="0009071D" w:rsidP="00820C47">
            <w:pPr>
              <w:spacing w:before="120" w:after="120" w:line="276" w:lineRule="auto"/>
              <w:ind w:left="0" w:right="61" w:firstLine="0"/>
              <w:rPr>
                <w:noProof/>
              </w:rPr>
            </w:pPr>
            <w:r>
              <w:rPr>
                <w:noProof/>
              </w:rPr>
              <w:t>Visu saņemto bezmaksas kredīta pārvedumu kopējā vērtība, tostarp, kad pārvedums ir bezmaksas par samaksu piedāvāta maksājumu konta komplekta ietvaros, izteikta valsts valūtā.</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To nosūtīto kredīta pārvedumu kopējais skaits, par kuriem no maksātāja iekasēta maksa</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To kredīta pārvedumu kopējais skaits, par kuriem maksātāja MPS iekasējis maksu no tā MPL par atsevišķu pārvedumu, nevis par samaksu piedāvāta maksājumu konta komplekta ietvaros.</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To nosūtīto kredīta pārvedumu kopējā vērtība, par kuriem no maksātāja iekasēta maksa</w:t>
            </w:r>
          </w:p>
          <w:p w14:paraId="2B33C977" w14:textId="3B5AF64F" w:rsidR="00AB2441" w:rsidRPr="005B1CFF" w:rsidRDefault="0009071D" w:rsidP="00820C47">
            <w:pPr>
              <w:spacing w:before="120" w:after="120" w:line="276" w:lineRule="auto"/>
              <w:ind w:left="0" w:right="0" w:firstLine="0"/>
              <w:rPr>
                <w:noProof/>
              </w:rPr>
            </w:pPr>
            <w:r>
              <w:rPr>
                <w:noProof/>
              </w:rPr>
              <w:t>Visu to nosūtīto kredīta pārvedumu kopējā vērtība, par kuriem maksātāja MPS iekasējis maksu no tā MPL, izteikta valsts valūtā.</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To saņemto kredīta pārvedumu kopējais skaits, par kuriem no maksājuma saņēmēja iekasēta maksa</w:t>
            </w:r>
          </w:p>
          <w:p w14:paraId="74FAC3AD" w14:textId="359CA6AB" w:rsidR="00AB2441" w:rsidRPr="005B1CFF" w:rsidRDefault="0009071D" w:rsidP="00820C47">
            <w:pPr>
              <w:spacing w:before="120" w:after="120" w:line="276" w:lineRule="auto"/>
              <w:ind w:left="0" w:right="61" w:firstLine="0"/>
              <w:rPr>
                <w:noProof/>
              </w:rPr>
            </w:pPr>
            <w:r>
              <w:rPr>
                <w:noProof/>
              </w:rPr>
              <w:t>To kredīta pārvedumu kopējais skaits, par kuriem maksājuma saņēmēja MPS iekasējis maksu no tā MPL par atsevišķu pārvedumu, nevis par samaksu piedāvāta maksājumu konta komplekta ietvaros.</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To saņemto kredīta pārvedumu kopējā vērtība, par kuriem no maksājuma saņēmēja iekasēta maksa</w:t>
            </w:r>
          </w:p>
          <w:p w14:paraId="749C1EA5" w14:textId="177AA17D" w:rsidR="00AB2441" w:rsidRPr="005B1CFF" w:rsidRDefault="0009071D" w:rsidP="00820C47">
            <w:pPr>
              <w:spacing w:before="120" w:after="120" w:line="276" w:lineRule="auto"/>
              <w:ind w:left="0" w:right="0" w:firstLine="0"/>
              <w:rPr>
                <w:noProof/>
              </w:rPr>
            </w:pPr>
            <w:r>
              <w:rPr>
                <w:noProof/>
              </w:rPr>
              <w:t>Visu to saņemto kredīta pārvedumu kopējā vērtība, par kuriem maksājuma saņēmēja MPS iekasējis maksu no tā MPL, izteikta valsts valūtā.</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t. sk. tūlītēji kredīta pārvedumi</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To nosūtīto kredīta pārvedumu kopējais skaits, kurus iniciējuši MPL, kas nav patērētāji</w:t>
            </w:r>
          </w:p>
          <w:p w14:paraId="7AAB97A3" w14:textId="6C696E87" w:rsidR="00AB2441" w:rsidRPr="005B1CFF" w:rsidRDefault="0009071D" w:rsidP="00820C47">
            <w:pPr>
              <w:spacing w:before="120" w:after="120" w:line="276" w:lineRule="auto"/>
              <w:ind w:left="0" w:firstLine="0"/>
              <w:rPr>
                <w:noProof/>
              </w:rPr>
            </w:pPr>
            <w:r>
              <w:rPr>
                <w:noProof/>
              </w:rPr>
              <w:t>Visu kredīta pārvedumu kopējais skaits no maksājumu kontiem, kurus tur MPL, kas nav patērētāji, tostarp fiziskas personas, kuras darbojas savas komercdarbības vai profesijas nolūkos, vai juridiskas personas.</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To nosūtīto kredīta pārvedumu kopējā vērtība, kurus iniciējuši MPL, kas nav patērētāji</w:t>
            </w:r>
          </w:p>
          <w:p w14:paraId="5C9538D6" w14:textId="3C7A01B2" w:rsidR="00AB2441" w:rsidRPr="005B1CFF" w:rsidRDefault="0009071D" w:rsidP="00820C47">
            <w:pPr>
              <w:spacing w:before="120" w:after="120" w:line="276" w:lineRule="auto"/>
              <w:ind w:left="0" w:right="57" w:firstLine="0"/>
              <w:rPr>
                <w:noProof/>
              </w:rPr>
            </w:pPr>
            <w:r>
              <w:rPr>
                <w:noProof/>
              </w:rPr>
              <w:t>Visu kredīta pārvedumu kopējā vērtība no maksājumu kontiem, kurus tur MPL, kas nav patērētāji, tostarp fiziskas personas, kuras darbojas savas komercdarbības vai profesijas nolūkos, vai juridiskas personas, izteikta valsts valūtā.</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To nosūtīto kredīta pārvedumu kopējais skaits, kurus iniciējuši patērētāji </w:t>
            </w:r>
          </w:p>
          <w:p w14:paraId="2865C3B0" w14:textId="32D51538" w:rsidR="00AB2441" w:rsidRPr="005B1CFF" w:rsidRDefault="0009071D" w:rsidP="00820C47">
            <w:pPr>
              <w:spacing w:before="120" w:after="120" w:line="276" w:lineRule="auto"/>
              <w:ind w:left="0" w:right="59" w:firstLine="0"/>
              <w:rPr>
                <w:noProof/>
              </w:rPr>
            </w:pPr>
            <w:r>
              <w:rPr>
                <w:noProof/>
              </w:rPr>
              <w:t>To kredīta pārvedumu kopējais skaits, kas iniciēti no patērētājiem piederošiem maksājumu kontiem.</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To nosūtīto kredīta pārvedumu kopējā vērtība, kurus iniciējuši patērētāji</w:t>
            </w:r>
          </w:p>
          <w:p w14:paraId="0EE94A62" w14:textId="0F82AAE9" w:rsidR="00AB2441" w:rsidRPr="005B1CFF" w:rsidRDefault="0009071D" w:rsidP="002676A6">
            <w:pPr>
              <w:spacing w:before="120" w:after="120" w:line="276" w:lineRule="auto"/>
              <w:ind w:left="0" w:right="0" w:firstLine="0"/>
              <w:jc w:val="left"/>
              <w:rPr>
                <w:noProof/>
              </w:rPr>
            </w:pPr>
            <w:r>
              <w:rPr>
                <w:noProof/>
              </w:rPr>
              <w:t>Visu to kredīta pārvedumu kopējā vērtība, kurus iniciējis patērētājs, izteikta valsts valūtā</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182194"/>
      <w:r>
        <w:rPr>
          <w:noProof/>
        </w:rPr>
        <w:t>VEIDNE S 01.02: KREDĪTA PĀRVEDUMU UN TŪLĪTĒJU KREDĪTA PĀRVEDUMU KOPĒJAIS SKAITS UN KOPĒJĀ VĒRTĪBA (tikai MPS dalībvalstīs ārpus eurozonas)</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MPS aizpilda veidni S 01.02, iekļaujot nosūtīto un saņemto kredīta pārvedumu un tūlītēju kredīta pārvedumu euro skaitu un vērtību tikai attiecībā uz MPS, kas atrodas dalībvalstīs ārpus eurozonas, bez sīkāka sadalījuma.</w:t>
      </w:r>
    </w:p>
    <w:p w14:paraId="66973717" w14:textId="6EA686C2" w:rsidR="00AB2441" w:rsidRPr="005B1CFF" w:rsidRDefault="0009071D" w:rsidP="00820C47">
      <w:pPr>
        <w:spacing w:before="120" w:after="120" w:line="276" w:lineRule="auto"/>
        <w:ind w:left="739" w:right="71" w:hanging="10"/>
        <w:rPr>
          <w:noProof/>
        </w:rPr>
      </w:pPr>
      <w:r>
        <w:rPr>
          <w:noProof/>
        </w:rPr>
        <w:t>Norādījumi par konkrētām pozīcijām veidnē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Rinda; Sleja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Atsauces uz tiesību aktiem un norādes</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Nosūtīto kredīta pārvedumu kopējais skaits</w:t>
            </w:r>
          </w:p>
          <w:p w14:paraId="616C65F5" w14:textId="6A225108" w:rsidR="00AB2441" w:rsidRPr="005B1CFF" w:rsidRDefault="0009071D" w:rsidP="00820C47">
            <w:pPr>
              <w:spacing w:before="120" w:after="120" w:line="276" w:lineRule="auto"/>
              <w:ind w:left="1" w:right="0" w:firstLine="0"/>
              <w:rPr>
                <w:noProof/>
              </w:rPr>
            </w:pPr>
            <w:r>
              <w:rPr>
                <w:noProof/>
              </w:rPr>
              <w:t>Nosūtīto kredīta pārvedumu euro kopējais skaits.</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t. sk. tūlītēji kredīta pārvedumi</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Nosūtīto kredīta pārvedumu kopējā vērtība</w:t>
            </w:r>
          </w:p>
          <w:p w14:paraId="24F15658" w14:textId="0A47DF1A" w:rsidR="00AB2441" w:rsidRPr="005B1CFF" w:rsidRDefault="0009071D" w:rsidP="00820C47">
            <w:pPr>
              <w:spacing w:before="120" w:after="120" w:line="276" w:lineRule="auto"/>
              <w:ind w:left="0" w:right="0" w:firstLine="0"/>
              <w:jc w:val="left"/>
              <w:rPr>
                <w:noProof/>
              </w:rPr>
            </w:pPr>
            <w:r>
              <w:rPr>
                <w:noProof/>
              </w:rPr>
              <w:t>Visu nosūtīto kredīta pārvedumu euro kopējā vērtība, izteikta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Saņemto kredīta pārvedumu kopējais skaits</w:t>
            </w:r>
          </w:p>
          <w:p w14:paraId="26A29E56" w14:textId="060F851E" w:rsidR="00AB2441" w:rsidRPr="005B1CFF" w:rsidRDefault="0009071D" w:rsidP="00820C47">
            <w:pPr>
              <w:spacing w:before="120" w:after="120" w:line="276" w:lineRule="auto"/>
              <w:ind w:left="0" w:right="0" w:firstLine="0"/>
              <w:jc w:val="left"/>
              <w:rPr>
                <w:noProof/>
              </w:rPr>
            </w:pPr>
            <w:r>
              <w:rPr>
                <w:noProof/>
              </w:rPr>
              <w:t>Saņemto kredīta pārvedumu euro kopējais skaits.</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Saņemto kredīta pārvedumu kopējā vērtība</w:t>
            </w:r>
          </w:p>
          <w:p w14:paraId="79686FFD" w14:textId="4AFE83C4" w:rsidR="00AB2441" w:rsidRPr="005B1CFF" w:rsidRDefault="0009071D" w:rsidP="00820C47">
            <w:pPr>
              <w:spacing w:before="120" w:after="120" w:line="276" w:lineRule="auto"/>
              <w:ind w:left="0" w:right="0" w:firstLine="0"/>
              <w:jc w:val="left"/>
              <w:rPr>
                <w:noProof/>
              </w:rPr>
            </w:pPr>
            <w:r>
              <w:rPr>
                <w:noProof/>
              </w:rPr>
              <w:t>Visu saņemto kredīta pārvedumu euro kopējā vērtība, izteikta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182195"/>
      <w:r>
        <w:rPr>
          <w:noProof/>
        </w:rPr>
        <w:t>VEIDNE S 02.01: MAKSAS PAR KREDĪTA PĀRVEDUMIEM UN TŪLĪTĒJIEM KREDĪTA PĀRVEDUMIEM</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Vispārīgas piezīmes</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MPS veidni S 02.01 aizpilda, iekļaujot informāciju par maksām, kuras MPS iekasē no MPL par nosūtītajiem kredīta pārvedumiem un tūlītējiem kredīta pārvedumiem euro attiecībā uz MPS, kas atrodas eurozonas dalībvalstīs, un valsts valūtā, kas nav euro, ko iekasējuši MPS, kuri atrodas dalībvalstīs ārpus eurozonas, atsauces periodā. Nosūtītiem kredīta pārvedumiem un tūlītējiem kredīta pārvedumiem piemēroto maksu vērtība atsauces periodā ietver šādu sadalījumu:</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kredīta pārveduma iekšzemes vai pārrobežu raksturs;</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klienta, kurš iniciē kredīta pārvedumu, veids;</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maksājuma iniciēšanas metode.</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Attiecībā uz a) un b) apakšpunktā minēto sadalījumu uzrādīto datu punktu summa atbilst uzrādītajiem kredīta pārvedumiem piemēroto maksu kopējai vērtībai.</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MPS S 02.01 veidnē iekļauj arī informāciju par maksām, kuras MPS iekasē no MPL par saņemtajiem kredīta pārvedumiem un tūlītējiem kredīta pārvedumiem euro attiecībā uz MPS, kas atrodas eurozonas dalībvalstīs, un valsts valūtā, kas nav euro, attiecībā uz MPS, kuri atrodas dalībvalstīs ārpus eurozonas, bez sīkāka sadalījuma.</w:t>
      </w:r>
    </w:p>
    <w:p w14:paraId="2BAC8924" w14:textId="77777777" w:rsidR="00AB2441" w:rsidRPr="005B1CFF" w:rsidRDefault="0009071D" w:rsidP="00820C47">
      <w:pPr>
        <w:spacing w:before="120" w:after="120" w:line="276" w:lineRule="auto"/>
        <w:ind w:left="739" w:right="71" w:hanging="10"/>
        <w:rPr>
          <w:noProof/>
        </w:rPr>
      </w:pPr>
      <w:r>
        <w:rPr>
          <w:noProof/>
        </w:rPr>
        <w:t xml:space="preserve">Norādījumi par konkrētām pozīcijām veidnē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Rinda; Sleja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Atsauces uz tiesību aktiem un norādes</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Nosūtītajiem kredīta pārvedumiem piemēroto maksu kopējā vērtība</w:t>
            </w:r>
          </w:p>
          <w:p w14:paraId="77B27C3D" w14:textId="69CC956F" w:rsidR="00AB2441" w:rsidRPr="005B1CFF" w:rsidRDefault="0009071D" w:rsidP="00820C47">
            <w:pPr>
              <w:spacing w:before="120" w:after="120" w:line="276" w:lineRule="auto"/>
              <w:ind w:left="1" w:right="0" w:firstLine="0"/>
              <w:jc w:val="left"/>
              <w:rPr>
                <w:noProof/>
              </w:rPr>
            </w:pPr>
            <w:r>
              <w:rPr>
                <w:noProof/>
              </w:rPr>
              <w:t>Nosūtītajiem kredīta pārvedumiem piemēroto maksu kopējā vērtība, izteikta valsts valūtā.</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t. sk. piemērotas tūlītējiem kredīta pārvedumiem</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Saņemtajiem kredīta pārvedumiem piemēroto maksu kopējā vērtība</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Saņemtajiem kredīta pārvedumiem piemēroto maksu kopējā vērtība, izteikta valsts valūtā.</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t. sk. piemērotas tūlītējiem kredīta pārvedumiem</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Tiem nosūtītajiem kredīta pārvedumiem piemēroto maksu kopējā vērtība, kas iniciēti elektroniski, izmantojot tiešsaistes banku pakalpojumus </w:t>
            </w:r>
          </w:p>
          <w:p w14:paraId="2886C15C" w14:textId="1563E719" w:rsidR="00AB2441" w:rsidRPr="005B1CFF" w:rsidRDefault="0009071D" w:rsidP="00820C47">
            <w:pPr>
              <w:spacing w:before="120" w:after="120" w:line="276" w:lineRule="auto"/>
              <w:ind w:left="1" w:right="0" w:firstLine="0"/>
              <w:rPr>
                <w:noProof/>
              </w:rPr>
            </w:pPr>
            <w:r>
              <w:rPr>
                <w:noProof/>
              </w:rPr>
              <w:t>Tiem nosūtītajiem kredīta pārvedumiem piemēroto maksu kopējā vērtība, kas iniciēti, izmantojot tiešsaistes banku pakalpojumus, tostarp kredīta pārvedumi, kas iniciēti datnē / datu paketē, un izmantojot maksājumu iniciēšanas pakalpojumus.</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t. sk. piemērotas tūlītējiem kredīta pārvedumiem</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Tiem nosūtītajiem kredīta pārvedumiem piemēroto maksu kopējā vērtība, kas iniciēti elektroniski, izmantojot mobilo maksājumu risinājumus</w:t>
            </w:r>
          </w:p>
          <w:p w14:paraId="5EC0809C" w14:textId="4C50018D" w:rsidR="00AB2441" w:rsidRPr="005B1CFF" w:rsidRDefault="0009071D" w:rsidP="00820C47">
            <w:pPr>
              <w:spacing w:before="120" w:after="120" w:line="276" w:lineRule="auto"/>
              <w:ind w:left="1" w:right="60" w:firstLine="0"/>
              <w:rPr>
                <w:noProof/>
              </w:rPr>
            </w:pPr>
            <w:r>
              <w:rPr>
                <w:noProof/>
              </w:rPr>
              <w:t xml:space="preserve">Tiem nosūtītajiem kredīta pārvedumiem piemēroto maksu kopējā vērtība, kas iniciēti, izmantojot mobilo maksājumu risinājumus, izteikta valsts valūtā, ja šo risinājumu izmanto, lai iniciētu maksājumus, par kuriem maksājumu dati un maksājuma norādījumi tiek nosūtīti vai apstiprināti ar mobilo sakaru un datu pārraides tehnoloģiju starpniecību, izmantojot mobilo ierīci. Šī kategorija ietver digitālos makus un citus mobilo maksājumu risinājumus, ko izmanto, lai iniciētu </w:t>
            </w:r>
            <w:r>
              <w:rPr>
                <w:i/>
                <w:noProof/>
              </w:rPr>
              <w:t>P2P</w:t>
            </w:r>
            <w:r>
              <w:rPr>
                <w:noProof/>
              </w:rPr>
              <w:t xml:space="preserve"> (fiziska persona fiziskai personai) vai </w:t>
            </w:r>
            <w:r>
              <w:rPr>
                <w:i/>
                <w:noProof/>
              </w:rPr>
              <w:t>C2B</w:t>
            </w:r>
            <w:r>
              <w:rPr>
                <w:noProof/>
              </w:rPr>
              <w:t xml:space="preserve"> (patērētājs uzņēmumam) darījumus saskaņā ar Regulas (ES) Nr. 1409/2013 II pielikumā noteiktajām datu definīcijām.</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t. sk. piemērotas tūlītējiem kredīta pārvedumiem</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Tiem nosūtītajiem kredīta pārvedumiem piemēroto maksu kopējā vērtība, kas iniciēti papīra dokumenta veidā</w:t>
            </w:r>
          </w:p>
        </w:tc>
      </w:tr>
    </w:tbl>
    <w:p w14:paraId="0C5C0A32"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B1CFF" w:rsidRDefault="00AB2441" w:rsidP="00820C47">
            <w:pPr>
              <w:spacing w:before="120" w:after="120" w:line="276" w:lineRule="auto"/>
              <w:ind w:left="0" w:right="0" w:firstLine="0"/>
              <w:jc w:val="left"/>
              <w:rPr>
                <w:noProof/>
                <w:lang w:val="en-I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Tiem kredīta pārvedumiem piemēroto maksu kopējā vērtība, ko maksātājs iniciējis papīra dokumenta veidā, izteikta valsts valūtā, kur “papīra dokumenta veidā iniciēts kredīta pārvedums” saskaņā ar Regulas (ES) Nr. 1409/2013 II pielikumā izklāstīto definīciju ir “kredīta pārvedums, kuru maksātājs iesniedz papīra dokumenta veidā vai sniedzot norādījumus darbiniekam filiāles kasē (</w:t>
            </w:r>
            <w:r>
              <w:rPr>
                <w:i/>
                <w:noProof/>
              </w:rPr>
              <w:t>OTC</w:t>
            </w:r>
            <w:r>
              <w:rPr>
                <w:noProof/>
              </w:rPr>
              <w:t>), lai iniciētu kredīta pārvedumu, kā arī jebkurš cits kredīta pārvedums, kuram vajadzīga manuāla apstrāde”.</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t. sk. piemērotas tūlītējiem kredīta pārvedumiem</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Nosūtītajiem iekšzemes kredīta pārvedumiem piemēroto maksu kopējā vērtība </w:t>
            </w:r>
          </w:p>
          <w:p w14:paraId="729F77F8" w14:textId="3CF7644A" w:rsidR="00AB2441" w:rsidRPr="005B1CFF" w:rsidRDefault="0009071D" w:rsidP="00820C47">
            <w:pPr>
              <w:spacing w:before="120" w:after="120" w:line="276" w:lineRule="auto"/>
              <w:ind w:left="0" w:firstLine="0"/>
              <w:rPr>
                <w:noProof/>
              </w:rPr>
            </w:pPr>
            <w:r>
              <w:rPr>
                <w:noProof/>
              </w:rPr>
              <w:t>Tiem kredīta pārvedumiem piemēroto maksu kopējā vērtība, kuros maksātāja MPS un maksājuma saņēmēja MPS atrodas vienā un tajā pašā dalībvalstī. Vērtību izsaka valsts valūtā.</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t. sk. tūlītēji kredīta pārvedumi</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Nosūtītajiem pārrobežu kredīta pārvedumiem piemēroto maksu kopējā vērtība</w:t>
            </w:r>
          </w:p>
          <w:p w14:paraId="56112AD3" w14:textId="7AED4AE3" w:rsidR="00AB2441" w:rsidRPr="005B1CFF" w:rsidRDefault="0009071D" w:rsidP="00820C47">
            <w:pPr>
              <w:spacing w:before="120" w:after="120" w:line="276" w:lineRule="auto"/>
              <w:ind w:left="0" w:right="60" w:firstLine="0"/>
              <w:rPr>
                <w:noProof/>
              </w:rPr>
            </w:pPr>
            <w:r>
              <w:rPr>
                <w:noProof/>
              </w:rPr>
              <w:t>Tiem kredīta pārvedumiem piemēroto maksu kopējā vērtība, kuros maksātāja MPS un maksājuma saņēmēja MPS atrodas dažādās dalībvalstīs, izteikta valsts valūtā.</w:t>
            </w:r>
          </w:p>
          <w:p w14:paraId="2CEEBEC7" w14:textId="6273CFCB" w:rsidR="00AB2441" w:rsidRPr="005B1CFF" w:rsidRDefault="0009071D" w:rsidP="006907F7">
            <w:pPr>
              <w:spacing w:before="120" w:after="120" w:line="276" w:lineRule="auto"/>
              <w:ind w:left="0" w:right="0" w:firstLine="0"/>
              <w:jc w:val="left"/>
              <w:rPr>
                <w:noProof/>
              </w:rPr>
            </w:pPr>
            <w:r>
              <w:rPr>
                <w:noProof/>
              </w:rPr>
              <w:t>Izslēdz tiem pārrobežu darījumiem piemērotās maksas, kuros maksātāja vai maksājuma saņēmēja MPS atrodas ārpus Savienības.</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t. sk. piemērotas tūlītējiem kredīta pārvedumiem</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Tiem nosūtītajiem kredīta pārvedumiem piemēroto maksu kopējā vērtība, kurus iniciējuši MPL, kas nav patērētāji</w:t>
            </w:r>
          </w:p>
          <w:p w14:paraId="0E5F3D27" w14:textId="68D75303" w:rsidR="00AB2441" w:rsidRPr="005B1CFF" w:rsidRDefault="0009071D" w:rsidP="00820C47">
            <w:pPr>
              <w:spacing w:before="120" w:after="120" w:line="276" w:lineRule="auto"/>
              <w:ind w:left="0" w:right="0" w:firstLine="0"/>
              <w:rPr>
                <w:noProof/>
              </w:rPr>
            </w:pPr>
            <w:r>
              <w:rPr>
                <w:noProof/>
              </w:rPr>
              <w:t>Tiem kredīta pārvedumiem piemēroto maksu kopējā vērtība, kurus iniciējuši MPL, kas nav patērētāji, izteikta valsts valūtā</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t. sk. piemērotas tūlītējiem kredīta pārvedumiem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Tiem nosūtītajiem kredīta pārvedumiem piemēroto maksu kopējā vērtība, kurus iniciējuši patērētāji </w:t>
            </w:r>
          </w:p>
          <w:p w14:paraId="01F50A65" w14:textId="0DB1CADB" w:rsidR="00AB2441" w:rsidRPr="005B1CFF" w:rsidRDefault="0009071D" w:rsidP="00820C47">
            <w:pPr>
              <w:spacing w:before="120" w:after="120" w:line="276" w:lineRule="auto"/>
              <w:ind w:left="0" w:right="0" w:firstLine="0"/>
              <w:rPr>
                <w:noProof/>
              </w:rPr>
            </w:pPr>
            <w:r>
              <w:rPr>
                <w:noProof/>
              </w:rPr>
              <w:t>Tiem kredīta pārvedumiem piemēroto maksu kopējā vērtība, kurus iniciējis patērētājs, izteikta valsts valūtā</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t. sk. piemērotas tūlītējiem kredīta pārvedumiem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182196"/>
      <w:r>
        <w:rPr>
          <w:noProof/>
        </w:rPr>
        <w:t>VEIDNE S 02.02: MAKSAS PAR KREDĪTA PĀRVEDUMIEM UN TŪLĪTĒJIEM KREDĪTA PĀRVEDUMIEM (tikai MPS dalībvalstīs ārpus eurozonas)</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MPS aizpilda veidni S 02.02, iekļaujot informāciju par nosūtītajiem un saņemtajiem kredīta pārvedumiem un tūlītējiem kredīta pārvedumiem euro piemērotajām maksām tikai attiecībā uz MPS, kas atrodas dalībvalstīs ārpus eurozonas, bez sīkāka sadalījuma.</w:t>
      </w:r>
    </w:p>
    <w:p w14:paraId="09908A1B" w14:textId="4349B1D0" w:rsidR="00AB2441" w:rsidRPr="005B1CFF" w:rsidRDefault="0009071D" w:rsidP="00820C47">
      <w:pPr>
        <w:spacing w:before="120" w:after="120" w:line="276" w:lineRule="auto"/>
        <w:ind w:left="739" w:right="71" w:hanging="10"/>
        <w:rPr>
          <w:noProof/>
        </w:rPr>
      </w:pPr>
      <w:r>
        <w:rPr>
          <w:noProof/>
        </w:rPr>
        <w:t>Norādījumi par konkrētām pozīcijām veidnē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Rinda; Sleja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Atsauces uz tiesību aktiem un norādes</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Nosūtītajiem kredīta pārvedumiem piemēroto maksu kopējā vērtība</w:t>
            </w:r>
          </w:p>
          <w:p w14:paraId="5CE47078" w14:textId="77777777" w:rsidR="00AB2441" w:rsidRPr="005B1CFF" w:rsidRDefault="0009071D" w:rsidP="00820C47">
            <w:pPr>
              <w:spacing w:before="120" w:after="120" w:line="276" w:lineRule="auto"/>
              <w:ind w:left="1" w:right="0" w:firstLine="0"/>
              <w:jc w:val="left"/>
              <w:rPr>
                <w:noProof/>
              </w:rPr>
            </w:pPr>
            <w:r>
              <w:rPr>
                <w:noProof/>
              </w:rPr>
              <w:t>Nosūtītajiem kredīta pārvedumiem piemēroto maksu kopējā vērtība, izteikta 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t. sk. piemērotas tūlītējiem kredīta pārvedumiem</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Saņemtajiem kredīta pārvedumiem piemēroto maksu kopējā vērtība</w:t>
            </w:r>
          </w:p>
          <w:p w14:paraId="33C6A025" w14:textId="77777777" w:rsidR="00AB2441" w:rsidRPr="005B1CFF" w:rsidRDefault="0009071D" w:rsidP="00820C47">
            <w:pPr>
              <w:spacing w:before="120" w:after="120" w:line="276" w:lineRule="auto"/>
              <w:ind w:left="1" w:right="0" w:firstLine="0"/>
              <w:jc w:val="left"/>
              <w:rPr>
                <w:noProof/>
              </w:rPr>
            </w:pPr>
            <w:r>
              <w:rPr>
                <w:noProof/>
              </w:rPr>
              <w:t>Saņemtajiem kredīta pārvedumiem piemēroto maksu kopējā vērtība, izteikta 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t. sk. piemērotas tūlītējiem kredīta pārvedumiem</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182197"/>
      <w:r>
        <w:rPr>
          <w:noProof/>
        </w:rPr>
        <w:t>VEIDNE S 03.00: MAKSĀJUMU KONTU KOPĒJAIS SKAITS UN KOPĒJĀS MAKSAS PAR MAKSĀJUMU KONTIEM (VALSTS VALŪTĀ)</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Vispārīgas piezīmes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Veidnē S 03.00 iekļauj informāciju par maksājumu kontu skaitu un kopējām maksām par šādiem kontiem atsauces periodā.</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Attiecībā uz MPS, kas atrodas eurozonas dalībvalstīs, maksu vērtības norāda euro, bet attiecībā uz dalībvalstīm ārpus eurozonas – valsts valūtā, kas nav euro. Ja maksas tika piemērotas citā valūtā, nevis tajā, kas izmantota pārskata sniegšanai šajā veidnē, šādu maksu vērtību konvertē euro vai citās valstu valūtās, izmantojot ECB atsauces maiņas kursu vai valūtas maiņas kursus, ko piemēro minētajiem darījumiem saskaņā ar Regulu (ES) Nr.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Norādījumi par konkrētām pozīcijām veidnē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Rinda; Sleja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Atsauces uz tiesību aktiem un norādes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Maksājumu kontu kopējais skaits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Maksājumu kontu kopējais skaits atspoguļo skaitu atsauces perioda beigās.</w:t>
            </w:r>
          </w:p>
          <w:p w14:paraId="2F288EF7" w14:textId="44BBE4FC" w:rsidR="00AB2441" w:rsidRPr="005B1CFF" w:rsidRDefault="0009071D" w:rsidP="00820C47">
            <w:pPr>
              <w:spacing w:before="120" w:after="120" w:line="276" w:lineRule="auto"/>
              <w:ind w:left="0" w:right="0" w:firstLine="0"/>
              <w:rPr>
                <w:noProof/>
              </w:rPr>
            </w:pPr>
            <w:r>
              <w:rPr>
                <w:noProof/>
              </w:rPr>
              <w:t xml:space="preserve">Iekļauj visus maksājumu kontus neatkarīgi no valūtas, kurā tie ir denominēti.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Maksājumu kontam piemēroto maksu kopējā vērtība </w:t>
            </w:r>
          </w:p>
          <w:p w14:paraId="2E187719" w14:textId="02EF5C0C" w:rsidR="00AB2441" w:rsidRPr="005B1CFF" w:rsidRDefault="0009071D" w:rsidP="00820C47">
            <w:pPr>
              <w:spacing w:before="120" w:after="120" w:line="276" w:lineRule="auto"/>
              <w:ind w:left="0" w:right="58" w:firstLine="0"/>
              <w:rPr>
                <w:noProof/>
              </w:rPr>
            </w:pPr>
            <w:r>
              <w:rPr>
                <w:noProof/>
              </w:rPr>
              <w:t>Maksu kopējā vērtība attiecas uz kopējiem samaksātajiem tarifiem, apkopojot maksājumu konta kopējās gada izmaksas, par ko dažiem kontu turētājiem ziņots gada pārskatā par tarifiem. Tiem kontiem, kuriem nepiemēro Eiropas Parlamenta un Padomes Direktīvu 2014/92/ES</w:t>
            </w:r>
            <w:r>
              <w:rPr>
                <w:rStyle w:val="FootnoteReference"/>
                <w:noProof/>
                <w:lang w:val="en-IE"/>
              </w:rPr>
              <w:footnoteReference w:id="4"/>
            </w:r>
            <w:r>
              <w:rPr>
                <w:noProof/>
              </w:rPr>
              <w:t xml:space="preserve"> un attiecībā uz kuriem gada pārskats par tarifiem nav ne obligāts, ne arī tiek sniegts konta turētājam, skaitlis jebkurā gadījumā norāda kopējos gada tarifus, ko konta turētāji maksā par pakalpojumiem, kas saistīti ar maksājumu kontu, un kas var atšķirties atkarībā no sniegto pakalpojumu skaita un veida un MPS piemērotās cenu noteikšanas veida.</w:t>
            </w:r>
          </w:p>
          <w:p w14:paraId="7B9DC562" w14:textId="3086DF85" w:rsidR="00AB2441" w:rsidRPr="005B1CFF" w:rsidRDefault="0009071D" w:rsidP="00820C47">
            <w:pPr>
              <w:spacing w:before="120" w:after="120" w:line="276" w:lineRule="auto"/>
              <w:ind w:left="0" w:right="0" w:firstLine="0"/>
              <w:jc w:val="left"/>
              <w:rPr>
                <w:noProof/>
              </w:rPr>
            </w:pPr>
            <w:r>
              <w:rPr>
                <w:noProof/>
              </w:rPr>
              <w:t>Skaitli izsaka valsts valūtā.</w:t>
            </w:r>
          </w:p>
          <w:p w14:paraId="6EAA2F7E" w14:textId="77777777" w:rsidR="00AB2441" w:rsidRPr="005B1CFF" w:rsidRDefault="0009071D" w:rsidP="00820C47">
            <w:pPr>
              <w:spacing w:before="120" w:after="120" w:line="276" w:lineRule="auto"/>
              <w:ind w:left="0" w:right="62" w:firstLine="0"/>
              <w:rPr>
                <w:noProof/>
              </w:rPr>
            </w:pPr>
            <w:r>
              <w:rPr>
                <w:noProof/>
              </w:rPr>
              <w:t xml:space="preserve">Ja tiek piemērots priekšapmaksas komplekts (jeb “vienots fiksētais tarifs”), kas nozīmē, ka viens vai vairāki pakalpojumi tiek piedāvāti kā ar maksājumu kontu saistītu pakalpojumu komplekta daļa, skaitlis atspoguļo tikai vienoto tarifu, ko piemēro visam komplektam, un attiecīgā gadījumā papildu maksu, ko iekasē par jebkuru pakalpojumu, kas pārsniedz daudzumu, uz kuru attiecas komplekta tarifs. </w:t>
            </w:r>
          </w:p>
          <w:p w14:paraId="11ECEE63" w14:textId="58005BF5" w:rsidR="00AB2441" w:rsidRPr="005B1CFF" w:rsidRDefault="0009071D" w:rsidP="00820C47">
            <w:pPr>
              <w:spacing w:before="120" w:after="120" w:line="276" w:lineRule="auto"/>
              <w:ind w:left="0" w:right="0" w:firstLine="0"/>
              <w:jc w:val="left"/>
              <w:rPr>
                <w:noProof/>
              </w:rPr>
            </w:pPr>
            <w:r>
              <w:rPr>
                <w:noProof/>
              </w:rPr>
              <w:t>Iekļauj visas maksas neatkarīgi no valūtas.</w:t>
            </w:r>
          </w:p>
          <w:p w14:paraId="4981F7F3" w14:textId="408D84A7" w:rsidR="00066806" w:rsidRPr="00066806" w:rsidRDefault="0009071D" w:rsidP="00066806">
            <w:pPr>
              <w:spacing w:before="120" w:after="120" w:line="276" w:lineRule="auto"/>
              <w:ind w:left="0" w:right="0" w:firstLine="0"/>
              <w:jc w:val="left"/>
              <w:rPr>
                <w:noProof/>
              </w:rPr>
            </w:pPr>
            <w:r>
              <w:rPr>
                <w:noProof/>
              </w:rPr>
              <w:t>Valūtas konvertēšanas tarifu izslēdz no pārskatu sniegšanas.</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Par maksājumu kontu uzturēšanu piemēroto maksu kopējā vērtība  </w:t>
            </w:r>
          </w:p>
          <w:p w14:paraId="566DD91F" w14:textId="156B067F" w:rsidR="00C550D1" w:rsidRPr="005B1CFF" w:rsidRDefault="0009071D" w:rsidP="00820C47">
            <w:pPr>
              <w:spacing w:before="120" w:after="120" w:line="276" w:lineRule="auto"/>
              <w:ind w:left="0" w:right="0" w:firstLine="0"/>
              <w:rPr>
                <w:noProof/>
              </w:rPr>
            </w:pPr>
            <w:r>
              <w:rPr>
                <w:noProof/>
              </w:rPr>
              <w:t>Uzturēšanas tarifs attiecas uz vispārējiem konta pakalpojumiem, par kuriem paziņots konta turētājiem tarifu informācijas dokumentā, saskaņā ar visbiežāk izmantotajiem pakalpojumiem, kā noteikts dalībvalstī, kurā darbojas pārskatus sniedzošais MPS. Tiem kontiem, uz kuriem neattiecas Direktīvas 2014/92/ES darbības joma un kuriem tarifu informācijas dokuments nav ne obligāts, ne arī tiek sniegts konta turētājam, skaitlis jebkurā gadījumā norāda maksu par maksājumu konta uzturēšanu, t. i., maksu, ko pakalpojumu sniedzējs iekasē par klienta lietošanā esoša konta apkalpošanu saskaņā ar valsts sarakstu ar visraksturīgākajiem pakalpojumiem, kas saistīti ar maksājumu kontu, kuru sagatavojusi katra dalībvalsts un kurš piemērojams konkrētajam pārskatus sniedzošajam MPS.</w:t>
            </w:r>
          </w:p>
          <w:p w14:paraId="4F2F608A" w14:textId="4135D867" w:rsidR="00C550D1" w:rsidRPr="005B1CFF" w:rsidRDefault="00C550D1" w:rsidP="00820C47">
            <w:pPr>
              <w:spacing w:before="120" w:after="120" w:line="276" w:lineRule="auto"/>
              <w:ind w:left="0" w:right="0" w:firstLine="0"/>
              <w:jc w:val="left"/>
              <w:rPr>
                <w:noProof/>
              </w:rPr>
            </w:pPr>
            <w:r>
              <w:rPr>
                <w:noProof/>
              </w:rPr>
              <w:t>Skaitli izsaka valsts valūtā.</w:t>
            </w:r>
          </w:p>
          <w:p w14:paraId="679765A6" w14:textId="71260819" w:rsidR="00C550D1" w:rsidRPr="005B1CFF" w:rsidRDefault="00C550D1" w:rsidP="00820C47">
            <w:pPr>
              <w:spacing w:before="120" w:after="120" w:line="276" w:lineRule="auto"/>
              <w:ind w:left="0" w:right="60" w:firstLine="0"/>
              <w:rPr>
                <w:noProof/>
              </w:rPr>
            </w:pPr>
            <w:r>
              <w:rPr>
                <w:noProof/>
              </w:rPr>
              <w:t>Ja tiek piemērots priekšapmaksas komplekts (jeb “vienots fiksētais tarifs”), kas nozīmē, ka viens vai vairāki pakalpojumi tiek piedāvāti kā ar maksājumu kontu saistītu pakalpojumu komplekta daļa, skaitlis atspoguļo tikai vienoto tarifu, ko piemēro visam komplektam.</w:t>
            </w:r>
          </w:p>
          <w:p w14:paraId="36237124" w14:textId="4F4926BF" w:rsidR="00C550D1" w:rsidRPr="005B1CFF" w:rsidRDefault="00C550D1" w:rsidP="00820C47">
            <w:pPr>
              <w:spacing w:before="120" w:after="120" w:line="276" w:lineRule="auto"/>
              <w:ind w:left="0" w:right="0" w:firstLine="0"/>
              <w:jc w:val="left"/>
              <w:rPr>
                <w:noProof/>
              </w:rPr>
            </w:pPr>
            <w:r>
              <w:rPr>
                <w:noProof/>
              </w:rPr>
              <w:t>Iekļauj visas maksas neatkarīgi no valūtas.</w:t>
            </w:r>
          </w:p>
          <w:p w14:paraId="6A2849F9" w14:textId="08B831C5" w:rsidR="00AB2441" w:rsidRPr="005B1CFF" w:rsidRDefault="00C550D1" w:rsidP="00820C47">
            <w:pPr>
              <w:spacing w:before="120" w:after="120" w:line="276" w:lineRule="auto"/>
              <w:ind w:left="0" w:right="61" w:firstLine="0"/>
              <w:rPr>
                <w:noProof/>
              </w:rPr>
            </w:pPr>
            <w:r>
              <w:rPr>
                <w:noProof/>
              </w:rPr>
              <w:t>Valūtas konvertēšanas tarifu izslēdz no pārskatu sniegšanas.</w:t>
            </w:r>
          </w:p>
        </w:tc>
      </w:tr>
    </w:tbl>
    <w:p w14:paraId="1AB89300" w14:textId="0A6AC815" w:rsidR="00AB2441" w:rsidRPr="005B1CFF" w:rsidRDefault="0009071D" w:rsidP="00820C47">
      <w:pPr>
        <w:pStyle w:val="Heading1"/>
        <w:spacing w:before="120" w:after="120" w:line="276" w:lineRule="auto"/>
        <w:ind w:left="19"/>
        <w:rPr>
          <w:noProof/>
        </w:rPr>
      </w:pPr>
      <w:bookmarkStart w:id="12" w:name="_Toc209182198"/>
      <w:r>
        <w:rPr>
          <w:noProof/>
        </w:rPr>
        <w:t>VEIDNE S 04.00: NORAIDĪTO TŪLĪTĒJO KREDĪTA PĀRVEDUMU SKAITS</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Vispārīgas piezīmes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MPS aizpilda veidni S 04.00, iekļaujot informāciju par noraidīto tūlītējo kredīta pārvedumu skaitu saistībā ar mērķtiecīgo finansiālo ierobežojošo pasākumu piemērošanu atsauces periodā.</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Šīs pārskatu sniegšanas mērķis ir pārbaudīt to gadījumu skaitu, kad nav atļauts veikt tūlītēju kredīta pārvedumu no vai uz vienību, uz kuru attiecas mērķtiecīgi finansiāli ierobežojoši pasākumi, neatkarīgi no izmantotā mehānisma. Tas varētu izrietēt no fakta, ka maksātāja vai maksājuma saņēmēja MPS ir apturējis iniciēta darījuma izpildi vai maksātāja MPS ir iesaldējis līdzekļus, pirms tika iniciēts tūlītējs kredīta pārvedums, vai maksājumu saņēmēja MPS ir iesaldējis līdzekļus pēc tam, kad tūlītējais kredīta pārvedums ir nonācis kontā.</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Noraidīto tūlītējo kredīta pārvedumu skaits ietver gan pārvedumus viena un tā paša MPS ietvaros, gan pārvedumus starp dažādiem MPS.</w:t>
      </w:r>
    </w:p>
    <w:p w14:paraId="67D63F5E" w14:textId="77777777" w:rsidR="00AB2441" w:rsidRPr="005B1CFF" w:rsidRDefault="0009071D" w:rsidP="00820C47">
      <w:pPr>
        <w:spacing w:before="120" w:after="120" w:line="276" w:lineRule="auto"/>
        <w:ind w:left="739" w:right="71" w:hanging="10"/>
        <w:rPr>
          <w:noProof/>
        </w:rPr>
      </w:pPr>
      <w:r>
        <w:rPr>
          <w:noProof/>
        </w:rPr>
        <w:t xml:space="preserve">Norādījumi par konkrētām pozīcijām veidnē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Rinda; Sleja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Atsauces uz tiesību aktiem un norādes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To gadījumu kopējais skaits, kuros maksājuma saņēmēja MPS nav veicis tūlītēju kredīta pārvedumu vai iesaldējis līdzekļus. </w:t>
            </w:r>
          </w:p>
          <w:p w14:paraId="75B51C80" w14:textId="3D42DD7D" w:rsidR="00AB2441" w:rsidRPr="005B1CFF" w:rsidRDefault="002676A6" w:rsidP="00820C47">
            <w:pPr>
              <w:spacing w:before="120" w:after="120" w:line="276" w:lineRule="auto"/>
              <w:ind w:left="1" w:right="60" w:firstLine="0"/>
              <w:rPr>
                <w:noProof/>
              </w:rPr>
            </w:pPr>
            <w:r>
              <w:rPr>
                <w:noProof/>
              </w:rPr>
              <w:t xml:space="preserve">Uzrādītais skaitlis ietver ienākošos tūlītējos kredīta pārvedumus, ko noraidījis pārskatus sniedzošais MPS, vai gadījumus, kad līdzekļi tika saņemti un nekavējoties iesaldēti pārskatus sniedzošā MPS maksājumu pakalpojumu lietotāja kontā. Uzrāda tikai darbības, kas saistītas ar mērķtiecīgo finansiālo ierobežojošo pasākumu piemērošanu atsauces periodā.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To gadījumu kopējais skaits, kuros maksātāja MPS nav veicis tūlītēju kredīta pārvedumu vai iesaldējis līdzekļus </w:t>
            </w:r>
          </w:p>
        </w:tc>
      </w:tr>
    </w:tbl>
    <w:p w14:paraId="1B06F005"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Uzrādītais skaitlis ietver gadījumus, kad maksātāja MPS apturējis pieprasītā tūlītējā kredīta pārveduma izpildi pēc MPL pieprasījuma iniciēt darījumu, tostarp situācijas, kas izriet no maksātāja MPS pienākuma saskaņā ar Regulas (ES) Nr. 260/2012 5.d panta 1. punktu pārbaudīt tā maksājumu pakalpojumu lietotājus, vai tāpēc, ka pēc šādas pārbaudes tiek iesaldēts MPL maksājumu konts. Uzrāda tikai darbības, kas saistītas ar mērķtiecīgo finansiālo ierobežojošo pasākumu piemērošanu atsauces periodā.</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To gadījumu kopējais skaits, kuros maksājuma saņēmēja MPS nav veicis iekšzemes tūlītēju kredīta pārvedumu vai iesaldējis līdzekļus </w:t>
            </w:r>
          </w:p>
          <w:p w14:paraId="7A5D4777" w14:textId="02042E3A" w:rsidR="00AB2441" w:rsidRPr="005B1CFF" w:rsidRDefault="008B24CB" w:rsidP="00820C47">
            <w:pPr>
              <w:spacing w:before="120" w:after="120" w:line="276" w:lineRule="auto"/>
              <w:ind w:left="0" w:right="62" w:firstLine="0"/>
              <w:rPr>
                <w:noProof/>
              </w:rPr>
            </w:pPr>
            <w:r>
              <w:rPr>
                <w:noProof/>
              </w:rPr>
              <w:t xml:space="preserve">Uzrādītais skaitlis ietver ienākošos tūlītējos kredīta pārvedumus, ko noraidījis pārskatus sniedzošais MPS, vai gadījumus, kad līdzekļi tika saņemti un nekavējoties iesaldēti pārskatus sniedzošā MPS maksājumu pakalpojumu lietotāja kontā. Uzrāda tikai darbības, kas saistītas ar mērķtiecīgo finansiālo ierobežojošo pasākumu piemērošanu atsauces periodā. Iekšzemes tūlītējie kredīta pārvedumi ir pārvedumi, kuros maksātāja MPS un maksājuma saņēmēja MPS atrodas vienā un tajā pašā dalībvalstī.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To gadījumu kopējais skaits, kuros maksātāja MPS nav veicis iekšzemes tūlītēju kredīta pārvedumu vai iesaldējis līdzekļus </w:t>
            </w:r>
          </w:p>
          <w:p w14:paraId="1B109C00" w14:textId="3E8C38B0" w:rsidR="00AB2441" w:rsidRPr="005B1CFF" w:rsidRDefault="008B24CB" w:rsidP="00820C47">
            <w:pPr>
              <w:spacing w:before="120" w:after="120" w:line="276" w:lineRule="auto"/>
              <w:ind w:left="0" w:right="60" w:firstLine="0"/>
              <w:rPr>
                <w:noProof/>
              </w:rPr>
            </w:pPr>
            <w:r>
              <w:rPr>
                <w:noProof/>
              </w:rPr>
              <w:t xml:space="preserve">Uzrādītais skaitlis ietver gadījumus, kad maksātāja MPS apturējis pieprasītā iekšzemes tūlītējā kredīta pārveduma izpildi pēc MPL pieprasījuma iniciēt darījumu, tostarp situācijas, kas izriet no maksātāja MPS pienākuma saskaņā ar Regulas (ES) Nr. 260/2012 5.d panta 1. punktu pārbaudīt tā maksājumu pakalpojumu lietotājus, vai tāpēc, ka pēc šādas pārbaudes tiek iesaldēts MPL maksājumu konts. Uzrāda tikai darbības, kas saistītas ar mērķtiecīgo finansiālo ierobežojošo pasākumu piemērošanu atsauces periodā. Iekšzemes tūlītējie kredīta pārvedumi ir pārvedumi, kuros gan maksātāja MPS, gan maksājuma saņēmēja MPS atrodas vienā un tajā pašā dalībvalstī.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To gadījumu kopējais skaits, kuros maksājuma saņēmēja MPS nav veicis pārrobežu tūlītēju kredīta pārvedumu vai iesaldējis līdzekļus. </w:t>
            </w:r>
          </w:p>
          <w:p w14:paraId="1875F1FF" w14:textId="163FEB8F" w:rsidR="004C3492" w:rsidRPr="005B1CFF" w:rsidRDefault="008B24CB" w:rsidP="00820C47">
            <w:pPr>
              <w:spacing w:before="120" w:after="120" w:line="276" w:lineRule="auto"/>
              <w:ind w:left="0" w:right="60" w:firstLine="0"/>
              <w:rPr>
                <w:noProof/>
              </w:rPr>
            </w:pPr>
            <w:r>
              <w:rPr>
                <w:noProof/>
              </w:rPr>
              <w:t xml:space="preserve">Uzrādītais skaitlis ietver ienākošos pārrobežu tūlītējos kredīta pārvedumus, ko noraidījis pārskatus sniedzošais MPS, vai gadījumus, kad līdzekļi tika saņemti un nekavējoties iesaldēti pārskatus sniedzošā MPS maksājumu pakalpojumu lietotāja kontā. Uzrāda tikai darbības, kas saistītas ar mērķtiecīgo finansiālo ierobežojošo pasākumu piemērošanu atsauces periodā. Pārrobežu tūlītējie kredīta pārvedumi ir pārvedumi, kuros gan maksātāja MPS, gan maksājuma saņēmēja MPS neatrodas vienā un tajā pašā dalībvalstī.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To gadījumu kopējais skaits, kuros maksātāja MPS nav veicis pārrobežu tūlītēju kredīta pārvedumu vai iesaldējis līdzekļus </w:t>
            </w:r>
          </w:p>
          <w:p w14:paraId="0B27E49A" w14:textId="65E9649E" w:rsidR="004C3492" w:rsidRPr="00CB3C96" w:rsidRDefault="008B24CB" w:rsidP="00820C47">
            <w:pPr>
              <w:spacing w:before="120" w:after="120" w:line="276" w:lineRule="auto"/>
              <w:ind w:left="0" w:right="60" w:firstLine="0"/>
              <w:rPr>
                <w:noProof/>
              </w:rPr>
            </w:pPr>
            <w:r>
              <w:rPr>
                <w:noProof/>
              </w:rPr>
              <w:t>Uzrādītais skaitlis ietver gadījumus, kad maksātāja MPS apturējis pieprasītā pārrobežu tūlītējā kredīta pārveduma izpildi pēc MPL pieprasījuma iniciēt darījumu, tostarp situācijas, kas izriet no maksātāja MPS pienākuma saskaņā ar Regulas (ES) Nr. 260/2012 5.d panta 1. punktu pārbaudīt tā maksājumu pakalpojumu lietotājus, vai tāpēc, ka pēc šādas pārbaudes tiek iesaldēts MPL maksājumu konts. Uzrāda tikai darbības, kas saistītas ar mērķtiecīgo finansiālo ierobežojošo pasākumu piemērošanu atsauces periodā. Pārrobežu tūlītējie kredīta pārvedumi ir pārvedumi, kuros gan maksātāja MPS, gan maksājuma saņēmēja MPS neatrodas vienā un tajā pašā dalībvalstī.</w:t>
            </w:r>
          </w:p>
        </w:tc>
      </w:tr>
    </w:tbl>
    <w:p w14:paraId="6D325143" w14:textId="0C28AA1F" w:rsidR="00AB2441" w:rsidRPr="00CB3C96" w:rsidRDefault="00AB2441" w:rsidP="00820C47">
      <w:pPr>
        <w:spacing w:before="120" w:after="120" w:line="276" w:lineRule="auto"/>
        <w:ind w:left="24" w:right="0" w:firstLine="0"/>
        <w:rPr>
          <w:noProof/>
          <w:lang w:val="en-IE"/>
        </w:rPr>
      </w:pPr>
    </w:p>
    <w:sectPr w:rsidR="00AB2441" w:rsidRPr="00CB3C96"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05AE3" w14:textId="497FD1AC" w:rsidR="00614A9D" w:rsidRPr="00614A9D" w:rsidRDefault="00614A9D" w:rsidP="00614A9D">
    <w:pPr>
      <w:pStyle w:val="FooterCoverPage"/>
      <w:rPr>
        <w:rFonts w:ascii="Arial" w:hAnsi="Arial" w:cs="Arial"/>
        <w:b/>
        <w:sz w:val="48"/>
      </w:rPr>
    </w:pPr>
    <w:r w:rsidRPr="00614A9D">
      <w:rPr>
        <w:rFonts w:ascii="Arial" w:hAnsi="Arial" w:cs="Arial"/>
        <w:b/>
        <w:sz w:val="48"/>
      </w:rPr>
      <w:t>LV</w:t>
    </w:r>
    <w:r w:rsidRPr="00614A9D">
      <w:rPr>
        <w:rFonts w:ascii="Arial" w:hAnsi="Arial" w:cs="Arial"/>
        <w:b/>
        <w:sz w:val="48"/>
      </w:rPr>
      <w:tab/>
    </w:r>
    <w:r w:rsidRPr="00614A9D">
      <w:rPr>
        <w:rFonts w:ascii="Arial" w:hAnsi="Arial" w:cs="Arial"/>
        <w:b/>
        <w:sz w:val="48"/>
      </w:rPr>
      <w:tab/>
    </w:r>
    <w:r w:rsidRPr="00614A9D">
      <w:tab/>
    </w:r>
    <w:r w:rsidRPr="00614A9D">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14B49" w14:textId="7CE779CA" w:rsidR="00614A9D" w:rsidRPr="00614A9D" w:rsidRDefault="00614A9D" w:rsidP="00614A9D">
    <w:pPr>
      <w:pStyle w:val="FooterCoverPage"/>
      <w:rPr>
        <w:rFonts w:ascii="Arial" w:hAnsi="Arial" w:cs="Arial"/>
        <w:b/>
        <w:sz w:val="48"/>
      </w:rPr>
    </w:pPr>
    <w:r w:rsidRPr="00614A9D">
      <w:rPr>
        <w:rFonts w:ascii="Arial" w:hAnsi="Arial" w:cs="Arial"/>
        <w:b/>
        <w:sz w:val="48"/>
      </w:rPr>
      <w:t>LV</w:t>
    </w:r>
    <w:r w:rsidRPr="00614A9D">
      <w:rPr>
        <w:rFonts w:ascii="Arial" w:hAnsi="Arial" w:cs="Arial"/>
        <w:b/>
        <w:sz w:val="48"/>
      </w:rPr>
      <w:tab/>
    </w:r>
    <w:r w:rsidRPr="00614A9D">
      <w:rPr>
        <w:rFonts w:ascii="Arial" w:hAnsi="Arial" w:cs="Arial"/>
        <w:b/>
        <w:sz w:val="48"/>
      </w:rPr>
      <w:tab/>
    </w:r>
    <w:r w:rsidRPr="00614A9D">
      <w:tab/>
    </w:r>
    <w:r w:rsidRPr="00614A9D">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36C6D" w14:textId="77777777" w:rsidR="00614A9D" w:rsidRPr="00614A9D" w:rsidRDefault="00614A9D" w:rsidP="00614A9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17C90A00" w:rsidR="009E4E5B" w:rsidRDefault="009E4E5B">
        <w:pPr>
          <w:pStyle w:val="Footer"/>
          <w:jc w:val="right"/>
        </w:pPr>
        <w:r>
          <w:fldChar w:fldCharType="begin"/>
        </w:r>
        <w:r>
          <w:instrText xml:space="preserve"> PAGE   \* MERGEFORMAT </w:instrText>
        </w:r>
        <w:r>
          <w:fldChar w:fldCharType="separate"/>
        </w:r>
        <w:r w:rsidR="00614A9D">
          <w:rPr>
            <w:noProof/>
          </w:rPr>
          <w:t>7</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3616547D" w:rsidR="009E4E5B" w:rsidRDefault="009E4E5B">
    <w:pPr>
      <w:spacing w:after="23" w:line="259" w:lineRule="auto"/>
      <w:ind w:left="0" w:right="61" w:firstLine="0"/>
      <w:jc w:val="right"/>
    </w:pPr>
    <w:r>
      <w:fldChar w:fldCharType="begin"/>
    </w:r>
    <w:r>
      <w:instrText xml:space="preserve"> PAGE   \* MERGEFORMAT </w:instrText>
    </w:r>
    <w:r>
      <w:fldChar w:fldCharType="separate"/>
    </w:r>
    <w:r w:rsidR="00614A9D" w:rsidRPr="00614A9D">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Eiropas Parlamenta un Padomes Regula (ES) Nr. 260/2012 (2012. gada 14. marts), ar ko nosaka tehniskās un darbības prasības kredīta pārvedumiem un tiešā debeta maksājumiem euro un groza Regulu (EK) Nr. 924/2009 (OV L 94, 30.3.2012., 22. lpp., ELI: </w:t>
      </w:r>
      <w:hyperlink r:id="rId1" w:history="1">
        <w:r>
          <w:rPr>
            <w:rStyle w:val="Hyperlink"/>
          </w:rPr>
          <w:t>http://data.europa.eu/eli/reg/2012/260/oj</w:t>
        </w:r>
      </w:hyperlink>
      <w:r>
        <w:t xml:space="preserve"> ).</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Eiropas Centrālās bankas</w:t>
        </w:r>
      </w:hyperlink>
      <w:hyperlink r:id="rId3">
        <w:r>
          <w:rPr>
            <w:color w:val="auto"/>
          </w:rPr>
          <w:t xml:space="preserve"> </w:t>
        </w:r>
      </w:hyperlink>
      <w:r>
        <w:rPr>
          <w:color w:val="auto"/>
        </w:rPr>
        <w:t xml:space="preserve"> Regula (ES) Nr. 1409/2013 </w:t>
      </w:r>
      <w:hyperlink r:id="rId4">
        <w:r>
          <w:rPr>
            <w:color w:val="auto"/>
          </w:rPr>
          <w:t xml:space="preserve"> </w:t>
        </w:r>
      </w:hyperlink>
      <w:hyperlink r:id="rId5">
        <w:r>
          <w:rPr>
            <w:color w:val="auto"/>
          </w:rPr>
          <w:t xml:space="preserve"> (2013. gada 28. novembris) par maksājumu statistiku </w:t>
        </w:r>
      </w:hyperlink>
      <w:hyperlink r:id="rId6">
        <w:r>
          <w:rPr>
            <w:color w:val="auto"/>
          </w:rPr>
          <w:t xml:space="preserve"> </w:t>
        </w:r>
      </w:hyperlink>
      <w:hyperlink r:id="rId7">
        <w:r>
          <w:rPr>
            <w:color w:val="auto"/>
          </w:rPr>
          <w:t>(ECB/2013/43)</w:t>
        </w:r>
      </w:hyperlink>
      <w:hyperlink r:id="rId8">
        <w:r>
          <w:rPr>
            <w:color w:val="auto"/>
          </w:rPr>
          <w:t>,</w:t>
        </w:r>
      </w:hyperlink>
      <w:r>
        <w:rPr>
          <w:color w:val="auto"/>
        </w:rPr>
        <w:t xml:space="preserve"> (OV L 352, </w:t>
      </w:r>
      <w:r>
        <w:t>24.12.2013., 18. lpp.,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Eiropas Parlamenta un Padomes Direktīva 2014/92/ES (2014. gada 23. jūlijs) par maksājumu kontu tarifu salīdzināmību, maksājumu kontu maiņu un piekļuvi maksājumu kontiem ar pamatfunkcijām (OV L 257, 28.8.2014., 214. lpp.,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8E45" w14:textId="77777777" w:rsidR="00614A9D" w:rsidRPr="00614A9D" w:rsidRDefault="00614A9D" w:rsidP="00614A9D">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8605" w14:textId="77777777" w:rsidR="00614A9D" w:rsidRPr="00614A9D" w:rsidRDefault="00614A9D" w:rsidP="00614A9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E47AA" w14:textId="77777777" w:rsidR="00614A9D" w:rsidRPr="00614A9D" w:rsidRDefault="00614A9D" w:rsidP="00614A9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I oficiālai lietošanai">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EBI oficiālai lietošanai</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I oficiālai lietošanai"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EBI oficiālai lietošanai</w:t>
                    </w:r>
                  </w:p>
                </w:txbxContent>
              </v:textbox>
              <w10:wrap anchorx="page" anchory="page"/>
            </v:shape>
          </w:pict>
        </mc:Fallback>
      </mc:AlternateContent>
    </w:r>
    <w:r>
      <w:rPr>
        <w:rFonts w:ascii="Calibri" w:hAnsi="Calibri"/>
      </w:rPr>
      <w:t>EBI oficiālai lietošanai</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I oficiālai lietošanai">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I oficiālai lietošanai"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I oficiālai lietošanai">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I oficiālai lietošanai"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dokumentam"/>
    <w:docVar w:name="LW_ANNEX_NBR_FIRST" w:val="2"/>
    <w:docVar w:name="LW_ANNEX_NBR_LAST" w:val="2"/>
    <w:docVar w:name="LW_ANNEX_UNIQUE" w:val="0"/>
    <w:docVar w:name="LW_CORRIGENDUM" w:val="&lt;UNUSED&gt;"/>
    <w:docVar w:name="LW_COVERPAGE_EXISTS" w:val="True"/>
    <w:docVar w:name="LW_COVERPAGE_GUID" w:val="1A5516D7-0860-400D-B375-0B45BD475A98"/>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isel\u275?, "/>
    <w:docVar w:name="LW_EMISSION_SUFFIX" w:val="."/>
    <w:docVar w:name="LW_ID_DOCTYPE_NONLW" w:val="CP-038"/>
    <w:docVar w:name="LW_LANGUE" w:val="LV"/>
    <w:docVar w:name="LW_LEVEL_OF_SENSITIVITY" w:val="Standard treatment"/>
    <w:docVar w:name="LW_NOM.INST" w:val="EIROPAS KOMISIJA"/>
    <w:docVar w:name="LW_NOM.INST_JOINTDOC" w:val="&lt;EMPTY&gt;"/>
    <w:docVar w:name="LW_OBJETACTEPRINCIPAL.CP" w:val="ar ko nosaka \u299?steno\u353?anas tehniskos standartus Eiropas Parlamenta un Padomes Regulas (ES) Nr. 260/2012 piem\u275?ro\u353?anai attiec\u299?b\u257? uz vienot\u257?m p\u257?rskatu veidn\u275?m, nor\u257?d\u299?jumiem un metodiku p\u257?rskatu snieg\u353?anai par kred\u299?ta p\u257?rvedumiem, t\u363?l\u299?t\u275?jiem kred\u299?ta p\u257?rvedumiem un maks\u257?jumu kontiem piem\u275?roto maksu l\u299?meni un noraid\u299?to dar\u299?jumu da\u316?u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IELIKUMS_x000b_"/>
    <w:docVar w:name="LW_TYPEACTEPRINCIPAL.CP" w:val="KOMISIJAS \u298?STENO\u352?ANAS REGULA (ES)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27A1A"/>
    <w:rsid w:val="001334E8"/>
    <w:rsid w:val="0013373E"/>
    <w:rsid w:val="00160269"/>
    <w:rsid w:val="0018198C"/>
    <w:rsid w:val="001D5940"/>
    <w:rsid w:val="001E5E33"/>
    <w:rsid w:val="001F589E"/>
    <w:rsid w:val="0020076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657E"/>
    <w:rsid w:val="00397EAB"/>
    <w:rsid w:val="003A35D4"/>
    <w:rsid w:val="003A3800"/>
    <w:rsid w:val="003B6428"/>
    <w:rsid w:val="003C7232"/>
    <w:rsid w:val="003C77DB"/>
    <w:rsid w:val="003E22A0"/>
    <w:rsid w:val="003F0FFF"/>
    <w:rsid w:val="00423163"/>
    <w:rsid w:val="004234CB"/>
    <w:rsid w:val="00426630"/>
    <w:rsid w:val="00431847"/>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14A9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lv-LV"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lv-LV"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FE928A-9D2C-425E-8DBE-7A50B1820C9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18</Pages>
  <Words>4857</Words>
  <Characters>27690</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