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FE5D64" w:rsidRDefault="00FE5D64">
      <w:pPr>
        <w:pStyle w:val="abbreviation"/>
      </w:pPr>
    </w:p>
    <w:p w14:paraId="7FE1B2AF" w14:textId="77777777" w:rsidR="00FE5D64" w:rsidRDefault="00E40776">
      <w:pPr>
        <w:pStyle w:val="P68B1DB1-ListParagraph1"/>
        <w:jc w:val="center"/>
        <w:rPr>
          <w:bCs/>
        </w:rPr>
      </w:pPr>
      <w:r>
        <w:t>Приложение II: Указания</w:t>
      </w:r>
    </w:p>
    <w:p w14:paraId="7FE1B2B0" w14:textId="77777777" w:rsidR="00FE5D64" w:rsidRDefault="00FE5D64">
      <w:pPr>
        <w:rPr>
          <w:rFonts w:ascii="Times New Roman" w:hAnsi="Times New Roman" w:cs="Times New Roman"/>
          <w:b/>
          <w:color w:val="000000" w:themeColor="text1"/>
          <w:sz w:val="20"/>
          <w:szCs w:val="20"/>
        </w:rPr>
      </w:pPr>
    </w:p>
    <w:p w14:paraId="7FE1B2B1" w14:textId="77777777" w:rsidR="00FE5D64" w:rsidRDefault="00FE5D64">
      <w:pPr>
        <w:rPr>
          <w:rFonts w:ascii="Times New Roman" w:hAnsi="Times New Roman" w:cs="Times New Roman"/>
          <w:b/>
          <w:color w:val="000000" w:themeColor="text1"/>
          <w:sz w:val="20"/>
          <w:szCs w:val="20"/>
        </w:rPr>
      </w:pPr>
    </w:p>
    <w:p w14:paraId="66814734" w14:textId="70B93E6B" w:rsidR="00E40776" w:rsidRDefault="00E40776">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443" w:history="1">
        <w:r w:rsidRPr="00634116">
          <w:rPr>
            <w:rStyle w:val="Hyperlink"/>
            <w:noProof/>
          </w:rPr>
          <w:t>I.</w:t>
        </w:r>
        <w:r>
          <w:rPr>
            <w:noProof/>
            <w:kern w:val="2"/>
            <w:sz w:val="24"/>
            <w:szCs w:val="24"/>
            <w:lang w:val="en-GB"/>
            <w14:ligatures w14:val="standardContextual"/>
          </w:rPr>
          <w:tab/>
        </w:r>
        <w:r w:rsidRPr="00634116">
          <w:rPr>
            <w:rStyle w:val="Hyperlink"/>
            <w:noProof/>
          </w:rPr>
          <w:t>Основни инструкции</w:t>
        </w:r>
        <w:r>
          <w:rPr>
            <w:noProof/>
            <w:webHidden/>
          </w:rPr>
          <w:tab/>
        </w:r>
        <w:r>
          <w:rPr>
            <w:noProof/>
            <w:webHidden/>
          </w:rPr>
          <w:fldChar w:fldCharType="begin"/>
        </w:r>
        <w:r>
          <w:rPr>
            <w:noProof/>
            <w:webHidden/>
          </w:rPr>
          <w:instrText xml:space="preserve"> PAGEREF _Toc208244443 \h </w:instrText>
        </w:r>
        <w:r>
          <w:rPr>
            <w:noProof/>
            <w:webHidden/>
          </w:rPr>
        </w:r>
        <w:r>
          <w:rPr>
            <w:noProof/>
            <w:webHidden/>
          </w:rPr>
          <w:fldChar w:fldCharType="separate"/>
        </w:r>
        <w:r>
          <w:rPr>
            <w:noProof/>
            <w:webHidden/>
          </w:rPr>
          <w:t>3</w:t>
        </w:r>
        <w:r>
          <w:rPr>
            <w:noProof/>
            <w:webHidden/>
          </w:rPr>
          <w:fldChar w:fldCharType="end"/>
        </w:r>
      </w:hyperlink>
    </w:p>
    <w:p w14:paraId="08957295" w14:textId="4A2F5D64" w:rsidR="00E40776" w:rsidRDefault="00E40776">
      <w:pPr>
        <w:pStyle w:val="TOC2"/>
        <w:rPr>
          <w:noProof/>
          <w:kern w:val="2"/>
          <w:sz w:val="24"/>
          <w:szCs w:val="24"/>
          <w:lang w:val="en-GB"/>
          <w14:ligatures w14:val="standardContextual"/>
        </w:rPr>
      </w:pPr>
      <w:hyperlink w:anchor="_Toc208244444" w:history="1">
        <w:r w:rsidRPr="00634116">
          <w:rPr>
            <w:rStyle w:val="Hyperlink"/>
            <w:noProof/>
          </w:rPr>
          <w:t>I.1</w:t>
        </w:r>
        <w:r>
          <w:rPr>
            <w:noProof/>
            <w:kern w:val="2"/>
            <w:sz w:val="24"/>
            <w:szCs w:val="24"/>
            <w:lang w:val="en-GB"/>
            <w14:ligatures w14:val="standardContextual"/>
          </w:rPr>
          <w:tab/>
        </w:r>
        <w:r w:rsidRPr="00634116">
          <w:rPr>
            <w:rStyle w:val="Hyperlink"/>
            <w:noProof/>
          </w:rPr>
          <w:t>Stucture</w:t>
        </w:r>
        <w:r>
          <w:rPr>
            <w:noProof/>
            <w:webHidden/>
          </w:rPr>
          <w:tab/>
        </w:r>
        <w:r>
          <w:rPr>
            <w:noProof/>
            <w:webHidden/>
          </w:rPr>
          <w:fldChar w:fldCharType="begin"/>
        </w:r>
        <w:r>
          <w:rPr>
            <w:noProof/>
            <w:webHidden/>
          </w:rPr>
          <w:instrText xml:space="preserve"> PAGEREF _Toc208244444 \h </w:instrText>
        </w:r>
        <w:r>
          <w:rPr>
            <w:noProof/>
            <w:webHidden/>
          </w:rPr>
        </w:r>
        <w:r>
          <w:rPr>
            <w:noProof/>
            <w:webHidden/>
          </w:rPr>
          <w:fldChar w:fldCharType="separate"/>
        </w:r>
        <w:r>
          <w:rPr>
            <w:noProof/>
            <w:webHidden/>
          </w:rPr>
          <w:t>3</w:t>
        </w:r>
        <w:r>
          <w:rPr>
            <w:noProof/>
            <w:webHidden/>
          </w:rPr>
          <w:fldChar w:fldCharType="end"/>
        </w:r>
      </w:hyperlink>
    </w:p>
    <w:p w14:paraId="685965B0" w14:textId="2F8AE945" w:rsidR="00E40776" w:rsidRDefault="00E40776">
      <w:pPr>
        <w:pStyle w:val="TOC2"/>
        <w:rPr>
          <w:noProof/>
          <w:kern w:val="2"/>
          <w:sz w:val="24"/>
          <w:szCs w:val="24"/>
          <w:lang w:val="en-GB"/>
          <w14:ligatures w14:val="standardContextual"/>
        </w:rPr>
      </w:pPr>
      <w:hyperlink w:anchor="_Toc208244445" w:history="1">
        <w:r w:rsidRPr="00634116">
          <w:rPr>
            <w:rStyle w:val="Hyperlink"/>
            <w:noProof/>
          </w:rPr>
          <w:t>I.2</w:t>
        </w:r>
        <w:r>
          <w:rPr>
            <w:noProof/>
            <w:kern w:val="2"/>
            <w:sz w:val="24"/>
            <w:szCs w:val="24"/>
            <w:lang w:val="en-GB"/>
            <w14:ligatures w14:val="standardContextual"/>
          </w:rPr>
          <w:tab/>
        </w:r>
        <w:r w:rsidRPr="00634116">
          <w:rPr>
            <w:rStyle w:val="Hyperlink"/>
            <w:noProof/>
          </w:rPr>
          <w:t>Отправни документи</w:t>
        </w:r>
        <w:r>
          <w:rPr>
            <w:noProof/>
            <w:webHidden/>
          </w:rPr>
          <w:tab/>
        </w:r>
        <w:r>
          <w:rPr>
            <w:noProof/>
            <w:webHidden/>
          </w:rPr>
          <w:fldChar w:fldCharType="begin"/>
        </w:r>
        <w:r>
          <w:rPr>
            <w:noProof/>
            <w:webHidden/>
          </w:rPr>
          <w:instrText xml:space="preserve"> PAGEREF _Toc208244445 \h </w:instrText>
        </w:r>
        <w:r>
          <w:rPr>
            <w:noProof/>
            <w:webHidden/>
          </w:rPr>
        </w:r>
        <w:r>
          <w:rPr>
            <w:noProof/>
            <w:webHidden/>
          </w:rPr>
          <w:fldChar w:fldCharType="separate"/>
        </w:r>
        <w:r>
          <w:rPr>
            <w:noProof/>
            <w:webHidden/>
          </w:rPr>
          <w:t>4</w:t>
        </w:r>
        <w:r>
          <w:rPr>
            <w:noProof/>
            <w:webHidden/>
          </w:rPr>
          <w:fldChar w:fldCharType="end"/>
        </w:r>
      </w:hyperlink>
    </w:p>
    <w:p w14:paraId="489F0D8B" w14:textId="19B5BAC7" w:rsidR="00E40776" w:rsidRDefault="00E40776">
      <w:pPr>
        <w:pStyle w:val="TOC2"/>
        <w:rPr>
          <w:noProof/>
          <w:kern w:val="2"/>
          <w:sz w:val="24"/>
          <w:szCs w:val="24"/>
          <w:lang w:val="en-GB"/>
          <w14:ligatures w14:val="standardContextual"/>
        </w:rPr>
      </w:pPr>
      <w:hyperlink w:anchor="_Toc208244446" w:history="1">
        <w:r w:rsidRPr="00634116">
          <w:rPr>
            <w:rStyle w:val="Hyperlink"/>
            <w:noProof/>
          </w:rPr>
          <w:t>I.3</w:t>
        </w:r>
        <w:r>
          <w:rPr>
            <w:noProof/>
            <w:kern w:val="2"/>
            <w:sz w:val="24"/>
            <w:szCs w:val="24"/>
            <w:lang w:val="en-GB"/>
            <w14:ligatures w14:val="standardContextual"/>
          </w:rPr>
          <w:tab/>
        </w:r>
        <w:r w:rsidRPr="00634116">
          <w:rPr>
            <w:rStyle w:val="Hyperlink"/>
            <w:noProof/>
          </w:rPr>
          <w:t>Счетоводни стандарти</w:t>
        </w:r>
        <w:r>
          <w:rPr>
            <w:noProof/>
            <w:webHidden/>
          </w:rPr>
          <w:tab/>
        </w:r>
        <w:r>
          <w:rPr>
            <w:noProof/>
            <w:webHidden/>
          </w:rPr>
          <w:fldChar w:fldCharType="begin"/>
        </w:r>
        <w:r>
          <w:rPr>
            <w:noProof/>
            <w:webHidden/>
          </w:rPr>
          <w:instrText xml:space="preserve"> PAGEREF _Toc208244446 \h </w:instrText>
        </w:r>
        <w:r>
          <w:rPr>
            <w:noProof/>
            <w:webHidden/>
          </w:rPr>
        </w:r>
        <w:r>
          <w:rPr>
            <w:noProof/>
            <w:webHidden/>
          </w:rPr>
          <w:fldChar w:fldCharType="separate"/>
        </w:r>
        <w:r>
          <w:rPr>
            <w:noProof/>
            <w:webHidden/>
          </w:rPr>
          <w:t>5</w:t>
        </w:r>
        <w:r>
          <w:rPr>
            <w:noProof/>
            <w:webHidden/>
          </w:rPr>
          <w:fldChar w:fldCharType="end"/>
        </w:r>
      </w:hyperlink>
    </w:p>
    <w:p w14:paraId="18D769F6" w14:textId="6DA5C0D5" w:rsidR="00E40776" w:rsidRDefault="00E40776">
      <w:pPr>
        <w:pStyle w:val="TOC2"/>
        <w:rPr>
          <w:noProof/>
          <w:kern w:val="2"/>
          <w:sz w:val="24"/>
          <w:szCs w:val="24"/>
          <w:lang w:val="en-GB"/>
          <w14:ligatures w14:val="standardContextual"/>
        </w:rPr>
      </w:pPr>
      <w:hyperlink w:anchor="_Toc208244447" w:history="1">
        <w:r w:rsidRPr="00634116">
          <w:rPr>
            <w:rStyle w:val="Hyperlink"/>
            <w:noProof/>
          </w:rPr>
          <w:t>I.4</w:t>
        </w:r>
        <w:r>
          <w:rPr>
            <w:noProof/>
            <w:kern w:val="2"/>
            <w:sz w:val="24"/>
            <w:szCs w:val="24"/>
            <w:lang w:val="en-GB"/>
            <w14:ligatures w14:val="standardContextual"/>
          </w:rPr>
          <w:tab/>
        </w:r>
        <w:r w:rsidRPr="00634116">
          <w:rPr>
            <w:rStyle w:val="Hyperlink"/>
            <w:noProof/>
          </w:rPr>
          <w:t>Докладване на надзорни данни</w:t>
        </w:r>
        <w:r>
          <w:rPr>
            <w:noProof/>
            <w:webHidden/>
          </w:rPr>
          <w:tab/>
        </w:r>
        <w:r>
          <w:rPr>
            <w:noProof/>
            <w:webHidden/>
          </w:rPr>
          <w:fldChar w:fldCharType="begin"/>
        </w:r>
        <w:r>
          <w:rPr>
            <w:noProof/>
            <w:webHidden/>
          </w:rPr>
          <w:instrText xml:space="preserve"> PAGEREF _Toc208244447 \h </w:instrText>
        </w:r>
        <w:r>
          <w:rPr>
            <w:noProof/>
            <w:webHidden/>
          </w:rPr>
        </w:r>
        <w:r>
          <w:rPr>
            <w:noProof/>
            <w:webHidden/>
          </w:rPr>
          <w:fldChar w:fldCharType="separate"/>
        </w:r>
        <w:r>
          <w:rPr>
            <w:noProof/>
            <w:webHidden/>
          </w:rPr>
          <w:t>6</w:t>
        </w:r>
        <w:r>
          <w:rPr>
            <w:noProof/>
            <w:webHidden/>
          </w:rPr>
          <w:fldChar w:fldCharType="end"/>
        </w:r>
      </w:hyperlink>
    </w:p>
    <w:p w14:paraId="1B08BB64" w14:textId="5AF547FA" w:rsidR="00E40776" w:rsidRDefault="00E40776">
      <w:pPr>
        <w:pStyle w:val="TOC2"/>
        <w:rPr>
          <w:noProof/>
          <w:kern w:val="2"/>
          <w:sz w:val="24"/>
          <w:szCs w:val="24"/>
          <w:lang w:val="en-GB"/>
          <w14:ligatures w14:val="standardContextual"/>
        </w:rPr>
      </w:pPr>
      <w:hyperlink w:anchor="_Toc208244448" w:history="1">
        <w:r w:rsidRPr="00634116">
          <w:rPr>
            <w:rStyle w:val="Hyperlink"/>
            <w:noProof/>
          </w:rPr>
          <w:t>I.5</w:t>
        </w:r>
        <w:r>
          <w:rPr>
            <w:noProof/>
            <w:kern w:val="2"/>
            <w:sz w:val="24"/>
            <w:szCs w:val="24"/>
            <w:lang w:val="en-GB"/>
            <w14:ligatures w14:val="standardContextual"/>
          </w:rPr>
          <w:tab/>
        </w:r>
        <w:r w:rsidRPr="00634116">
          <w:rPr>
            <w:rStyle w:val="Hyperlink"/>
            <w:noProof/>
          </w:rPr>
          <w:t>Обхват на консолидацията</w:t>
        </w:r>
        <w:r>
          <w:rPr>
            <w:noProof/>
            <w:webHidden/>
          </w:rPr>
          <w:tab/>
        </w:r>
        <w:r>
          <w:rPr>
            <w:noProof/>
            <w:webHidden/>
          </w:rPr>
          <w:fldChar w:fldCharType="begin"/>
        </w:r>
        <w:r>
          <w:rPr>
            <w:noProof/>
            <w:webHidden/>
          </w:rPr>
          <w:instrText xml:space="preserve"> PAGEREF _Toc208244448 \h </w:instrText>
        </w:r>
        <w:r>
          <w:rPr>
            <w:noProof/>
            <w:webHidden/>
          </w:rPr>
        </w:r>
        <w:r>
          <w:rPr>
            <w:noProof/>
            <w:webHidden/>
          </w:rPr>
          <w:fldChar w:fldCharType="separate"/>
        </w:r>
        <w:r>
          <w:rPr>
            <w:noProof/>
            <w:webHidden/>
          </w:rPr>
          <w:t>6</w:t>
        </w:r>
        <w:r>
          <w:rPr>
            <w:noProof/>
            <w:webHidden/>
          </w:rPr>
          <w:fldChar w:fldCharType="end"/>
        </w:r>
      </w:hyperlink>
    </w:p>
    <w:p w14:paraId="3909A792" w14:textId="7199E288" w:rsidR="00E40776" w:rsidRDefault="00E40776">
      <w:pPr>
        <w:pStyle w:val="TOC2"/>
        <w:rPr>
          <w:noProof/>
          <w:kern w:val="2"/>
          <w:sz w:val="24"/>
          <w:szCs w:val="24"/>
          <w:lang w:val="en-GB"/>
          <w14:ligatures w14:val="standardContextual"/>
        </w:rPr>
      </w:pPr>
      <w:hyperlink w:anchor="_Toc208244449" w:history="1">
        <w:r w:rsidRPr="00634116">
          <w:rPr>
            <w:rStyle w:val="Hyperlink"/>
            <w:noProof/>
          </w:rPr>
          <w:t>I.6</w:t>
        </w:r>
        <w:r>
          <w:rPr>
            <w:noProof/>
            <w:kern w:val="2"/>
            <w:sz w:val="24"/>
            <w:szCs w:val="24"/>
            <w:lang w:val="en-GB"/>
            <w14:ligatures w14:val="standardContextual"/>
          </w:rPr>
          <w:tab/>
        </w:r>
        <w:r w:rsidRPr="00634116">
          <w:rPr>
            <w:rStyle w:val="Hyperlink"/>
            <w:noProof/>
          </w:rPr>
          <w:t>Номериране и други установени практики</w:t>
        </w:r>
        <w:r>
          <w:rPr>
            <w:noProof/>
            <w:webHidden/>
          </w:rPr>
          <w:tab/>
        </w:r>
        <w:r>
          <w:rPr>
            <w:noProof/>
            <w:webHidden/>
          </w:rPr>
          <w:fldChar w:fldCharType="begin"/>
        </w:r>
        <w:r>
          <w:rPr>
            <w:noProof/>
            <w:webHidden/>
          </w:rPr>
          <w:instrText xml:space="preserve"> PAGEREF _Toc208244449 \h </w:instrText>
        </w:r>
        <w:r>
          <w:rPr>
            <w:noProof/>
            <w:webHidden/>
          </w:rPr>
        </w:r>
        <w:r>
          <w:rPr>
            <w:noProof/>
            <w:webHidden/>
          </w:rPr>
          <w:fldChar w:fldCharType="separate"/>
        </w:r>
        <w:r>
          <w:rPr>
            <w:noProof/>
            <w:webHidden/>
          </w:rPr>
          <w:t>6</w:t>
        </w:r>
        <w:r>
          <w:rPr>
            <w:noProof/>
            <w:webHidden/>
          </w:rPr>
          <w:fldChar w:fldCharType="end"/>
        </w:r>
      </w:hyperlink>
    </w:p>
    <w:p w14:paraId="426E6760" w14:textId="5573CB8F" w:rsidR="00E40776" w:rsidRDefault="00E40776">
      <w:pPr>
        <w:pStyle w:val="TOC2"/>
        <w:rPr>
          <w:noProof/>
          <w:kern w:val="2"/>
          <w:sz w:val="24"/>
          <w:szCs w:val="24"/>
          <w:lang w:val="en-GB"/>
          <w14:ligatures w14:val="standardContextual"/>
        </w:rPr>
      </w:pPr>
      <w:hyperlink w:anchor="_Toc208244450" w:history="1">
        <w:r w:rsidRPr="00634116">
          <w:rPr>
            <w:rStyle w:val="Hyperlink"/>
            <w:noProof/>
          </w:rPr>
          <w:t>II.</w:t>
        </w:r>
        <w:r>
          <w:rPr>
            <w:noProof/>
            <w:kern w:val="2"/>
            <w:sz w:val="24"/>
            <w:szCs w:val="24"/>
            <w:lang w:val="en-GB"/>
            <w14:ligatures w14:val="standardContextual"/>
          </w:rPr>
          <w:tab/>
        </w:r>
        <w:r w:rsidRPr="00634116">
          <w:rPr>
            <w:rStyle w:val="Hyperlink"/>
            <w:noProof/>
          </w:rPr>
          <w:t>Указания за образците</w:t>
        </w:r>
        <w:r>
          <w:rPr>
            <w:noProof/>
            <w:webHidden/>
          </w:rPr>
          <w:tab/>
        </w:r>
        <w:r>
          <w:rPr>
            <w:noProof/>
            <w:webHidden/>
          </w:rPr>
          <w:fldChar w:fldCharType="begin"/>
        </w:r>
        <w:r>
          <w:rPr>
            <w:noProof/>
            <w:webHidden/>
          </w:rPr>
          <w:instrText xml:space="preserve"> PAGEREF _Toc208244450 \h </w:instrText>
        </w:r>
        <w:r>
          <w:rPr>
            <w:noProof/>
            <w:webHidden/>
          </w:rPr>
        </w:r>
        <w:r>
          <w:rPr>
            <w:noProof/>
            <w:webHidden/>
          </w:rPr>
          <w:fldChar w:fldCharType="separate"/>
        </w:r>
        <w:r>
          <w:rPr>
            <w:noProof/>
            <w:webHidden/>
          </w:rPr>
          <w:t>7</w:t>
        </w:r>
        <w:r>
          <w:rPr>
            <w:noProof/>
            <w:webHidden/>
          </w:rPr>
          <w:fldChar w:fldCharType="end"/>
        </w:r>
      </w:hyperlink>
    </w:p>
    <w:p w14:paraId="2080B7D3" w14:textId="19ACC5A2" w:rsidR="00E40776" w:rsidRDefault="00E40776">
      <w:pPr>
        <w:pStyle w:val="TOC2"/>
        <w:rPr>
          <w:noProof/>
          <w:kern w:val="2"/>
          <w:sz w:val="24"/>
          <w:szCs w:val="24"/>
          <w:lang w:val="en-GB"/>
          <w14:ligatures w14:val="standardContextual"/>
        </w:rPr>
      </w:pPr>
      <w:hyperlink w:anchor="_Toc208244451" w:history="1">
        <w:r w:rsidRPr="00634116">
          <w:rPr>
            <w:rStyle w:val="Hyperlink"/>
            <w:noProof/>
          </w:rPr>
          <w:t>II.1</w:t>
        </w:r>
        <w:r>
          <w:rPr>
            <w:noProof/>
            <w:kern w:val="2"/>
            <w:sz w:val="24"/>
            <w:szCs w:val="24"/>
            <w:lang w:val="en-GB"/>
            <w14:ligatures w14:val="standardContextual"/>
          </w:rPr>
          <w:tab/>
        </w:r>
        <w:r w:rsidRPr="00634116">
          <w:rPr>
            <w:rStyle w:val="Hyperlink"/>
            <w:noProof/>
          </w:rPr>
          <w:t>Z 01.01 — Юридически лица (ORG 1)</w:t>
        </w:r>
        <w:r>
          <w:rPr>
            <w:noProof/>
            <w:webHidden/>
          </w:rPr>
          <w:tab/>
        </w:r>
        <w:r>
          <w:rPr>
            <w:noProof/>
            <w:webHidden/>
          </w:rPr>
          <w:fldChar w:fldCharType="begin"/>
        </w:r>
        <w:r>
          <w:rPr>
            <w:noProof/>
            <w:webHidden/>
          </w:rPr>
          <w:instrText xml:space="preserve"> PAGEREF _Toc208244451 \h </w:instrText>
        </w:r>
        <w:r>
          <w:rPr>
            <w:noProof/>
            <w:webHidden/>
          </w:rPr>
        </w:r>
        <w:r>
          <w:rPr>
            <w:noProof/>
            <w:webHidden/>
          </w:rPr>
          <w:fldChar w:fldCharType="separate"/>
        </w:r>
        <w:r>
          <w:rPr>
            <w:noProof/>
            <w:webHidden/>
          </w:rPr>
          <w:t>7</w:t>
        </w:r>
        <w:r>
          <w:rPr>
            <w:noProof/>
            <w:webHidden/>
          </w:rPr>
          <w:fldChar w:fldCharType="end"/>
        </w:r>
      </w:hyperlink>
    </w:p>
    <w:p w14:paraId="0518ED5A" w14:textId="25124ED2" w:rsidR="00E40776" w:rsidRDefault="00E40776">
      <w:pPr>
        <w:pStyle w:val="TOC2"/>
        <w:rPr>
          <w:noProof/>
          <w:kern w:val="2"/>
          <w:sz w:val="24"/>
          <w:szCs w:val="24"/>
          <w:lang w:val="en-GB"/>
          <w14:ligatures w14:val="standardContextual"/>
        </w:rPr>
      </w:pPr>
      <w:hyperlink w:anchor="_Toc208244452" w:history="1">
        <w:r w:rsidRPr="00634116">
          <w:rPr>
            <w:rStyle w:val="Hyperlink"/>
            <w:noProof/>
          </w:rPr>
          <w:t>II.2</w:t>
        </w:r>
        <w:r>
          <w:rPr>
            <w:noProof/>
            <w:kern w:val="2"/>
            <w:sz w:val="24"/>
            <w:szCs w:val="24"/>
            <w:lang w:val="en-GB"/>
            <w14:ligatures w14:val="standardContextual"/>
          </w:rPr>
          <w:tab/>
        </w:r>
        <w:r w:rsidRPr="00634116">
          <w:rPr>
            <w:rStyle w:val="Hyperlink"/>
            <w:noProof/>
          </w:rPr>
          <w:t>Z 01.02 — Структура на собствеността (ORG 2)</w:t>
        </w:r>
        <w:r>
          <w:rPr>
            <w:noProof/>
            <w:webHidden/>
          </w:rPr>
          <w:tab/>
        </w:r>
        <w:r>
          <w:rPr>
            <w:noProof/>
            <w:webHidden/>
          </w:rPr>
          <w:fldChar w:fldCharType="begin"/>
        </w:r>
        <w:r>
          <w:rPr>
            <w:noProof/>
            <w:webHidden/>
          </w:rPr>
          <w:instrText xml:space="preserve"> PAGEREF _Toc208244452 \h </w:instrText>
        </w:r>
        <w:r>
          <w:rPr>
            <w:noProof/>
            <w:webHidden/>
          </w:rPr>
        </w:r>
        <w:r>
          <w:rPr>
            <w:noProof/>
            <w:webHidden/>
          </w:rPr>
          <w:fldChar w:fldCharType="separate"/>
        </w:r>
        <w:r>
          <w:rPr>
            <w:noProof/>
            <w:webHidden/>
          </w:rPr>
          <w:t>10</w:t>
        </w:r>
        <w:r>
          <w:rPr>
            <w:noProof/>
            <w:webHidden/>
          </w:rPr>
          <w:fldChar w:fldCharType="end"/>
        </w:r>
      </w:hyperlink>
    </w:p>
    <w:p w14:paraId="2856450D" w14:textId="5B6D1847" w:rsidR="00E40776" w:rsidRDefault="00E40776">
      <w:pPr>
        <w:pStyle w:val="TOC2"/>
        <w:rPr>
          <w:noProof/>
          <w:kern w:val="2"/>
          <w:sz w:val="24"/>
          <w:szCs w:val="24"/>
          <w:lang w:val="en-GB"/>
          <w14:ligatures w14:val="standardContextual"/>
        </w:rPr>
      </w:pPr>
      <w:hyperlink w:anchor="_Toc208244453" w:history="1">
        <w:r w:rsidRPr="00634116">
          <w:rPr>
            <w:rStyle w:val="Hyperlink"/>
            <w:noProof/>
          </w:rPr>
          <w:t>II.3</w:t>
        </w:r>
        <w:r>
          <w:rPr>
            <w:noProof/>
            <w:kern w:val="2"/>
            <w:sz w:val="24"/>
            <w:szCs w:val="24"/>
            <w:lang w:val="en-GB"/>
            <w14:ligatures w14:val="standardContextual"/>
          </w:rPr>
          <w:tab/>
        </w:r>
        <w:r w:rsidRPr="00634116">
          <w:rPr>
            <w:rStyle w:val="Hyperlink"/>
            <w:noProof/>
          </w:rPr>
          <w:t>Z 02.00 — Структура на задълженията (LIAB 1)</w:t>
        </w:r>
        <w:r>
          <w:rPr>
            <w:noProof/>
            <w:webHidden/>
          </w:rPr>
          <w:tab/>
        </w:r>
        <w:r>
          <w:rPr>
            <w:noProof/>
            <w:webHidden/>
          </w:rPr>
          <w:fldChar w:fldCharType="begin"/>
        </w:r>
        <w:r>
          <w:rPr>
            <w:noProof/>
            <w:webHidden/>
          </w:rPr>
          <w:instrText xml:space="preserve"> PAGEREF _Toc208244453 \h </w:instrText>
        </w:r>
        <w:r>
          <w:rPr>
            <w:noProof/>
            <w:webHidden/>
          </w:rPr>
        </w:r>
        <w:r>
          <w:rPr>
            <w:noProof/>
            <w:webHidden/>
          </w:rPr>
          <w:fldChar w:fldCharType="separate"/>
        </w:r>
        <w:r>
          <w:rPr>
            <w:noProof/>
            <w:webHidden/>
          </w:rPr>
          <w:t>12</w:t>
        </w:r>
        <w:r>
          <w:rPr>
            <w:noProof/>
            <w:webHidden/>
          </w:rPr>
          <w:fldChar w:fldCharType="end"/>
        </w:r>
      </w:hyperlink>
    </w:p>
    <w:p w14:paraId="10A3D5C6" w14:textId="2AE3364B" w:rsidR="00E40776" w:rsidRDefault="00E40776">
      <w:pPr>
        <w:pStyle w:val="TOC2"/>
        <w:rPr>
          <w:noProof/>
          <w:kern w:val="2"/>
          <w:sz w:val="24"/>
          <w:szCs w:val="24"/>
          <w:lang w:val="en-GB"/>
          <w14:ligatures w14:val="standardContextual"/>
        </w:rPr>
      </w:pPr>
      <w:hyperlink w:anchor="_Toc208244454" w:history="1">
        <w:r w:rsidRPr="00634116">
          <w:rPr>
            <w:rStyle w:val="Hyperlink"/>
            <w:noProof/>
          </w:rPr>
          <w:t>II.4</w:t>
        </w:r>
        <w:r>
          <w:rPr>
            <w:noProof/>
            <w:kern w:val="2"/>
            <w:sz w:val="24"/>
            <w:szCs w:val="24"/>
            <w:lang w:val="en-GB"/>
            <w14:ligatures w14:val="standardContextual"/>
          </w:rPr>
          <w:tab/>
        </w:r>
        <w:r w:rsidRPr="00634116">
          <w:rPr>
            <w:rStyle w:val="Hyperlink"/>
            <w:noProof/>
          </w:rPr>
          <w:t>Z 03.01 — Капиталови изисквания — Кредитни институции (LIAB 2)</w:t>
        </w:r>
        <w:r>
          <w:rPr>
            <w:noProof/>
            <w:webHidden/>
          </w:rPr>
          <w:tab/>
        </w:r>
        <w:r>
          <w:rPr>
            <w:noProof/>
            <w:webHidden/>
          </w:rPr>
          <w:fldChar w:fldCharType="begin"/>
        </w:r>
        <w:r>
          <w:rPr>
            <w:noProof/>
            <w:webHidden/>
          </w:rPr>
          <w:instrText xml:space="preserve"> PAGEREF _Toc208244454 \h </w:instrText>
        </w:r>
        <w:r>
          <w:rPr>
            <w:noProof/>
            <w:webHidden/>
          </w:rPr>
        </w:r>
        <w:r>
          <w:rPr>
            <w:noProof/>
            <w:webHidden/>
          </w:rPr>
          <w:fldChar w:fldCharType="separate"/>
        </w:r>
        <w:r>
          <w:rPr>
            <w:noProof/>
            <w:webHidden/>
          </w:rPr>
          <w:t>20</w:t>
        </w:r>
        <w:r>
          <w:rPr>
            <w:noProof/>
            <w:webHidden/>
          </w:rPr>
          <w:fldChar w:fldCharType="end"/>
        </w:r>
      </w:hyperlink>
    </w:p>
    <w:p w14:paraId="784CBC6E" w14:textId="377BC3D6" w:rsidR="00E40776" w:rsidRDefault="00E40776">
      <w:pPr>
        <w:pStyle w:val="TOC2"/>
        <w:rPr>
          <w:noProof/>
          <w:kern w:val="2"/>
          <w:sz w:val="24"/>
          <w:szCs w:val="24"/>
          <w:lang w:val="en-GB"/>
          <w14:ligatures w14:val="standardContextual"/>
        </w:rPr>
      </w:pPr>
      <w:hyperlink w:anchor="_Toc208244455" w:history="1">
        <w:r w:rsidRPr="00634116">
          <w:rPr>
            <w:rStyle w:val="Hyperlink"/>
            <w:noProof/>
          </w:rPr>
          <w:t>II.5</w:t>
        </w:r>
        <w:r>
          <w:rPr>
            <w:noProof/>
            <w:kern w:val="2"/>
            <w:sz w:val="24"/>
            <w:szCs w:val="24"/>
            <w:lang w:val="en-GB"/>
            <w14:ligatures w14:val="standardContextual"/>
          </w:rPr>
          <w:tab/>
        </w:r>
        <w:r w:rsidRPr="00634116">
          <w:rPr>
            <w:rStyle w:val="Hyperlink"/>
            <w:noProof/>
          </w:rPr>
          <w:t>Z 03.02 — Капиталови изисквания — Инвестиционни посредници (LIAB 3)</w:t>
        </w:r>
        <w:r>
          <w:rPr>
            <w:noProof/>
            <w:webHidden/>
          </w:rPr>
          <w:tab/>
        </w:r>
        <w:r>
          <w:rPr>
            <w:noProof/>
            <w:webHidden/>
          </w:rPr>
          <w:fldChar w:fldCharType="begin"/>
        </w:r>
        <w:r>
          <w:rPr>
            <w:noProof/>
            <w:webHidden/>
          </w:rPr>
          <w:instrText xml:space="preserve"> PAGEREF _Toc208244455 \h </w:instrText>
        </w:r>
        <w:r>
          <w:rPr>
            <w:noProof/>
            <w:webHidden/>
          </w:rPr>
        </w:r>
        <w:r>
          <w:rPr>
            <w:noProof/>
            <w:webHidden/>
          </w:rPr>
          <w:fldChar w:fldCharType="separate"/>
        </w:r>
        <w:r>
          <w:rPr>
            <w:noProof/>
            <w:webHidden/>
          </w:rPr>
          <w:t>23</w:t>
        </w:r>
        <w:r>
          <w:rPr>
            <w:noProof/>
            <w:webHidden/>
          </w:rPr>
          <w:fldChar w:fldCharType="end"/>
        </w:r>
      </w:hyperlink>
    </w:p>
    <w:p w14:paraId="32E5CE4F" w14:textId="120F1914" w:rsidR="00E40776" w:rsidRDefault="00E40776">
      <w:pPr>
        <w:pStyle w:val="TOC2"/>
        <w:rPr>
          <w:noProof/>
          <w:kern w:val="2"/>
          <w:sz w:val="24"/>
          <w:szCs w:val="24"/>
          <w:lang w:val="en-GB"/>
          <w14:ligatures w14:val="standardContextual"/>
        </w:rPr>
      </w:pPr>
      <w:hyperlink w:anchor="_Toc208244456" w:history="1">
        <w:r w:rsidRPr="00634116">
          <w:rPr>
            <w:rStyle w:val="Hyperlink"/>
            <w:noProof/>
          </w:rPr>
          <w:t>II.6</w:t>
        </w:r>
        <w:r>
          <w:rPr>
            <w:noProof/>
            <w:kern w:val="2"/>
            <w:sz w:val="24"/>
            <w:szCs w:val="24"/>
            <w:lang w:val="en-GB"/>
            <w14:ligatures w14:val="standardContextual"/>
          </w:rPr>
          <w:tab/>
        </w:r>
        <w:r w:rsidRPr="00634116">
          <w:rPr>
            <w:rStyle w:val="Hyperlink"/>
            <w:noProof/>
          </w:rPr>
          <w:t>Z 04.00 — Финансови взаимовръзки в групата (IFC)</w:t>
        </w:r>
        <w:r>
          <w:rPr>
            <w:noProof/>
            <w:webHidden/>
          </w:rPr>
          <w:tab/>
        </w:r>
        <w:r>
          <w:rPr>
            <w:noProof/>
            <w:webHidden/>
          </w:rPr>
          <w:fldChar w:fldCharType="begin"/>
        </w:r>
        <w:r>
          <w:rPr>
            <w:noProof/>
            <w:webHidden/>
          </w:rPr>
          <w:instrText xml:space="preserve"> PAGEREF _Toc208244456 \h </w:instrText>
        </w:r>
        <w:r>
          <w:rPr>
            <w:noProof/>
            <w:webHidden/>
          </w:rPr>
        </w:r>
        <w:r>
          <w:rPr>
            <w:noProof/>
            <w:webHidden/>
          </w:rPr>
          <w:fldChar w:fldCharType="separate"/>
        </w:r>
        <w:r>
          <w:rPr>
            <w:noProof/>
            <w:webHidden/>
          </w:rPr>
          <w:t>24</w:t>
        </w:r>
        <w:r>
          <w:rPr>
            <w:noProof/>
            <w:webHidden/>
          </w:rPr>
          <w:fldChar w:fldCharType="end"/>
        </w:r>
      </w:hyperlink>
    </w:p>
    <w:p w14:paraId="35287A67" w14:textId="40E8BB0E" w:rsidR="00E40776" w:rsidRDefault="00E40776">
      <w:pPr>
        <w:pStyle w:val="TOC2"/>
        <w:rPr>
          <w:noProof/>
          <w:kern w:val="2"/>
          <w:sz w:val="24"/>
          <w:szCs w:val="24"/>
          <w:lang w:val="en-GB"/>
          <w14:ligatures w14:val="standardContextual"/>
        </w:rPr>
      </w:pPr>
      <w:hyperlink w:anchor="_Toc208244457" w:history="1">
        <w:r w:rsidRPr="00634116">
          <w:rPr>
            <w:rStyle w:val="Hyperlink"/>
            <w:noProof/>
          </w:rPr>
          <w:t>II.7</w:t>
        </w:r>
        <w:r>
          <w:rPr>
            <w:noProof/>
            <w:kern w:val="2"/>
            <w:sz w:val="24"/>
            <w:szCs w:val="24"/>
            <w:lang w:val="en-GB"/>
            <w14:ligatures w14:val="standardContextual"/>
          </w:rPr>
          <w:tab/>
        </w:r>
        <w:r w:rsidRPr="00634116">
          <w:rPr>
            <w:rStyle w:val="Hyperlink"/>
            <w:noProof/>
          </w:rPr>
          <w:t>Основни контрагенти (LIAB 5—6)</w:t>
        </w:r>
        <w:r>
          <w:rPr>
            <w:noProof/>
            <w:webHidden/>
          </w:rPr>
          <w:tab/>
        </w:r>
        <w:r>
          <w:rPr>
            <w:noProof/>
            <w:webHidden/>
          </w:rPr>
          <w:fldChar w:fldCharType="begin"/>
        </w:r>
        <w:r>
          <w:rPr>
            <w:noProof/>
            <w:webHidden/>
          </w:rPr>
          <w:instrText xml:space="preserve"> PAGEREF _Toc208244457 \h </w:instrText>
        </w:r>
        <w:r>
          <w:rPr>
            <w:noProof/>
            <w:webHidden/>
          </w:rPr>
        </w:r>
        <w:r>
          <w:rPr>
            <w:noProof/>
            <w:webHidden/>
          </w:rPr>
          <w:fldChar w:fldCharType="separate"/>
        </w:r>
        <w:r>
          <w:rPr>
            <w:noProof/>
            <w:webHidden/>
          </w:rPr>
          <w:t>27</w:t>
        </w:r>
        <w:r>
          <w:rPr>
            <w:noProof/>
            <w:webHidden/>
          </w:rPr>
          <w:fldChar w:fldCharType="end"/>
        </w:r>
      </w:hyperlink>
    </w:p>
    <w:p w14:paraId="6CEC82C1" w14:textId="74851C14" w:rsidR="00E40776" w:rsidRDefault="00E40776">
      <w:pPr>
        <w:pStyle w:val="TOC2"/>
        <w:rPr>
          <w:noProof/>
          <w:kern w:val="2"/>
          <w:sz w:val="24"/>
          <w:szCs w:val="24"/>
          <w:lang w:val="en-GB"/>
          <w14:ligatures w14:val="standardContextual"/>
        </w:rPr>
      </w:pPr>
      <w:hyperlink w:anchor="_Toc208244458" w:history="1">
        <w:r w:rsidRPr="00634116">
          <w:rPr>
            <w:rStyle w:val="Hyperlink"/>
            <w:noProof/>
          </w:rPr>
          <w:t>II.8</w:t>
        </w:r>
        <w:r>
          <w:rPr>
            <w:noProof/>
            <w:kern w:val="2"/>
            <w:sz w:val="24"/>
            <w:szCs w:val="24"/>
            <w:lang w:val="en-GB"/>
            <w14:ligatures w14:val="standardContextual"/>
          </w:rPr>
          <w:tab/>
        </w:r>
        <w:r w:rsidRPr="00634116">
          <w:rPr>
            <w:rStyle w:val="Hyperlink"/>
            <w:noProof/>
          </w:rPr>
          <w:t>Z 05.01 — Задължения към основни контрагенти (LIAB 5)</w:t>
        </w:r>
        <w:r>
          <w:rPr>
            <w:noProof/>
            <w:webHidden/>
          </w:rPr>
          <w:tab/>
        </w:r>
        <w:r>
          <w:rPr>
            <w:noProof/>
            <w:webHidden/>
          </w:rPr>
          <w:fldChar w:fldCharType="begin"/>
        </w:r>
        <w:r>
          <w:rPr>
            <w:noProof/>
            <w:webHidden/>
          </w:rPr>
          <w:instrText xml:space="preserve"> PAGEREF _Toc208244458 \h </w:instrText>
        </w:r>
        <w:r>
          <w:rPr>
            <w:noProof/>
            <w:webHidden/>
          </w:rPr>
        </w:r>
        <w:r>
          <w:rPr>
            <w:noProof/>
            <w:webHidden/>
          </w:rPr>
          <w:fldChar w:fldCharType="separate"/>
        </w:r>
        <w:r>
          <w:rPr>
            <w:noProof/>
            <w:webHidden/>
          </w:rPr>
          <w:t>27</w:t>
        </w:r>
        <w:r>
          <w:rPr>
            <w:noProof/>
            <w:webHidden/>
          </w:rPr>
          <w:fldChar w:fldCharType="end"/>
        </w:r>
      </w:hyperlink>
    </w:p>
    <w:p w14:paraId="48610EF0" w14:textId="745F3EB4" w:rsidR="00E40776" w:rsidRDefault="00E40776">
      <w:pPr>
        <w:pStyle w:val="TOC2"/>
        <w:rPr>
          <w:noProof/>
          <w:kern w:val="2"/>
          <w:sz w:val="24"/>
          <w:szCs w:val="24"/>
          <w:lang w:val="en-GB"/>
          <w14:ligatures w14:val="standardContextual"/>
        </w:rPr>
      </w:pPr>
      <w:hyperlink w:anchor="_Toc208244459" w:history="1">
        <w:r w:rsidRPr="00634116">
          <w:rPr>
            <w:rStyle w:val="Hyperlink"/>
            <w:noProof/>
          </w:rPr>
          <w:t>II.9</w:t>
        </w:r>
        <w:r>
          <w:rPr>
            <w:noProof/>
            <w:kern w:val="2"/>
            <w:sz w:val="24"/>
            <w:szCs w:val="24"/>
            <w:lang w:val="en-GB"/>
            <w14:ligatures w14:val="standardContextual"/>
          </w:rPr>
          <w:tab/>
        </w:r>
        <w:r w:rsidRPr="00634116">
          <w:rPr>
            <w:rStyle w:val="Hyperlink"/>
            <w:noProof/>
          </w:rPr>
          <w:t>Z 05.02 — Извънбалансови позиции от основни контрагенти (LIAB 6)</w:t>
        </w:r>
        <w:r>
          <w:rPr>
            <w:noProof/>
            <w:webHidden/>
          </w:rPr>
          <w:tab/>
        </w:r>
        <w:r>
          <w:rPr>
            <w:noProof/>
            <w:webHidden/>
          </w:rPr>
          <w:fldChar w:fldCharType="begin"/>
        </w:r>
        <w:r>
          <w:rPr>
            <w:noProof/>
            <w:webHidden/>
          </w:rPr>
          <w:instrText xml:space="preserve"> PAGEREF _Toc208244459 \h </w:instrText>
        </w:r>
        <w:r>
          <w:rPr>
            <w:noProof/>
            <w:webHidden/>
          </w:rPr>
        </w:r>
        <w:r>
          <w:rPr>
            <w:noProof/>
            <w:webHidden/>
          </w:rPr>
          <w:fldChar w:fldCharType="separate"/>
        </w:r>
        <w:r>
          <w:rPr>
            <w:noProof/>
            <w:webHidden/>
          </w:rPr>
          <w:t>29</w:t>
        </w:r>
        <w:r>
          <w:rPr>
            <w:noProof/>
            <w:webHidden/>
          </w:rPr>
          <w:fldChar w:fldCharType="end"/>
        </w:r>
      </w:hyperlink>
    </w:p>
    <w:p w14:paraId="4E86EB86" w14:textId="55DCC20A" w:rsidR="00E40776" w:rsidRDefault="00E40776">
      <w:pPr>
        <w:pStyle w:val="TOC2"/>
        <w:rPr>
          <w:noProof/>
          <w:kern w:val="2"/>
          <w:sz w:val="24"/>
          <w:szCs w:val="24"/>
          <w:lang w:val="en-GB"/>
          <w14:ligatures w14:val="standardContextual"/>
        </w:rPr>
      </w:pPr>
      <w:hyperlink w:anchor="_Toc208244460" w:history="1">
        <w:r w:rsidRPr="00634116">
          <w:rPr>
            <w:rStyle w:val="Hyperlink"/>
            <w:noProof/>
          </w:rPr>
          <w:t>II.10</w:t>
        </w:r>
        <w:r>
          <w:rPr>
            <w:noProof/>
            <w:kern w:val="2"/>
            <w:sz w:val="24"/>
            <w:szCs w:val="24"/>
            <w:lang w:val="en-GB"/>
            <w14:ligatures w14:val="standardContextual"/>
          </w:rPr>
          <w:tab/>
        </w:r>
        <w:r w:rsidRPr="00634116">
          <w:rPr>
            <w:rStyle w:val="Hyperlink"/>
            <w:noProof/>
          </w:rPr>
          <w:t>Z 06.00 — Застраховане на депозитите (LIAB 7)</w:t>
        </w:r>
        <w:r>
          <w:rPr>
            <w:noProof/>
            <w:webHidden/>
          </w:rPr>
          <w:tab/>
        </w:r>
        <w:r>
          <w:rPr>
            <w:noProof/>
            <w:webHidden/>
          </w:rPr>
          <w:fldChar w:fldCharType="begin"/>
        </w:r>
        <w:r>
          <w:rPr>
            <w:noProof/>
            <w:webHidden/>
          </w:rPr>
          <w:instrText xml:space="preserve"> PAGEREF _Toc208244460 \h </w:instrText>
        </w:r>
        <w:r>
          <w:rPr>
            <w:noProof/>
            <w:webHidden/>
          </w:rPr>
        </w:r>
        <w:r>
          <w:rPr>
            <w:noProof/>
            <w:webHidden/>
          </w:rPr>
          <w:fldChar w:fldCharType="separate"/>
        </w:r>
        <w:r>
          <w:rPr>
            <w:noProof/>
            <w:webHidden/>
          </w:rPr>
          <w:t>31</w:t>
        </w:r>
        <w:r>
          <w:rPr>
            <w:noProof/>
            <w:webHidden/>
          </w:rPr>
          <w:fldChar w:fldCharType="end"/>
        </w:r>
      </w:hyperlink>
    </w:p>
    <w:p w14:paraId="29064175" w14:textId="37FF0DC1" w:rsidR="00E40776" w:rsidRDefault="00E40776">
      <w:pPr>
        <w:pStyle w:val="TOC2"/>
        <w:rPr>
          <w:noProof/>
          <w:kern w:val="2"/>
          <w:sz w:val="24"/>
          <w:szCs w:val="24"/>
          <w:lang w:val="en-GB"/>
          <w14:ligatures w14:val="standardContextual"/>
        </w:rPr>
      </w:pPr>
      <w:hyperlink w:anchor="_Toc208244461" w:history="1">
        <w:r w:rsidRPr="00634116">
          <w:rPr>
            <w:rStyle w:val="Hyperlink"/>
            <w:noProof/>
          </w:rPr>
          <w:t>II.11</w:t>
        </w:r>
        <w:r>
          <w:rPr>
            <w:noProof/>
            <w:kern w:val="2"/>
            <w:sz w:val="24"/>
            <w:szCs w:val="24"/>
            <w:lang w:val="en-GB"/>
            <w14:ligatures w14:val="standardContextual"/>
          </w:rPr>
          <w:tab/>
        </w:r>
        <w:r w:rsidRPr="00634116">
          <w:rPr>
            <w:rStyle w:val="Hyperlink"/>
            <w:noProof/>
          </w:rPr>
          <w:t>Критични функции и основни стопански дейности</w:t>
        </w:r>
        <w:r>
          <w:rPr>
            <w:noProof/>
            <w:webHidden/>
          </w:rPr>
          <w:tab/>
        </w:r>
        <w:r>
          <w:rPr>
            <w:noProof/>
            <w:webHidden/>
          </w:rPr>
          <w:fldChar w:fldCharType="begin"/>
        </w:r>
        <w:r>
          <w:rPr>
            <w:noProof/>
            <w:webHidden/>
          </w:rPr>
          <w:instrText xml:space="preserve"> PAGEREF _Toc208244461 \h </w:instrText>
        </w:r>
        <w:r>
          <w:rPr>
            <w:noProof/>
            <w:webHidden/>
          </w:rPr>
        </w:r>
        <w:r>
          <w:rPr>
            <w:noProof/>
            <w:webHidden/>
          </w:rPr>
          <w:fldChar w:fldCharType="separate"/>
        </w:r>
        <w:r>
          <w:rPr>
            <w:noProof/>
            <w:webHidden/>
          </w:rPr>
          <w:t>34</w:t>
        </w:r>
        <w:r>
          <w:rPr>
            <w:noProof/>
            <w:webHidden/>
          </w:rPr>
          <w:fldChar w:fldCharType="end"/>
        </w:r>
      </w:hyperlink>
    </w:p>
    <w:p w14:paraId="7009EDCF" w14:textId="21CF9B53" w:rsidR="00E40776" w:rsidRDefault="00E40776">
      <w:pPr>
        <w:pStyle w:val="TOC2"/>
        <w:rPr>
          <w:noProof/>
          <w:kern w:val="2"/>
          <w:sz w:val="24"/>
          <w:szCs w:val="24"/>
          <w:lang w:val="en-GB"/>
          <w14:ligatures w14:val="standardContextual"/>
        </w:rPr>
      </w:pPr>
      <w:hyperlink w:anchor="_Toc208244462" w:history="1">
        <w:r w:rsidRPr="00634116">
          <w:rPr>
            <w:rStyle w:val="Hyperlink"/>
            <w:noProof/>
          </w:rPr>
          <w:t>II.12</w:t>
        </w:r>
        <w:r>
          <w:rPr>
            <w:noProof/>
            <w:kern w:val="2"/>
            <w:sz w:val="24"/>
            <w:szCs w:val="24"/>
            <w:lang w:val="en-GB"/>
            <w14:ligatures w14:val="standardContextual"/>
          </w:rPr>
          <w:tab/>
        </w:r>
        <w:r w:rsidRPr="00634116">
          <w:rPr>
            <w:rStyle w:val="Hyperlink"/>
            <w:noProof/>
          </w:rPr>
          <w:t>Z 07.01 — Оценка на критичността на икономическите функции (FUNC 1)</w:t>
        </w:r>
        <w:r>
          <w:rPr>
            <w:noProof/>
            <w:webHidden/>
          </w:rPr>
          <w:tab/>
        </w:r>
        <w:r>
          <w:rPr>
            <w:noProof/>
            <w:webHidden/>
          </w:rPr>
          <w:fldChar w:fldCharType="begin"/>
        </w:r>
        <w:r>
          <w:rPr>
            <w:noProof/>
            <w:webHidden/>
          </w:rPr>
          <w:instrText xml:space="preserve"> PAGEREF _Toc208244462 \h </w:instrText>
        </w:r>
        <w:r>
          <w:rPr>
            <w:noProof/>
            <w:webHidden/>
          </w:rPr>
        </w:r>
        <w:r>
          <w:rPr>
            <w:noProof/>
            <w:webHidden/>
          </w:rPr>
          <w:fldChar w:fldCharType="separate"/>
        </w:r>
        <w:r>
          <w:rPr>
            <w:noProof/>
            <w:webHidden/>
          </w:rPr>
          <w:t>36</w:t>
        </w:r>
        <w:r>
          <w:rPr>
            <w:noProof/>
            <w:webHidden/>
          </w:rPr>
          <w:fldChar w:fldCharType="end"/>
        </w:r>
      </w:hyperlink>
    </w:p>
    <w:p w14:paraId="47F502E7" w14:textId="29634890" w:rsidR="00E40776" w:rsidRDefault="00E40776">
      <w:pPr>
        <w:pStyle w:val="TOC2"/>
        <w:rPr>
          <w:noProof/>
          <w:kern w:val="2"/>
          <w:sz w:val="24"/>
          <w:szCs w:val="24"/>
          <w:lang w:val="en-GB"/>
          <w14:ligatures w14:val="standardContextual"/>
        </w:rPr>
      </w:pPr>
      <w:hyperlink w:anchor="_Toc208244463" w:history="1">
        <w:r w:rsidRPr="00634116">
          <w:rPr>
            <w:rStyle w:val="Hyperlink"/>
            <w:noProof/>
          </w:rPr>
          <w:t>II.13</w:t>
        </w:r>
        <w:r>
          <w:rPr>
            <w:noProof/>
            <w:kern w:val="2"/>
            <w:sz w:val="24"/>
            <w:szCs w:val="24"/>
            <w:lang w:val="en-GB"/>
            <w14:ligatures w14:val="standardContextual"/>
          </w:rPr>
          <w:tab/>
        </w:r>
        <w:r w:rsidRPr="00634116">
          <w:rPr>
            <w:rStyle w:val="Hyperlink"/>
            <w:noProof/>
          </w:rPr>
          <w:t>Z 07.01.1 FUNC 1 DEP</w:t>
        </w:r>
        <w:r>
          <w:rPr>
            <w:noProof/>
            <w:webHidden/>
          </w:rPr>
          <w:tab/>
        </w:r>
        <w:r>
          <w:rPr>
            <w:noProof/>
            <w:webHidden/>
          </w:rPr>
          <w:fldChar w:fldCharType="begin"/>
        </w:r>
        <w:r>
          <w:rPr>
            <w:noProof/>
            <w:webHidden/>
          </w:rPr>
          <w:instrText xml:space="preserve"> PAGEREF _Toc208244463 \h </w:instrText>
        </w:r>
        <w:r>
          <w:rPr>
            <w:noProof/>
            <w:webHidden/>
          </w:rPr>
        </w:r>
        <w:r>
          <w:rPr>
            <w:noProof/>
            <w:webHidden/>
          </w:rPr>
          <w:fldChar w:fldCharType="separate"/>
        </w:r>
        <w:r>
          <w:rPr>
            <w:noProof/>
            <w:webHidden/>
          </w:rPr>
          <w:t>40</w:t>
        </w:r>
        <w:r>
          <w:rPr>
            <w:noProof/>
            <w:webHidden/>
          </w:rPr>
          <w:fldChar w:fldCharType="end"/>
        </w:r>
      </w:hyperlink>
    </w:p>
    <w:p w14:paraId="1D7D368E" w14:textId="10FF41A7" w:rsidR="00E40776" w:rsidRDefault="00E40776">
      <w:pPr>
        <w:pStyle w:val="TOC2"/>
        <w:rPr>
          <w:noProof/>
          <w:kern w:val="2"/>
          <w:sz w:val="24"/>
          <w:szCs w:val="24"/>
          <w:lang w:val="en-GB"/>
          <w14:ligatures w14:val="standardContextual"/>
        </w:rPr>
      </w:pPr>
      <w:hyperlink w:anchor="_Toc208244464" w:history="1">
        <w:r w:rsidRPr="00634116">
          <w:rPr>
            <w:rStyle w:val="Hyperlink"/>
            <w:noProof/>
          </w:rPr>
          <w:t>II.14</w:t>
        </w:r>
        <w:r>
          <w:rPr>
            <w:noProof/>
            <w:kern w:val="2"/>
            <w:sz w:val="24"/>
            <w:szCs w:val="24"/>
            <w:lang w:val="en-GB"/>
            <w14:ligatures w14:val="standardContextual"/>
          </w:rPr>
          <w:tab/>
        </w:r>
        <w:r w:rsidRPr="00634116">
          <w:rPr>
            <w:rStyle w:val="Hyperlink"/>
            <w:noProof/>
          </w:rPr>
          <w:t>Z 07.01.2 FUNC 1 LEN</w:t>
        </w:r>
        <w:r>
          <w:rPr>
            <w:noProof/>
            <w:webHidden/>
          </w:rPr>
          <w:tab/>
        </w:r>
        <w:r>
          <w:rPr>
            <w:noProof/>
            <w:webHidden/>
          </w:rPr>
          <w:fldChar w:fldCharType="begin"/>
        </w:r>
        <w:r>
          <w:rPr>
            <w:noProof/>
            <w:webHidden/>
          </w:rPr>
          <w:instrText xml:space="preserve"> PAGEREF _Toc208244464 \h </w:instrText>
        </w:r>
        <w:r>
          <w:rPr>
            <w:noProof/>
            <w:webHidden/>
          </w:rPr>
        </w:r>
        <w:r>
          <w:rPr>
            <w:noProof/>
            <w:webHidden/>
          </w:rPr>
          <w:fldChar w:fldCharType="separate"/>
        </w:r>
        <w:r>
          <w:rPr>
            <w:noProof/>
            <w:webHidden/>
          </w:rPr>
          <w:t>45</w:t>
        </w:r>
        <w:r>
          <w:rPr>
            <w:noProof/>
            <w:webHidden/>
          </w:rPr>
          <w:fldChar w:fldCharType="end"/>
        </w:r>
      </w:hyperlink>
    </w:p>
    <w:p w14:paraId="67A2A8DF" w14:textId="5BD297B9" w:rsidR="00E40776" w:rsidRDefault="00E40776">
      <w:pPr>
        <w:pStyle w:val="TOC2"/>
        <w:rPr>
          <w:noProof/>
          <w:kern w:val="2"/>
          <w:sz w:val="24"/>
          <w:szCs w:val="24"/>
          <w:lang w:val="en-GB"/>
          <w14:ligatures w14:val="standardContextual"/>
        </w:rPr>
      </w:pPr>
      <w:hyperlink w:anchor="_Toc208244465" w:history="1">
        <w:r w:rsidRPr="00634116">
          <w:rPr>
            <w:rStyle w:val="Hyperlink"/>
            <w:noProof/>
          </w:rPr>
          <w:t>II.15</w:t>
        </w:r>
        <w:r>
          <w:rPr>
            <w:noProof/>
            <w:kern w:val="2"/>
            <w:sz w:val="24"/>
            <w:szCs w:val="24"/>
            <w:lang w:val="en-GB"/>
            <w14:ligatures w14:val="standardContextual"/>
          </w:rPr>
          <w:tab/>
        </w:r>
        <w:r w:rsidRPr="00634116">
          <w:rPr>
            <w:rStyle w:val="Hyperlink"/>
            <w:noProof/>
          </w:rPr>
          <w:t>Z 07.01.3 FUNC 1 ЗАПЛАТА</w:t>
        </w:r>
        <w:r>
          <w:rPr>
            <w:noProof/>
            <w:webHidden/>
          </w:rPr>
          <w:tab/>
        </w:r>
        <w:r>
          <w:rPr>
            <w:noProof/>
            <w:webHidden/>
          </w:rPr>
          <w:fldChar w:fldCharType="begin"/>
        </w:r>
        <w:r>
          <w:rPr>
            <w:noProof/>
            <w:webHidden/>
          </w:rPr>
          <w:instrText xml:space="preserve"> PAGEREF _Toc208244465 \h </w:instrText>
        </w:r>
        <w:r>
          <w:rPr>
            <w:noProof/>
            <w:webHidden/>
          </w:rPr>
        </w:r>
        <w:r>
          <w:rPr>
            <w:noProof/>
            <w:webHidden/>
          </w:rPr>
          <w:fldChar w:fldCharType="separate"/>
        </w:r>
        <w:r>
          <w:rPr>
            <w:noProof/>
            <w:webHidden/>
          </w:rPr>
          <w:t>50</w:t>
        </w:r>
        <w:r>
          <w:rPr>
            <w:noProof/>
            <w:webHidden/>
          </w:rPr>
          <w:fldChar w:fldCharType="end"/>
        </w:r>
      </w:hyperlink>
    </w:p>
    <w:p w14:paraId="66355132" w14:textId="3D45C7EE" w:rsidR="00E40776" w:rsidRDefault="00E40776">
      <w:pPr>
        <w:pStyle w:val="TOC2"/>
        <w:rPr>
          <w:noProof/>
          <w:kern w:val="2"/>
          <w:sz w:val="24"/>
          <w:szCs w:val="24"/>
          <w:lang w:val="en-GB"/>
          <w14:ligatures w14:val="standardContextual"/>
        </w:rPr>
      </w:pPr>
      <w:hyperlink w:anchor="_Toc208244466" w:history="1">
        <w:r w:rsidRPr="00634116">
          <w:rPr>
            <w:rStyle w:val="Hyperlink"/>
            <w:noProof/>
          </w:rPr>
          <w:t>II.13</w:t>
        </w:r>
        <w:r>
          <w:rPr>
            <w:noProof/>
            <w:kern w:val="2"/>
            <w:sz w:val="24"/>
            <w:szCs w:val="24"/>
            <w:lang w:val="en-GB"/>
            <w14:ligatures w14:val="standardContextual"/>
          </w:rPr>
          <w:tab/>
        </w:r>
        <w:r w:rsidRPr="00634116">
          <w:rPr>
            <w:rStyle w:val="Hyperlink"/>
            <w:noProof/>
          </w:rPr>
          <w:t>Z 07.01.4 FUNC 1 CM</w:t>
        </w:r>
        <w:r>
          <w:rPr>
            <w:noProof/>
            <w:webHidden/>
          </w:rPr>
          <w:tab/>
        </w:r>
        <w:r>
          <w:rPr>
            <w:noProof/>
            <w:webHidden/>
          </w:rPr>
          <w:fldChar w:fldCharType="begin"/>
        </w:r>
        <w:r>
          <w:rPr>
            <w:noProof/>
            <w:webHidden/>
          </w:rPr>
          <w:instrText xml:space="preserve"> PAGEREF _Toc208244466 \h </w:instrText>
        </w:r>
        <w:r>
          <w:rPr>
            <w:noProof/>
            <w:webHidden/>
          </w:rPr>
        </w:r>
        <w:r>
          <w:rPr>
            <w:noProof/>
            <w:webHidden/>
          </w:rPr>
          <w:fldChar w:fldCharType="separate"/>
        </w:r>
        <w:r>
          <w:rPr>
            <w:noProof/>
            <w:webHidden/>
          </w:rPr>
          <w:t>57</w:t>
        </w:r>
        <w:r>
          <w:rPr>
            <w:noProof/>
            <w:webHidden/>
          </w:rPr>
          <w:fldChar w:fldCharType="end"/>
        </w:r>
      </w:hyperlink>
    </w:p>
    <w:p w14:paraId="2678D15E" w14:textId="4A1296FA" w:rsidR="00E40776" w:rsidRDefault="00E40776">
      <w:pPr>
        <w:pStyle w:val="TOC2"/>
        <w:rPr>
          <w:noProof/>
          <w:kern w:val="2"/>
          <w:sz w:val="24"/>
          <w:szCs w:val="24"/>
          <w:lang w:val="en-GB"/>
          <w14:ligatures w14:val="standardContextual"/>
        </w:rPr>
      </w:pPr>
      <w:hyperlink w:anchor="_Toc208244467" w:history="1">
        <w:r w:rsidRPr="00634116">
          <w:rPr>
            <w:rStyle w:val="Hyperlink"/>
            <w:noProof/>
          </w:rPr>
          <w:t>II.13</w:t>
        </w:r>
        <w:r>
          <w:rPr>
            <w:noProof/>
            <w:kern w:val="2"/>
            <w:sz w:val="24"/>
            <w:szCs w:val="24"/>
            <w:lang w:val="en-GB"/>
            <w14:ligatures w14:val="standardContextual"/>
          </w:rPr>
          <w:tab/>
        </w:r>
        <w:r w:rsidRPr="00634116">
          <w:rPr>
            <w:rStyle w:val="Hyperlink"/>
            <w:noProof/>
          </w:rPr>
          <w:t>Z 07.01.5 FUNC 1 WF</w:t>
        </w:r>
        <w:r>
          <w:rPr>
            <w:noProof/>
            <w:webHidden/>
          </w:rPr>
          <w:tab/>
        </w:r>
        <w:r>
          <w:rPr>
            <w:noProof/>
            <w:webHidden/>
          </w:rPr>
          <w:fldChar w:fldCharType="begin"/>
        </w:r>
        <w:r>
          <w:rPr>
            <w:noProof/>
            <w:webHidden/>
          </w:rPr>
          <w:instrText xml:space="preserve"> PAGEREF _Toc208244467 \h </w:instrText>
        </w:r>
        <w:r>
          <w:rPr>
            <w:noProof/>
            <w:webHidden/>
          </w:rPr>
        </w:r>
        <w:r>
          <w:rPr>
            <w:noProof/>
            <w:webHidden/>
          </w:rPr>
          <w:fldChar w:fldCharType="separate"/>
        </w:r>
        <w:r>
          <w:rPr>
            <w:noProof/>
            <w:webHidden/>
          </w:rPr>
          <w:t>62</w:t>
        </w:r>
        <w:r>
          <w:rPr>
            <w:noProof/>
            <w:webHidden/>
          </w:rPr>
          <w:fldChar w:fldCharType="end"/>
        </w:r>
      </w:hyperlink>
    </w:p>
    <w:p w14:paraId="0404D3B3" w14:textId="4188C536" w:rsidR="00E40776" w:rsidRDefault="00E40776">
      <w:pPr>
        <w:pStyle w:val="TOC2"/>
        <w:rPr>
          <w:noProof/>
          <w:kern w:val="2"/>
          <w:sz w:val="24"/>
          <w:szCs w:val="24"/>
          <w:lang w:val="en-GB"/>
          <w14:ligatures w14:val="standardContextual"/>
        </w:rPr>
      </w:pPr>
      <w:hyperlink w:anchor="_Toc208244468" w:history="1">
        <w:r w:rsidRPr="00634116">
          <w:rPr>
            <w:rStyle w:val="Hyperlink"/>
            <w:noProof/>
          </w:rPr>
          <w:t>II.16</w:t>
        </w:r>
        <w:r>
          <w:rPr>
            <w:noProof/>
            <w:kern w:val="2"/>
            <w:sz w:val="24"/>
            <w:szCs w:val="24"/>
            <w:lang w:val="en-GB"/>
            <w14:ligatures w14:val="standardContextual"/>
          </w:rPr>
          <w:tab/>
        </w:r>
        <w:r w:rsidRPr="00634116">
          <w:rPr>
            <w:rStyle w:val="Hyperlink"/>
            <w:noProof/>
          </w:rPr>
          <w:t>Z 07.02 — Онагледяване на икономическите функции по правни субекти (FUNC 2)</w:t>
        </w:r>
        <w:r>
          <w:rPr>
            <w:noProof/>
            <w:webHidden/>
          </w:rPr>
          <w:tab/>
        </w:r>
        <w:r>
          <w:rPr>
            <w:noProof/>
            <w:webHidden/>
          </w:rPr>
          <w:fldChar w:fldCharType="begin"/>
        </w:r>
        <w:r>
          <w:rPr>
            <w:noProof/>
            <w:webHidden/>
          </w:rPr>
          <w:instrText xml:space="preserve"> PAGEREF _Toc208244468 \h </w:instrText>
        </w:r>
        <w:r>
          <w:rPr>
            <w:noProof/>
            <w:webHidden/>
          </w:rPr>
        </w:r>
        <w:r>
          <w:rPr>
            <w:noProof/>
            <w:webHidden/>
          </w:rPr>
          <w:fldChar w:fldCharType="separate"/>
        </w:r>
        <w:r>
          <w:rPr>
            <w:noProof/>
            <w:webHidden/>
          </w:rPr>
          <w:t>67</w:t>
        </w:r>
        <w:r>
          <w:rPr>
            <w:noProof/>
            <w:webHidden/>
          </w:rPr>
          <w:fldChar w:fldCharType="end"/>
        </w:r>
      </w:hyperlink>
    </w:p>
    <w:p w14:paraId="483A379E" w14:textId="755F3F2A" w:rsidR="00E40776" w:rsidRDefault="00E40776">
      <w:pPr>
        <w:pStyle w:val="TOC2"/>
        <w:rPr>
          <w:noProof/>
          <w:kern w:val="2"/>
          <w:sz w:val="24"/>
          <w:szCs w:val="24"/>
          <w:lang w:val="en-GB"/>
          <w14:ligatures w14:val="standardContextual"/>
        </w:rPr>
      </w:pPr>
      <w:hyperlink w:anchor="_Toc208244469" w:history="1">
        <w:r w:rsidRPr="00634116">
          <w:rPr>
            <w:rStyle w:val="Hyperlink"/>
            <w:noProof/>
          </w:rPr>
          <w:t>II.17</w:t>
        </w:r>
        <w:r>
          <w:rPr>
            <w:noProof/>
            <w:kern w:val="2"/>
            <w:sz w:val="24"/>
            <w:szCs w:val="24"/>
            <w:lang w:val="en-GB"/>
            <w14:ligatures w14:val="standardContextual"/>
          </w:rPr>
          <w:tab/>
        </w:r>
        <w:r w:rsidRPr="00634116">
          <w:rPr>
            <w:rStyle w:val="Hyperlink"/>
            <w:noProof/>
          </w:rPr>
          <w:t>Z 07.03 — Онагледяване на основните стопански дейности по правни субекти (FUNC 3)</w:t>
        </w:r>
        <w:r>
          <w:rPr>
            <w:noProof/>
            <w:webHidden/>
          </w:rPr>
          <w:tab/>
        </w:r>
        <w:r>
          <w:rPr>
            <w:noProof/>
            <w:webHidden/>
          </w:rPr>
          <w:fldChar w:fldCharType="begin"/>
        </w:r>
        <w:r>
          <w:rPr>
            <w:noProof/>
            <w:webHidden/>
          </w:rPr>
          <w:instrText xml:space="preserve"> PAGEREF _Toc208244469 \h </w:instrText>
        </w:r>
        <w:r>
          <w:rPr>
            <w:noProof/>
            <w:webHidden/>
          </w:rPr>
        </w:r>
        <w:r>
          <w:rPr>
            <w:noProof/>
            <w:webHidden/>
          </w:rPr>
          <w:fldChar w:fldCharType="separate"/>
        </w:r>
        <w:r>
          <w:rPr>
            <w:noProof/>
            <w:webHidden/>
          </w:rPr>
          <w:t>68</w:t>
        </w:r>
        <w:r>
          <w:rPr>
            <w:noProof/>
            <w:webHidden/>
          </w:rPr>
          <w:fldChar w:fldCharType="end"/>
        </w:r>
      </w:hyperlink>
    </w:p>
    <w:p w14:paraId="7C748E13" w14:textId="493D8EA6" w:rsidR="00E40776" w:rsidRDefault="00E40776">
      <w:pPr>
        <w:pStyle w:val="TOC2"/>
        <w:rPr>
          <w:noProof/>
          <w:kern w:val="2"/>
          <w:sz w:val="24"/>
          <w:szCs w:val="24"/>
          <w:lang w:val="en-GB"/>
          <w14:ligatures w14:val="standardContextual"/>
        </w:rPr>
      </w:pPr>
      <w:hyperlink w:anchor="_Toc208244470" w:history="1">
        <w:r w:rsidRPr="00634116">
          <w:rPr>
            <w:rStyle w:val="Hyperlink"/>
            <w:noProof/>
          </w:rPr>
          <w:t>II.18</w:t>
        </w:r>
        <w:r>
          <w:rPr>
            <w:noProof/>
            <w:kern w:val="2"/>
            <w:sz w:val="24"/>
            <w:szCs w:val="24"/>
            <w:lang w:val="en-GB"/>
            <w14:ligatures w14:val="standardContextual"/>
          </w:rPr>
          <w:tab/>
        </w:r>
        <w:r w:rsidRPr="00634116">
          <w:rPr>
            <w:rStyle w:val="Hyperlink"/>
            <w:noProof/>
          </w:rPr>
          <w:t>Z 07.04 — Онагледяване на критичните функции на основните стопански дейности (FUNC 4)</w:t>
        </w:r>
        <w:r>
          <w:rPr>
            <w:noProof/>
            <w:webHidden/>
          </w:rPr>
          <w:tab/>
        </w:r>
        <w:r>
          <w:rPr>
            <w:noProof/>
            <w:webHidden/>
          </w:rPr>
          <w:fldChar w:fldCharType="begin"/>
        </w:r>
        <w:r>
          <w:rPr>
            <w:noProof/>
            <w:webHidden/>
          </w:rPr>
          <w:instrText xml:space="preserve"> PAGEREF _Toc208244470 \h </w:instrText>
        </w:r>
        <w:r>
          <w:rPr>
            <w:noProof/>
            <w:webHidden/>
          </w:rPr>
        </w:r>
        <w:r>
          <w:rPr>
            <w:noProof/>
            <w:webHidden/>
          </w:rPr>
          <w:fldChar w:fldCharType="separate"/>
        </w:r>
        <w:r>
          <w:rPr>
            <w:noProof/>
            <w:webHidden/>
          </w:rPr>
          <w:t>70</w:t>
        </w:r>
        <w:r>
          <w:rPr>
            <w:noProof/>
            <w:webHidden/>
          </w:rPr>
          <w:fldChar w:fldCharType="end"/>
        </w:r>
      </w:hyperlink>
    </w:p>
    <w:p w14:paraId="1E7B5B67" w14:textId="790E7045" w:rsidR="00E40776" w:rsidRDefault="00E40776">
      <w:pPr>
        <w:pStyle w:val="TOC2"/>
        <w:rPr>
          <w:noProof/>
          <w:kern w:val="2"/>
          <w:sz w:val="24"/>
          <w:szCs w:val="24"/>
          <w:lang w:val="en-GB"/>
          <w14:ligatures w14:val="standardContextual"/>
        </w:rPr>
      </w:pPr>
      <w:hyperlink w:anchor="_Toc208244471" w:history="1">
        <w:r w:rsidRPr="00634116">
          <w:rPr>
            <w:rStyle w:val="Hyperlink"/>
            <w:noProof/>
          </w:rPr>
          <w:t>II.19</w:t>
        </w:r>
        <w:r>
          <w:rPr>
            <w:noProof/>
            <w:kern w:val="2"/>
            <w:sz w:val="24"/>
            <w:szCs w:val="24"/>
            <w:lang w:val="en-GB"/>
            <w14:ligatures w14:val="standardContextual"/>
          </w:rPr>
          <w:tab/>
        </w:r>
        <w:r w:rsidRPr="00634116">
          <w:rPr>
            <w:rStyle w:val="Hyperlink"/>
            <w:noProof/>
          </w:rPr>
          <w:t>Съответни услуги</w:t>
        </w:r>
        <w:r>
          <w:rPr>
            <w:noProof/>
            <w:webHidden/>
          </w:rPr>
          <w:tab/>
        </w:r>
        <w:r>
          <w:rPr>
            <w:noProof/>
            <w:webHidden/>
          </w:rPr>
          <w:fldChar w:fldCharType="begin"/>
        </w:r>
        <w:r>
          <w:rPr>
            <w:noProof/>
            <w:webHidden/>
          </w:rPr>
          <w:instrText xml:space="preserve"> PAGEREF _Toc208244471 \h </w:instrText>
        </w:r>
        <w:r>
          <w:rPr>
            <w:noProof/>
            <w:webHidden/>
          </w:rPr>
        </w:r>
        <w:r>
          <w:rPr>
            <w:noProof/>
            <w:webHidden/>
          </w:rPr>
          <w:fldChar w:fldCharType="separate"/>
        </w:r>
        <w:r>
          <w:rPr>
            <w:noProof/>
            <w:webHidden/>
          </w:rPr>
          <w:t>70</w:t>
        </w:r>
        <w:r>
          <w:rPr>
            <w:noProof/>
            <w:webHidden/>
          </w:rPr>
          <w:fldChar w:fldCharType="end"/>
        </w:r>
      </w:hyperlink>
    </w:p>
    <w:p w14:paraId="7D6E327D" w14:textId="2EB2918B" w:rsidR="00E40776" w:rsidRDefault="00E40776">
      <w:pPr>
        <w:pStyle w:val="TOC2"/>
        <w:rPr>
          <w:noProof/>
          <w:kern w:val="2"/>
          <w:sz w:val="24"/>
          <w:szCs w:val="24"/>
          <w:lang w:val="en-GB"/>
          <w14:ligatures w14:val="standardContextual"/>
        </w:rPr>
      </w:pPr>
      <w:hyperlink w:anchor="_Toc208244472" w:history="1">
        <w:r w:rsidRPr="00634116">
          <w:rPr>
            <w:rStyle w:val="Hyperlink"/>
            <w:rFonts w:eastAsia="Calibri"/>
            <w:noProof/>
          </w:rPr>
          <w:t>II.20</w:t>
        </w:r>
        <w:r>
          <w:rPr>
            <w:noProof/>
            <w:kern w:val="2"/>
            <w:sz w:val="24"/>
            <w:szCs w:val="24"/>
            <w:lang w:val="en-GB"/>
            <w14:ligatures w14:val="standardContextual"/>
          </w:rPr>
          <w:tab/>
        </w:r>
        <w:r w:rsidRPr="00634116">
          <w:rPr>
            <w:rStyle w:val="Hyperlink"/>
            <w:noProof/>
          </w:rPr>
          <w:t>Z 08.01— Релевантни услуги (SERV 1)</w:t>
        </w:r>
        <w:r>
          <w:rPr>
            <w:noProof/>
            <w:webHidden/>
          </w:rPr>
          <w:tab/>
        </w:r>
        <w:r>
          <w:rPr>
            <w:noProof/>
            <w:webHidden/>
          </w:rPr>
          <w:fldChar w:fldCharType="begin"/>
        </w:r>
        <w:r>
          <w:rPr>
            <w:noProof/>
            <w:webHidden/>
          </w:rPr>
          <w:instrText xml:space="preserve"> PAGEREF _Toc208244472 \h </w:instrText>
        </w:r>
        <w:r>
          <w:rPr>
            <w:noProof/>
            <w:webHidden/>
          </w:rPr>
        </w:r>
        <w:r>
          <w:rPr>
            <w:noProof/>
            <w:webHidden/>
          </w:rPr>
          <w:fldChar w:fldCharType="separate"/>
        </w:r>
        <w:r>
          <w:rPr>
            <w:noProof/>
            <w:webHidden/>
          </w:rPr>
          <w:t>70</w:t>
        </w:r>
        <w:r>
          <w:rPr>
            <w:noProof/>
            <w:webHidden/>
          </w:rPr>
          <w:fldChar w:fldCharType="end"/>
        </w:r>
      </w:hyperlink>
    </w:p>
    <w:p w14:paraId="0793EED5" w14:textId="1F999B66" w:rsidR="00E40776" w:rsidRDefault="00E40776">
      <w:pPr>
        <w:pStyle w:val="TOC2"/>
        <w:rPr>
          <w:noProof/>
          <w:kern w:val="2"/>
          <w:sz w:val="24"/>
          <w:szCs w:val="24"/>
          <w:lang w:val="en-GB"/>
          <w14:ligatures w14:val="standardContextual"/>
        </w:rPr>
      </w:pPr>
      <w:hyperlink w:anchor="_Toc208244473" w:history="1">
        <w:r w:rsidRPr="00634116">
          <w:rPr>
            <w:rStyle w:val="Hyperlink"/>
            <w:noProof/>
          </w:rPr>
          <w:t>II.21</w:t>
        </w:r>
        <w:r>
          <w:rPr>
            <w:noProof/>
            <w:kern w:val="2"/>
            <w:sz w:val="24"/>
            <w:szCs w:val="24"/>
            <w:lang w:val="en-GB"/>
            <w14:ligatures w14:val="standardContextual"/>
          </w:rPr>
          <w:tab/>
        </w:r>
        <w:r w:rsidRPr="00634116">
          <w:rPr>
            <w:rStyle w:val="Hyperlink"/>
            <w:noProof/>
          </w:rPr>
          <w:t>Z 08.02 — Съответни услуги — съотнасяне към оперативните активи (SERV 2)</w:t>
        </w:r>
        <w:r>
          <w:rPr>
            <w:noProof/>
            <w:webHidden/>
          </w:rPr>
          <w:tab/>
        </w:r>
        <w:r>
          <w:rPr>
            <w:noProof/>
            <w:webHidden/>
          </w:rPr>
          <w:fldChar w:fldCharType="begin"/>
        </w:r>
        <w:r>
          <w:rPr>
            <w:noProof/>
            <w:webHidden/>
          </w:rPr>
          <w:instrText xml:space="preserve"> PAGEREF _Toc208244473 \h </w:instrText>
        </w:r>
        <w:r>
          <w:rPr>
            <w:noProof/>
            <w:webHidden/>
          </w:rPr>
        </w:r>
        <w:r>
          <w:rPr>
            <w:noProof/>
            <w:webHidden/>
          </w:rPr>
          <w:fldChar w:fldCharType="separate"/>
        </w:r>
        <w:r>
          <w:rPr>
            <w:noProof/>
            <w:webHidden/>
          </w:rPr>
          <w:t>77</w:t>
        </w:r>
        <w:r>
          <w:rPr>
            <w:noProof/>
            <w:webHidden/>
          </w:rPr>
          <w:fldChar w:fldCharType="end"/>
        </w:r>
      </w:hyperlink>
    </w:p>
    <w:p w14:paraId="513E19F3" w14:textId="7827CD4A" w:rsidR="00E40776" w:rsidRDefault="00E40776">
      <w:pPr>
        <w:pStyle w:val="TOC2"/>
        <w:rPr>
          <w:noProof/>
          <w:kern w:val="2"/>
          <w:sz w:val="24"/>
          <w:szCs w:val="24"/>
          <w:lang w:val="en-GB"/>
          <w14:ligatures w14:val="standardContextual"/>
        </w:rPr>
      </w:pPr>
      <w:hyperlink w:anchor="_Toc208244474" w:history="1">
        <w:r w:rsidRPr="00634116">
          <w:rPr>
            <w:rStyle w:val="Hyperlink"/>
            <w:rFonts w:eastAsia="Calibri"/>
            <w:noProof/>
          </w:rPr>
          <w:t>II.22</w:t>
        </w:r>
        <w:r>
          <w:rPr>
            <w:noProof/>
            <w:kern w:val="2"/>
            <w:sz w:val="24"/>
            <w:szCs w:val="24"/>
            <w:lang w:val="en-GB"/>
            <w14:ligatures w14:val="standardContextual"/>
          </w:rPr>
          <w:tab/>
        </w:r>
        <w:r w:rsidRPr="00634116">
          <w:rPr>
            <w:rStyle w:val="Hyperlink"/>
            <w:noProof/>
          </w:rPr>
          <w:t>Z 08.03 — Съответни услуги — картографиране на ролите (SERV 3)</w:t>
        </w:r>
        <w:r>
          <w:rPr>
            <w:noProof/>
            <w:webHidden/>
          </w:rPr>
          <w:tab/>
        </w:r>
        <w:r>
          <w:rPr>
            <w:noProof/>
            <w:webHidden/>
          </w:rPr>
          <w:fldChar w:fldCharType="begin"/>
        </w:r>
        <w:r>
          <w:rPr>
            <w:noProof/>
            <w:webHidden/>
          </w:rPr>
          <w:instrText xml:space="preserve"> PAGEREF _Toc208244474 \h </w:instrText>
        </w:r>
        <w:r>
          <w:rPr>
            <w:noProof/>
            <w:webHidden/>
          </w:rPr>
        </w:r>
        <w:r>
          <w:rPr>
            <w:noProof/>
            <w:webHidden/>
          </w:rPr>
          <w:fldChar w:fldCharType="separate"/>
        </w:r>
        <w:r>
          <w:rPr>
            <w:noProof/>
            <w:webHidden/>
          </w:rPr>
          <w:t>80</w:t>
        </w:r>
        <w:r>
          <w:rPr>
            <w:noProof/>
            <w:webHidden/>
          </w:rPr>
          <w:fldChar w:fldCharType="end"/>
        </w:r>
      </w:hyperlink>
    </w:p>
    <w:p w14:paraId="56765E6F" w14:textId="32E78CE9" w:rsidR="00E40776" w:rsidRDefault="00E40776">
      <w:pPr>
        <w:pStyle w:val="TOC2"/>
        <w:rPr>
          <w:noProof/>
          <w:kern w:val="2"/>
          <w:sz w:val="24"/>
          <w:szCs w:val="24"/>
          <w:lang w:val="en-GB"/>
          <w14:ligatures w14:val="standardContextual"/>
        </w:rPr>
      </w:pPr>
      <w:hyperlink w:anchor="_Toc208244475" w:history="1">
        <w:r w:rsidRPr="00634116">
          <w:rPr>
            <w:rStyle w:val="Hyperlink"/>
            <w:rFonts w:eastAsia="Calibri"/>
            <w:noProof/>
          </w:rPr>
          <w:t>II.23</w:t>
        </w:r>
        <w:r>
          <w:rPr>
            <w:noProof/>
            <w:kern w:val="2"/>
            <w:sz w:val="24"/>
            <w:szCs w:val="24"/>
            <w:lang w:val="en-GB"/>
            <w14:ligatures w14:val="standardContextual"/>
          </w:rPr>
          <w:tab/>
        </w:r>
        <w:r w:rsidRPr="00634116">
          <w:rPr>
            <w:rStyle w:val="Hyperlink"/>
            <w:noProof/>
          </w:rPr>
          <w:t>Z 08.04 — Критични услуги — картографиране на критичните функции (SERV 4)</w:t>
        </w:r>
        <w:r>
          <w:rPr>
            <w:noProof/>
            <w:webHidden/>
          </w:rPr>
          <w:tab/>
        </w:r>
        <w:r>
          <w:rPr>
            <w:noProof/>
            <w:webHidden/>
          </w:rPr>
          <w:fldChar w:fldCharType="begin"/>
        </w:r>
        <w:r>
          <w:rPr>
            <w:noProof/>
            <w:webHidden/>
          </w:rPr>
          <w:instrText xml:space="preserve"> PAGEREF _Toc208244475 \h </w:instrText>
        </w:r>
        <w:r>
          <w:rPr>
            <w:noProof/>
            <w:webHidden/>
          </w:rPr>
        </w:r>
        <w:r>
          <w:rPr>
            <w:noProof/>
            <w:webHidden/>
          </w:rPr>
          <w:fldChar w:fldCharType="separate"/>
        </w:r>
        <w:r>
          <w:rPr>
            <w:noProof/>
            <w:webHidden/>
          </w:rPr>
          <w:t>81</w:t>
        </w:r>
        <w:r>
          <w:rPr>
            <w:noProof/>
            <w:webHidden/>
          </w:rPr>
          <w:fldChar w:fldCharType="end"/>
        </w:r>
      </w:hyperlink>
    </w:p>
    <w:p w14:paraId="1611BC64" w14:textId="6E6D413A" w:rsidR="00E40776" w:rsidRDefault="00E40776">
      <w:pPr>
        <w:pStyle w:val="TOC2"/>
        <w:rPr>
          <w:noProof/>
          <w:kern w:val="2"/>
          <w:sz w:val="24"/>
          <w:szCs w:val="24"/>
          <w:lang w:val="en-GB"/>
          <w14:ligatures w14:val="standardContextual"/>
        </w:rPr>
      </w:pPr>
      <w:hyperlink w:anchor="_Toc208244476" w:history="1">
        <w:r w:rsidRPr="00634116">
          <w:rPr>
            <w:rStyle w:val="Hyperlink"/>
            <w:noProof/>
          </w:rPr>
          <w:t>Основни инструкции</w:t>
        </w:r>
        <w:r>
          <w:rPr>
            <w:noProof/>
            <w:webHidden/>
          </w:rPr>
          <w:tab/>
        </w:r>
        <w:r>
          <w:rPr>
            <w:noProof/>
            <w:webHidden/>
          </w:rPr>
          <w:fldChar w:fldCharType="begin"/>
        </w:r>
        <w:r>
          <w:rPr>
            <w:noProof/>
            <w:webHidden/>
          </w:rPr>
          <w:instrText xml:space="preserve"> PAGEREF _Toc208244476 \h </w:instrText>
        </w:r>
        <w:r>
          <w:rPr>
            <w:noProof/>
            <w:webHidden/>
          </w:rPr>
        </w:r>
        <w:r>
          <w:rPr>
            <w:noProof/>
            <w:webHidden/>
          </w:rPr>
          <w:fldChar w:fldCharType="separate"/>
        </w:r>
        <w:r>
          <w:rPr>
            <w:noProof/>
            <w:webHidden/>
          </w:rPr>
          <w:t>81</w:t>
        </w:r>
        <w:r>
          <w:rPr>
            <w:noProof/>
            <w:webHidden/>
          </w:rPr>
          <w:fldChar w:fldCharType="end"/>
        </w:r>
      </w:hyperlink>
    </w:p>
    <w:p w14:paraId="417509AA" w14:textId="0614E468" w:rsidR="00E40776" w:rsidRDefault="00E40776">
      <w:pPr>
        <w:pStyle w:val="TOC2"/>
        <w:rPr>
          <w:noProof/>
          <w:kern w:val="2"/>
          <w:sz w:val="24"/>
          <w:szCs w:val="24"/>
          <w:lang w:val="en-GB"/>
          <w14:ligatures w14:val="standardContextual"/>
        </w:rPr>
      </w:pPr>
      <w:hyperlink w:anchor="_Toc208244477" w:history="1">
        <w:r w:rsidRPr="00634116">
          <w:rPr>
            <w:rStyle w:val="Hyperlink"/>
            <w:rFonts w:eastAsia="Calibri"/>
            <w:noProof/>
          </w:rPr>
          <w:t>II.24</w:t>
        </w:r>
        <w:r>
          <w:rPr>
            <w:noProof/>
            <w:kern w:val="2"/>
            <w:sz w:val="24"/>
            <w:szCs w:val="24"/>
            <w:lang w:val="en-GB"/>
            <w14:ligatures w14:val="standardContextual"/>
          </w:rPr>
          <w:tab/>
        </w:r>
        <w:r w:rsidRPr="00634116">
          <w:rPr>
            <w:rStyle w:val="Hyperlink"/>
            <w:noProof/>
          </w:rPr>
          <w:t>Z 08.05 — Основни услуги — картографиране по основни стопански дейности (SERV 5)</w:t>
        </w:r>
        <w:r>
          <w:rPr>
            <w:noProof/>
            <w:webHidden/>
          </w:rPr>
          <w:tab/>
        </w:r>
        <w:r>
          <w:rPr>
            <w:noProof/>
            <w:webHidden/>
          </w:rPr>
          <w:fldChar w:fldCharType="begin"/>
        </w:r>
        <w:r>
          <w:rPr>
            <w:noProof/>
            <w:webHidden/>
          </w:rPr>
          <w:instrText xml:space="preserve"> PAGEREF _Toc208244477 \h </w:instrText>
        </w:r>
        <w:r>
          <w:rPr>
            <w:noProof/>
            <w:webHidden/>
          </w:rPr>
        </w:r>
        <w:r>
          <w:rPr>
            <w:noProof/>
            <w:webHidden/>
          </w:rPr>
          <w:fldChar w:fldCharType="separate"/>
        </w:r>
        <w:r>
          <w:rPr>
            <w:noProof/>
            <w:webHidden/>
          </w:rPr>
          <w:t>82</w:t>
        </w:r>
        <w:r>
          <w:rPr>
            <w:noProof/>
            <w:webHidden/>
          </w:rPr>
          <w:fldChar w:fldCharType="end"/>
        </w:r>
      </w:hyperlink>
    </w:p>
    <w:p w14:paraId="4200A795" w14:textId="73369DF1" w:rsidR="00E40776" w:rsidRDefault="00E40776">
      <w:pPr>
        <w:pStyle w:val="TOC2"/>
        <w:rPr>
          <w:noProof/>
          <w:kern w:val="2"/>
          <w:sz w:val="24"/>
          <w:szCs w:val="24"/>
          <w:lang w:val="en-GB"/>
          <w14:ligatures w14:val="standardContextual"/>
        </w:rPr>
      </w:pPr>
      <w:hyperlink w:anchor="_Toc208244478" w:history="1">
        <w:r w:rsidRPr="00634116">
          <w:rPr>
            <w:rStyle w:val="Hyperlink"/>
            <w:noProof/>
          </w:rPr>
          <w:t>II.25</w:t>
        </w:r>
        <w:r>
          <w:rPr>
            <w:noProof/>
            <w:kern w:val="2"/>
            <w:sz w:val="24"/>
            <w:szCs w:val="24"/>
            <w:lang w:val="en-GB"/>
            <w14:ligatures w14:val="standardContextual"/>
          </w:rPr>
          <w:tab/>
        </w:r>
        <w:r w:rsidRPr="00634116">
          <w:rPr>
            <w:rStyle w:val="Hyperlink"/>
            <w:noProof/>
          </w:rPr>
          <w:t>Услуги на FMI</w:t>
        </w:r>
        <w:r>
          <w:rPr>
            <w:noProof/>
            <w:webHidden/>
          </w:rPr>
          <w:tab/>
        </w:r>
        <w:r>
          <w:rPr>
            <w:noProof/>
            <w:webHidden/>
          </w:rPr>
          <w:fldChar w:fldCharType="begin"/>
        </w:r>
        <w:r>
          <w:rPr>
            <w:noProof/>
            <w:webHidden/>
          </w:rPr>
          <w:instrText xml:space="preserve"> PAGEREF _Toc208244478 \h </w:instrText>
        </w:r>
        <w:r>
          <w:rPr>
            <w:noProof/>
            <w:webHidden/>
          </w:rPr>
        </w:r>
        <w:r>
          <w:rPr>
            <w:noProof/>
            <w:webHidden/>
          </w:rPr>
          <w:fldChar w:fldCharType="separate"/>
        </w:r>
        <w:r>
          <w:rPr>
            <w:noProof/>
            <w:webHidden/>
          </w:rPr>
          <w:t>83</w:t>
        </w:r>
        <w:r>
          <w:rPr>
            <w:noProof/>
            <w:webHidden/>
          </w:rPr>
          <w:fldChar w:fldCharType="end"/>
        </w:r>
      </w:hyperlink>
    </w:p>
    <w:p w14:paraId="2E29DD64" w14:textId="31028CE5" w:rsidR="00E40776" w:rsidRDefault="00E40776">
      <w:pPr>
        <w:pStyle w:val="TOC2"/>
        <w:rPr>
          <w:noProof/>
          <w:kern w:val="2"/>
          <w:sz w:val="24"/>
          <w:szCs w:val="24"/>
          <w:lang w:val="en-GB"/>
          <w14:ligatures w14:val="standardContextual"/>
        </w:rPr>
      </w:pPr>
      <w:hyperlink w:anchor="_Toc208244479" w:history="1">
        <w:r w:rsidRPr="00634116">
          <w:rPr>
            <w:rStyle w:val="Hyperlink"/>
            <w:noProof/>
          </w:rPr>
          <w:t>II.26</w:t>
        </w:r>
        <w:r>
          <w:rPr>
            <w:noProof/>
            <w:kern w:val="2"/>
            <w:sz w:val="24"/>
            <w:szCs w:val="24"/>
            <w:lang w:val="en-GB"/>
            <w14:ligatures w14:val="standardContextual"/>
          </w:rPr>
          <w:tab/>
        </w:r>
        <w:r w:rsidRPr="00634116">
          <w:rPr>
            <w:rStyle w:val="Hyperlink"/>
            <w:noProof/>
          </w:rPr>
          <w:t>Z 09.01 — Услуги, свързани с ИФП — Доставчици и потребители (ИФП 1)</w:t>
        </w:r>
        <w:r>
          <w:rPr>
            <w:noProof/>
            <w:webHidden/>
          </w:rPr>
          <w:tab/>
        </w:r>
        <w:r>
          <w:rPr>
            <w:noProof/>
            <w:webHidden/>
          </w:rPr>
          <w:fldChar w:fldCharType="begin"/>
        </w:r>
        <w:r>
          <w:rPr>
            <w:noProof/>
            <w:webHidden/>
          </w:rPr>
          <w:instrText xml:space="preserve"> PAGEREF _Toc208244479 \h </w:instrText>
        </w:r>
        <w:r>
          <w:rPr>
            <w:noProof/>
            <w:webHidden/>
          </w:rPr>
        </w:r>
        <w:r>
          <w:rPr>
            <w:noProof/>
            <w:webHidden/>
          </w:rPr>
          <w:fldChar w:fldCharType="separate"/>
        </w:r>
        <w:r>
          <w:rPr>
            <w:noProof/>
            <w:webHidden/>
          </w:rPr>
          <w:t>83</w:t>
        </w:r>
        <w:r>
          <w:rPr>
            <w:noProof/>
            <w:webHidden/>
          </w:rPr>
          <w:fldChar w:fldCharType="end"/>
        </w:r>
      </w:hyperlink>
    </w:p>
    <w:p w14:paraId="171F0C23" w14:textId="4C19ADA3" w:rsidR="00E40776" w:rsidRDefault="00E40776">
      <w:pPr>
        <w:pStyle w:val="TOC2"/>
        <w:rPr>
          <w:noProof/>
          <w:kern w:val="2"/>
          <w:sz w:val="24"/>
          <w:szCs w:val="24"/>
          <w:lang w:val="en-GB"/>
          <w14:ligatures w14:val="standardContextual"/>
        </w:rPr>
      </w:pPr>
      <w:hyperlink w:anchor="_Toc208244480" w:history="1">
        <w:r w:rsidRPr="00634116">
          <w:rPr>
            <w:rStyle w:val="Hyperlink"/>
            <w:rFonts w:eastAsia="Calibri"/>
            <w:noProof/>
          </w:rPr>
          <w:t>II.27</w:t>
        </w:r>
        <w:r>
          <w:rPr>
            <w:noProof/>
            <w:kern w:val="2"/>
            <w:sz w:val="24"/>
            <w:szCs w:val="24"/>
            <w:lang w:val="en-GB"/>
            <w14:ligatures w14:val="standardContextual"/>
          </w:rPr>
          <w:tab/>
        </w:r>
        <w:r w:rsidRPr="00634116">
          <w:rPr>
            <w:rStyle w:val="Hyperlink"/>
            <w:noProof/>
          </w:rPr>
          <w:t>Z 09.02 — Картографиране на критични и съществени ИФП (ИФП 2)</w:t>
        </w:r>
        <w:r>
          <w:rPr>
            <w:noProof/>
            <w:webHidden/>
          </w:rPr>
          <w:tab/>
        </w:r>
        <w:r>
          <w:rPr>
            <w:noProof/>
            <w:webHidden/>
          </w:rPr>
          <w:fldChar w:fldCharType="begin"/>
        </w:r>
        <w:r>
          <w:rPr>
            <w:noProof/>
            <w:webHidden/>
          </w:rPr>
          <w:instrText xml:space="preserve"> PAGEREF _Toc208244480 \h </w:instrText>
        </w:r>
        <w:r>
          <w:rPr>
            <w:noProof/>
            <w:webHidden/>
          </w:rPr>
        </w:r>
        <w:r>
          <w:rPr>
            <w:noProof/>
            <w:webHidden/>
          </w:rPr>
          <w:fldChar w:fldCharType="separate"/>
        </w:r>
        <w:r>
          <w:rPr>
            <w:noProof/>
            <w:webHidden/>
          </w:rPr>
          <w:t>87</w:t>
        </w:r>
        <w:r>
          <w:rPr>
            <w:noProof/>
            <w:webHidden/>
          </w:rPr>
          <w:fldChar w:fldCharType="end"/>
        </w:r>
      </w:hyperlink>
    </w:p>
    <w:p w14:paraId="1D216725" w14:textId="4A3051CC" w:rsidR="00E40776" w:rsidRDefault="00E40776">
      <w:pPr>
        <w:pStyle w:val="TOC2"/>
        <w:rPr>
          <w:noProof/>
          <w:kern w:val="2"/>
          <w:sz w:val="24"/>
          <w:szCs w:val="24"/>
          <w:lang w:val="en-GB"/>
          <w14:ligatures w14:val="standardContextual"/>
        </w:rPr>
      </w:pPr>
      <w:hyperlink w:anchor="_Toc208244481" w:history="1">
        <w:r w:rsidRPr="00634116">
          <w:rPr>
            <w:rStyle w:val="Hyperlink"/>
            <w:noProof/>
          </w:rPr>
          <w:t>II.28</w:t>
        </w:r>
        <w:r>
          <w:rPr>
            <w:noProof/>
            <w:kern w:val="2"/>
            <w:sz w:val="24"/>
            <w:szCs w:val="24"/>
            <w:lang w:val="en-GB"/>
            <w14:ligatures w14:val="standardContextual"/>
          </w:rPr>
          <w:tab/>
        </w:r>
        <w:r w:rsidRPr="00634116">
          <w:rPr>
            <w:rStyle w:val="Hyperlink"/>
            <w:noProof/>
          </w:rPr>
          <w:t>Z 09.03 — Услуги на FMI — ключови показатели (FMI 3)</w:t>
        </w:r>
        <w:r>
          <w:rPr>
            <w:noProof/>
            <w:webHidden/>
          </w:rPr>
          <w:tab/>
        </w:r>
        <w:r>
          <w:rPr>
            <w:noProof/>
            <w:webHidden/>
          </w:rPr>
          <w:fldChar w:fldCharType="begin"/>
        </w:r>
        <w:r>
          <w:rPr>
            <w:noProof/>
            <w:webHidden/>
          </w:rPr>
          <w:instrText xml:space="preserve"> PAGEREF _Toc208244481 \h </w:instrText>
        </w:r>
        <w:r>
          <w:rPr>
            <w:noProof/>
            <w:webHidden/>
          </w:rPr>
        </w:r>
        <w:r>
          <w:rPr>
            <w:noProof/>
            <w:webHidden/>
          </w:rPr>
          <w:fldChar w:fldCharType="separate"/>
        </w:r>
        <w:r>
          <w:rPr>
            <w:noProof/>
            <w:webHidden/>
          </w:rPr>
          <w:t>89</w:t>
        </w:r>
        <w:r>
          <w:rPr>
            <w:noProof/>
            <w:webHidden/>
          </w:rPr>
          <w:fldChar w:fldCharType="end"/>
        </w:r>
      </w:hyperlink>
    </w:p>
    <w:p w14:paraId="257EB469" w14:textId="480E4302" w:rsidR="00E40776" w:rsidRDefault="00E40776">
      <w:pPr>
        <w:pStyle w:val="TOC2"/>
        <w:rPr>
          <w:noProof/>
          <w:kern w:val="2"/>
          <w:sz w:val="24"/>
          <w:szCs w:val="24"/>
          <w:lang w:val="en-GB"/>
          <w14:ligatures w14:val="standardContextual"/>
        </w:rPr>
      </w:pPr>
      <w:hyperlink w:anchor="_Toc208244482" w:history="1">
        <w:r w:rsidRPr="00634116">
          <w:rPr>
            <w:rStyle w:val="Hyperlink"/>
            <w:noProof/>
          </w:rPr>
          <w:t>II.29</w:t>
        </w:r>
        <w:r>
          <w:rPr>
            <w:noProof/>
            <w:kern w:val="2"/>
            <w:sz w:val="24"/>
            <w:szCs w:val="24"/>
            <w:lang w:val="en-GB"/>
            <w14:ligatures w14:val="standardContextual"/>
          </w:rPr>
          <w:tab/>
        </w:r>
        <w:r w:rsidRPr="00634116">
          <w:rPr>
            <w:rStyle w:val="Hyperlink"/>
            <w:noProof/>
          </w:rPr>
          <w:t>Z 09.04 — Услуги, свързани с ИФП — ЦК — алтернативни доставчици (ИФП 4)</w:t>
        </w:r>
        <w:r>
          <w:rPr>
            <w:noProof/>
            <w:webHidden/>
          </w:rPr>
          <w:tab/>
        </w:r>
        <w:r>
          <w:rPr>
            <w:noProof/>
            <w:webHidden/>
          </w:rPr>
          <w:fldChar w:fldCharType="begin"/>
        </w:r>
        <w:r>
          <w:rPr>
            <w:noProof/>
            <w:webHidden/>
          </w:rPr>
          <w:instrText xml:space="preserve"> PAGEREF _Toc208244482 \h </w:instrText>
        </w:r>
        <w:r>
          <w:rPr>
            <w:noProof/>
            <w:webHidden/>
          </w:rPr>
        </w:r>
        <w:r>
          <w:rPr>
            <w:noProof/>
            <w:webHidden/>
          </w:rPr>
          <w:fldChar w:fldCharType="separate"/>
        </w:r>
        <w:r>
          <w:rPr>
            <w:noProof/>
            <w:webHidden/>
          </w:rPr>
          <w:t>91</w:t>
        </w:r>
        <w:r>
          <w:rPr>
            <w:noProof/>
            <w:webHidden/>
          </w:rPr>
          <w:fldChar w:fldCharType="end"/>
        </w:r>
      </w:hyperlink>
    </w:p>
    <w:p w14:paraId="08DBDBF1" w14:textId="79BB5AE8" w:rsidR="00E40776" w:rsidRDefault="00E40776">
      <w:pPr>
        <w:pStyle w:val="TOC2"/>
        <w:rPr>
          <w:noProof/>
          <w:kern w:val="2"/>
          <w:sz w:val="24"/>
          <w:szCs w:val="24"/>
          <w:lang w:val="en-GB"/>
          <w14:ligatures w14:val="standardContextual"/>
        </w:rPr>
      </w:pPr>
      <w:hyperlink w:anchor="_Toc208244483" w:history="1">
        <w:r w:rsidRPr="00634116">
          <w:rPr>
            <w:rStyle w:val="Hyperlink"/>
            <w:noProof/>
          </w:rPr>
          <w:t>II.30</w:t>
        </w:r>
        <w:r>
          <w:rPr>
            <w:noProof/>
            <w:kern w:val="2"/>
            <w:sz w:val="24"/>
            <w:szCs w:val="24"/>
            <w:lang w:val="en-GB"/>
            <w14:ligatures w14:val="standardContextual"/>
          </w:rPr>
          <w:tab/>
        </w:r>
        <w:r w:rsidRPr="00634116">
          <w:rPr>
            <w:rStyle w:val="Hyperlink"/>
            <w:noProof/>
          </w:rPr>
          <w:t>Анализ на отговорността</w:t>
        </w:r>
        <w:r>
          <w:rPr>
            <w:noProof/>
            <w:webHidden/>
          </w:rPr>
          <w:tab/>
        </w:r>
        <w:r>
          <w:rPr>
            <w:noProof/>
            <w:webHidden/>
          </w:rPr>
          <w:fldChar w:fldCharType="begin"/>
        </w:r>
        <w:r>
          <w:rPr>
            <w:noProof/>
            <w:webHidden/>
          </w:rPr>
          <w:instrText xml:space="preserve"> PAGEREF _Toc208244483 \h </w:instrText>
        </w:r>
        <w:r>
          <w:rPr>
            <w:noProof/>
            <w:webHidden/>
          </w:rPr>
        </w:r>
        <w:r>
          <w:rPr>
            <w:noProof/>
            <w:webHidden/>
          </w:rPr>
          <w:fldChar w:fldCharType="separate"/>
        </w:r>
        <w:r>
          <w:rPr>
            <w:noProof/>
            <w:webHidden/>
          </w:rPr>
          <w:t>92</w:t>
        </w:r>
        <w:r>
          <w:rPr>
            <w:noProof/>
            <w:webHidden/>
          </w:rPr>
          <w:fldChar w:fldCharType="end"/>
        </w:r>
      </w:hyperlink>
    </w:p>
    <w:p w14:paraId="75915E13" w14:textId="1BDB7EDE" w:rsidR="00E40776" w:rsidRDefault="00E40776">
      <w:pPr>
        <w:pStyle w:val="TOC2"/>
        <w:rPr>
          <w:noProof/>
          <w:kern w:val="2"/>
          <w:sz w:val="24"/>
          <w:szCs w:val="24"/>
          <w:lang w:val="en-GB"/>
          <w14:ligatures w14:val="standardContextual"/>
        </w:rPr>
      </w:pPr>
      <w:hyperlink w:anchor="_Toc208244484" w:history="1">
        <w:r w:rsidRPr="00634116">
          <w:rPr>
            <w:rStyle w:val="Hyperlink"/>
            <w:rFonts w:ascii="Times New Roman" w:hAnsi="Times New Roman" w:cs="Times New Roman"/>
            <w:noProof/>
          </w:rPr>
          <w:t>II.31</w:t>
        </w:r>
        <w:r>
          <w:rPr>
            <w:noProof/>
            <w:kern w:val="2"/>
            <w:sz w:val="24"/>
            <w:szCs w:val="24"/>
            <w:lang w:val="en-GB"/>
            <w14:ligatures w14:val="standardContextual"/>
          </w:rPr>
          <w:tab/>
        </w:r>
        <w:r w:rsidRPr="00634116">
          <w:rPr>
            <w:rStyle w:val="Hyperlink"/>
            <w:rFonts w:ascii="Times New Roman" w:hAnsi="Times New Roman" w:cs="Times New Roman"/>
            <w:noProof/>
          </w:rPr>
          <w:t>Z 11.00 Пасиви в рамките на групата</w:t>
        </w:r>
        <w:r w:rsidRPr="00634116">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_Toc208244484 \h </w:instrText>
        </w:r>
        <w:r>
          <w:rPr>
            <w:noProof/>
            <w:webHidden/>
          </w:rPr>
        </w:r>
        <w:r>
          <w:rPr>
            <w:noProof/>
            <w:webHidden/>
          </w:rPr>
          <w:fldChar w:fldCharType="separate"/>
        </w:r>
        <w:r>
          <w:rPr>
            <w:noProof/>
            <w:webHidden/>
          </w:rPr>
          <w:t>92</w:t>
        </w:r>
        <w:r>
          <w:rPr>
            <w:noProof/>
            <w:webHidden/>
          </w:rPr>
          <w:fldChar w:fldCharType="end"/>
        </w:r>
      </w:hyperlink>
    </w:p>
    <w:p w14:paraId="64D30193" w14:textId="3A9D470C" w:rsidR="00E40776" w:rsidRDefault="00E40776">
      <w:pPr>
        <w:pStyle w:val="TOC2"/>
        <w:rPr>
          <w:noProof/>
          <w:kern w:val="2"/>
          <w:sz w:val="24"/>
          <w:szCs w:val="24"/>
          <w:lang w:val="en-GB"/>
          <w14:ligatures w14:val="standardContextual"/>
        </w:rPr>
      </w:pPr>
      <w:hyperlink w:anchor="_Toc208244485" w:history="1">
        <w:r w:rsidRPr="00634116">
          <w:rPr>
            <w:rStyle w:val="Hyperlink"/>
            <w:rFonts w:ascii="Times New Roman" w:hAnsi="Times New Roman" w:cs="Times New Roman"/>
            <w:noProof/>
          </w:rPr>
          <w:t>II.32</w:t>
        </w:r>
        <w:r>
          <w:rPr>
            <w:noProof/>
            <w:kern w:val="2"/>
            <w:sz w:val="24"/>
            <w:szCs w:val="24"/>
            <w:lang w:val="en-GB"/>
            <w14:ligatures w14:val="standardContextual"/>
          </w:rPr>
          <w:tab/>
        </w:r>
        <w:r w:rsidRPr="00634116">
          <w:rPr>
            <w:rStyle w:val="Hyperlink"/>
            <w:rFonts w:ascii="Times New Roman" w:hAnsi="Times New Roman" w:cs="Times New Roman"/>
            <w:noProof/>
          </w:rPr>
          <w:t xml:space="preserve">Z 12.00 — Ценни </w:t>
        </w:r>
        <w:r w:rsidRPr="00634116">
          <w:rPr>
            <w:rStyle w:val="Hyperlink"/>
            <w:rFonts w:ascii="Times New Roman" w:eastAsia="Cambria" w:hAnsi="Times New Roman" w:cs="Times New Roman"/>
            <w:noProof/>
          </w:rPr>
          <w:t xml:space="preserve">книжа (включително БСК1, ДК1 — инструменти на капитала от ред 2; с изключение на вътрешногрупови) </w:t>
        </w:r>
        <w:r w:rsidRPr="00634116">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_Toc208244485 \h </w:instrText>
        </w:r>
        <w:r>
          <w:rPr>
            <w:noProof/>
            <w:webHidden/>
          </w:rPr>
        </w:r>
        <w:r>
          <w:rPr>
            <w:noProof/>
            <w:webHidden/>
          </w:rPr>
          <w:fldChar w:fldCharType="separate"/>
        </w:r>
        <w:r>
          <w:rPr>
            <w:noProof/>
            <w:webHidden/>
          </w:rPr>
          <w:t>95</w:t>
        </w:r>
        <w:r>
          <w:rPr>
            <w:noProof/>
            <w:webHidden/>
          </w:rPr>
          <w:fldChar w:fldCharType="end"/>
        </w:r>
      </w:hyperlink>
    </w:p>
    <w:p w14:paraId="0DF05C37" w14:textId="388ADC58" w:rsidR="00E40776" w:rsidRDefault="00E40776">
      <w:pPr>
        <w:pStyle w:val="TOC2"/>
        <w:rPr>
          <w:noProof/>
          <w:kern w:val="2"/>
          <w:sz w:val="24"/>
          <w:szCs w:val="24"/>
          <w:lang w:val="en-GB"/>
          <w14:ligatures w14:val="standardContextual"/>
        </w:rPr>
      </w:pPr>
      <w:hyperlink w:anchor="_Toc208244486" w:history="1">
        <w:r w:rsidRPr="00634116">
          <w:rPr>
            <w:rStyle w:val="Hyperlink"/>
            <w:rFonts w:ascii="Times New Roman" w:hAnsi="Times New Roman" w:cs="Times New Roman"/>
            <w:noProof/>
          </w:rPr>
          <w:t>II.33</w:t>
        </w:r>
        <w:r>
          <w:rPr>
            <w:noProof/>
            <w:kern w:val="2"/>
            <w:sz w:val="24"/>
            <w:szCs w:val="24"/>
            <w:lang w:val="en-GB"/>
            <w14:ligatures w14:val="standardContextual"/>
          </w:rPr>
          <w:tab/>
        </w:r>
        <w:r w:rsidRPr="00634116">
          <w:rPr>
            <w:rStyle w:val="Hyperlink"/>
            <w:rFonts w:ascii="Times New Roman" w:hAnsi="Times New Roman" w:cs="Times New Roman"/>
            <w:noProof/>
          </w:rPr>
          <w:t xml:space="preserve">Z 13.00 — Всички депозити (с изключение на вътрешногруповите) </w:t>
        </w:r>
        <w:r w:rsidRPr="00634116">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_Toc208244486 \h </w:instrText>
        </w:r>
        <w:r>
          <w:rPr>
            <w:noProof/>
            <w:webHidden/>
          </w:rPr>
        </w:r>
        <w:r>
          <w:rPr>
            <w:noProof/>
            <w:webHidden/>
          </w:rPr>
          <w:fldChar w:fldCharType="separate"/>
        </w:r>
        <w:r>
          <w:rPr>
            <w:noProof/>
            <w:webHidden/>
          </w:rPr>
          <w:t>99</w:t>
        </w:r>
        <w:r>
          <w:rPr>
            <w:noProof/>
            <w:webHidden/>
          </w:rPr>
          <w:fldChar w:fldCharType="end"/>
        </w:r>
      </w:hyperlink>
    </w:p>
    <w:p w14:paraId="590E6E77" w14:textId="601BE457" w:rsidR="00E40776" w:rsidRDefault="00E40776">
      <w:pPr>
        <w:pStyle w:val="TOC2"/>
        <w:rPr>
          <w:noProof/>
          <w:kern w:val="2"/>
          <w:sz w:val="24"/>
          <w:szCs w:val="24"/>
          <w:lang w:val="en-GB"/>
          <w14:ligatures w14:val="standardContextual"/>
        </w:rPr>
      </w:pPr>
      <w:hyperlink w:anchor="_Toc208244487" w:history="1">
        <w:r w:rsidRPr="00634116">
          <w:rPr>
            <w:rStyle w:val="Hyperlink"/>
            <w:rFonts w:ascii="Times New Roman" w:hAnsi="Times New Roman" w:cs="Times New Roman"/>
            <w:noProof/>
          </w:rPr>
          <w:t>II.34</w:t>
        </w:r>
        <w:r>
          <w:rPr>
            <w:noProof/>
            <w:kern w:val="2"/>
            <w:sz w:val="24"/>
            <w:szCs w:val="24"/>
            <w:lang w:val="en-GB"/>
            <w14:ligatures w14:val="standardContextual"/>
          </w:rPr>
          <w:tab/>
        </w:r>
        <w:r w:rsidRPr="00634116">
          <w:rPr>
            <w:rStyle w:val="Hyperlink"/>
            <w:rFonts w:ascii="Times New Roman" w:hAnsi="Times New Roman" w:cs="Times New Roman"/>
            <w:noProof/>
          </w:rPr>
          <w:t xml:space="preserve">Z 14.00 — Други финансови пасиви (невключени в други раздели, с изключение на вътрешногруповите) </w:t>
        </w:r>
        <w:r w:rsidRPr="00634116">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_Toc208244487 \h </w:instrText>
        </w:r>
        <w:r>
          <w:rPr>
            <w:noProof/>
            <w:webHidden/>
          </w:rPr>
        </w:r>
        <w:r>
          <w:rPr>
            <w:noProof/>
            <w:webHidden/>
          </w:rPr>
          <w:fldChar w:fldCharType="separate"/>
        </w:r>
        <w:r>
          <w:rPr>
            <w:noProof/>
            <w:webHidden/>
          </w:rPr>
          <w:t>102</w:t>
        </w:r>
        <w:r>
          <w:rPr>
            <w:noProof/>
            <w:webHidden/>
          </w:rPr>
          <w:fldChar w:fldCharType="end"/>
        </w:r>
      </w:hyperlink>
    </w:p>
    <w:p w14:paraId="19B0A5D2" w14:textId="78DB0F42" w:rsidR="00E40776" w:rsidRDefault="00E40776">
      <w:pPr>
        <w:pStyle w:val="TOC2"/>
        <w:rPr>
          <w:noProof/>
          <w:kern w:val="2"/>
          <w:sz w:val="24"/>
          <w:szCs w:val="24"/>
          <w:lang w:val="en-GB"/>
          <w14:ligatures w14:val="standardContextual"/>
        </w:rPr>
      </w:pPr>
      <w:hyperlink w:anchor="_Toc208244488" w:history="1">
        <w:r w:rsidRPr="00634116">
          <w:rPr>
            <w:rStyle w:val="Hyperlink"/>
            <w:rFonts w:ascii="Times New Roman" w:hAnsi="Times New Roman" w:cs="Times New Roman"/>
            <w:noProof/>
          </w:rPr>
          <w:t>II.35</w:t>
        </w:r>
        <w:r>
          <w:rPr>
            <w:noProof/>
            <w:kern w:val="2"/>
            <w:sz w:val="24"/>
            <w:szCs w:val="24"/>
            <w:lang w:val="en-GB"/>
            <w14:ligatures w14:val="standardContextual"/>
          </w:rPr>
          <w:tab/>
        </w:r>
        <w:r w:rsidRPr="00634116">
          <w:rPr>
            <w:rStyle w:val="Hyperlink"/>
            <w:rFonts w:ascii="Times New Roman" w:hAnsi="Times New Roman" w:cs="Times New Roman"/>
            <w:noProof/>
          </w:rPr>
          <w:t xml:space="preserve">Z 15.00 — Деривати </w:t>
        </w:r>
        <w:r w:rsidRPr="00634116">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_Toc208244488 \h </w:instrText>
        </w:r>
        <w:r>
          <w:rPr>
            <w:noProof/>
            <w:webHidden/>
          </w:rPr>
        </w:r>
        <w:r>
          <w:rPr>
            <w:noProof/>
            <w:webHidden/>
          </w:rPr>
          <w:fldChar w:fldCharType="separate"/>
        </w:r>
        <w:r>
          <w:rPr>
            <w:noProof/>
            <w:webHidden/>
          </w:rPr>
          <w:t>104</w:t>
        </w:r>
        <w:r>
          <w:rPr>
            <w:noProof/>
            <w:webHidden/>
          </w:rPr>
          <w:fldChar w:fldCharType="end"/>
        </w:r>
      </w:hyperlink>
    </w:p>
    <w:p w14:paraId="28D633EB" w14:textId="25FE00AA" w:rsidR="00E40776" w:rsidRDefault="00E40776">
      <w:pPr>
        <w:pStyle w:val="TOC2"/>
        <w:rPr>
          <w:noProof/>
          <w:kern w:val="2"/>
          <w:sz w:val="24"/>
          <w:szCs w:val="24"/>
          <w:lang w:val="en-GB"/>
          <w14:ligatures w14:val="standardContextual"/>
        </w:rPr>
      </w:pPr>
      <w:hyperlink w:anchor="_Toc208244489" w:history="1">
        <w:r w:rsidRPr="00634116">
          <w:rPr>
            <w:rStyle w:val="Hyperlink"/>
            <w:rFonts w:ascii="Times New Roman" w:hAnsi="Times New Roman" w:cs="Times New Roman"/>
            <w:noProof/>
          </w:rPr>
          <w:t>II.36</w:t>
        </w:r>
        <w:r>
          <w:rPr>
            <w:noProof/>
            <w:kern w:val="2"/>
            <w:sz w:val="24"/>
            <w:szCs w:val="24"/>
            <w:lang w:val="en-GB"/>
            <w14:ligatures w14:val="standardContextual"/>
          </w:rPr>
          <w:tab/>
        </w:r>
        <w:r w:rsidRPr="00634116">
          <w:rPr>
            <w:rStyle w:val="Hyperlink"/>
            <w:rFonts w:ascii="Times New Roman" w:hAnsi="Times New Roman" w:cs="Times New Roman"/>
            <w:noProof/>
          </w:rPr>
          <w:t xml:space="preserve">Z 16.00 — Сделки с гарантирано финансиране, с изключение на вътрешногруповите операции </w:t>
        </w:r>
        <w:r w:rsidRPr="00634116">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_Toc208244489 \h </w:instrText>
        </w:r>
        <w:r>
          <w:rPr>
            <w:noProof/>
            <w:webHidden/>
          </w:rPr>
        </w:r>
        <w:r>
          <w:rPr>
            <w:noProof/>
            <w:webHidden/>
          </w:rPr>
          <w:fldChar w:fldCharType="separate"/>
        </w:r>
        <w:r>
          <w:rPr>
            <w:noProof/>
            <w:webHidden/>
          </w:rPr>
          <w:t>106</w:t>
        </w:r>
        <w:r>
          <w:rPr>
            <w:noProof/>
            <w:webHidden/>
          </w:rPr>
          <w:fldChar w:fldCharType="end"/>
        </w:r>
      </w:hyperlink>
    </w:p>
    <w:p w14:paraId="3C9294EA" w14:textId="025A0B8F" w:rsidR="00E40776" w:rsidRDefault="00E40776">
      <w:pPr>
        <w:pStyle w:val="TOC2"/>
        <w:rPr>
          <w:noProof/>
          <w:kern w:val="2"/>
          <w:sz w:val="24"/>
          <w:szCs w:val="24"/>
          <w:lang w:val="en-GB"/>
          <w14:ligatures w14:val="standardContextual"/>
        </w:rPr>
      </w:pPr>
      <w:hyperlink w:anchor="_Toc208244490" w:history="1">
        <w:r w:rsidRPr="00634116">
          <w:rPr>
            <w:rStyle w:val="Hyperlink"/>
            <w:rFonts w:ascii="Times New Roman" w:hAnsi="Times New Roman" w:cs="Times New Roman"/>
            <w:noProof/>
          </w:rPr>
          <w:t>II.37</w:t>
        </w:r>
        <w:r>
          <w:rPr>
            <w:noProof/>
            <w:kern w:val="2"/>
            <w:sz w:val="24"/>
            <w:szCs w:val="24"/>
            <w:lang w:val="en-GB"/>
            <w14:ligatures w14:val="standardContextual"/>
          </w:rPr>
          <w:tab/>
        </w:r>
        <w:r w:rsidRPr="00634116">
          <w:rPr>
            <w:rStyle w:val="Hyperlink"/>
            <w:rFonts w:ascii="Times New Roman" w:hAnsi="Times New Roman" w:cs="Times New Roman"/>
            <w:noProof/>
          </w:rPr>
          <w:t xml:space="preserve">Z 17.00 — Други нефинансови пасиви (невключени в други раздели, с изключение на вътрешногруповите) </w:t>
        </w:r>
        <w:r w:rsidRPr="00634116">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_Toc208244490 \h </w:instrText>
        </w:r>
        <w:r>
          <w:rPr>
            <w:noProof/>
            <w:webHidden/>
          </w:rPr>
        </w:r>
        <w:r>
          <w:rPr>
            <w:noProof/>
            <w:webHidden/>
          </w:rPr>
          <w:fldChar w:fldCharType="separate"/>
        </w:r>
        <w:r>
          <w:rPr>
            <w:noProof/>
            <w:webHidden/>
          </w:rPr>
          <w:t>108</w:t>
        </w:r>
        <w:r>
          <w:rPr>
            <w:noProof/>
            <w:webHidden/>
          </w:rPr>
          <w:fldChar w:fldCharType="end"/>
        </w:r>
      </w:hyperlink>
    </w:p>
    <w:p w14:paraId="5E67A6FA" w14:textId="117C8D48" w:rsidR="00E40776" w:rsidRDefault="00E40776">
      <w:pPr>
        <w:pStyle w:val="TOC2"/>
        <w:rPr>
          <w:noProof/>
          <w:kern w:val="2"/>
          <w:sz w:val="24"/>
          <w:szCs w:val="24"/>
          <w:lang w:val="en-GB"/>
          <w14:ligatures w14:val="standardContextual"/>
        </w:rPr>
      </w:pPr>
      <w:hyperlink w:anchor="_Toc208244491" w:history="1">
        <w:r w:rsidRPr="00634116">
          <w:rPr>
            <w:rStyle w:val="Hyperlink"/>
            <w:noProof/>
          </w:rPr>
          <w:t>II.38</w:t>
        </w:r>
        <w:r>
          <w:rPr>
            <w:noProof/>
            <w:kern w:val="2"/>
            <w:sz w:val="24"/>
            <w:szCs w:val="24"/>
            <w:lang w:val="en-GB"/>
            <w14:ligatures w14:val="standardContextual"/>
          </w:rPr>
          <w:tab/>
        </w:r>
        <w:r w:rsidRPr="00634116">
          <w:rPr>
            <w:rStyle w:val="Hyperlink"/>
            <w:noProof/>
          </w:rPr>
          <w:t>Приложение I — Списък на ИФП, които да се използват за Z 09.01 — c0050</w:t>
        </w:r>
        <w:r>
          <w:rPr>
            <w:noProof/>
            <w:webHidden/>
          </w:rPr>
          <w:tab/>
        </w:r>
        <w:r>
          <w:rPr>
            <w:noProof/>
            <w:webHidden/>
          </w:rPr>
          <w:fldChar w:fldCharType="begin"/>
        </w:r>
        <w:r>
          <w:rPr>
            <w:noProof/>
            <w:webHidden/>
          </w:rPr>
          <w:instrText xml:space="preserve"> PAGEREF _Toc208244491 \h </w:instrText>
        </w:r>
        <w:r>
          <w:rPr>
            <w:noProof/>
            <w:webHidden/>
          </w:rPr>
        </w:r>
        <w:r>
          <w:rPr>
            <w:noProof/>
            <w:webHidden/>
          </w:rPr>
          <w:fldChar w:fldCharType="separate"/>
        </w:r>
        <w:r>
          <w:rPr>
            <w:noProof/>
            <w:webHidden/>
          </w:rPr>
          <w:t>111</w:t>
        </w:r>
        <w:r>
          <w:rPr>
            <w:noProof/>
            <w:webHidden/>
          </w:rPr>
          <w:fldChar w:fldCharType="end"/>
        </w:r>
      </w:hyperlink>
    </w:p>
    <w:p w14:paraId="7FE1B2E2" w14:textId="497DBA15" w:rsidR="00FE5D64" w:rsidRDefault="00E4077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FE5D64" w:rsidRDefault="00FE5D64">
      <w:pPr>
        <w:rPr>
          <w:rFonts w:ascii="Times New Roman" w:hAnsi="Times New Roman" w:cs="Times New Roman"/>
          <w:b/>
          <w:color w:val="000000" w:themeColor="text1"/>
          <w:sz w:val="20"/>
          <w:szCs w:val="20"/>
        </w:rPr>
      </w:pPr>
    </w:p>
    <w:p w14:paraId="7FE1B2E4" w14:textId="77777777" w:rsidR="00FE5D64" w:rsidRDefault="00FE5D64">
      <w:pPr>
        <w:pStyle w:val="ListParagraph"/>
        <w:rPr>
          <w:rFonts w:ascii="Times New Roman" w:hAnsi="Times New Roman"/>
          <w:b/>
          <w:color w:val="000000" w:themeColor="text1"/>
          <w:sz w:val="20"/>
          <w:szCs w:val="20"/>
        </w:rPr>
      </w:pPr>
    </w:p>
    <w:p w14:paraId="7FE1B2E5" w14:textId="77777777" w:rsidR="00FE5D64" w:rsidRDefault="00E40776">
      <w:pPr>
        <w:pStyle w:val="P68B1DB1-Normal3"/>
        <w:spacing w:after="200" w:line="276" w:lineRule="auto"/>
        <w:rPr>
          <w:rFonts w:eastAsiaTheme="majorEastAsia"/>
          <w:kern w:val="28"/>
        </w:rPr>
      </w:pPr>
      <w:bookmarkStart w:id="0" w:name="_Toc492542318"/>
      <w:r>
        <w:br w:type="page"/>
      </w:r>
    </w:p>
    <w:p w14:paraId="7FE1B2E6" w14:textId="77777777" w:rsidR="00FE5D64" w:rsidRDefault="00E40776">
      <w:pPr>
        <w:pStyle w:val="P68B1DB1-Instructionsberschrift24"/>
        <w:numPr>
          <w:ilvl w:val="0"/>
          <w:numId w:val="49"/>
        </w:numPr>
        <w:ind w:left="357" w:hanging="357"/>
      </w:pPr>
      <w:bookmarkStart w:id="1" w:name="_Toc81454170"/>
      <w:bookmarkStart w:id="2" w:name="_Toc208244443"/>
      <w:r>
        <w:lastRenderedPageBreak/>
        <w:t>Основни инструкции</w:t>
      </w:r>
      <w:bookmarkEnd w:id="0"/>
      <w:bookmarkEnd w:id="1"/>
      <w:bookmarkEnd w:id="2"/>
    </w:p>
    <w:p w14:paraId="7FE1B2E7" w14:textId="77777777" w:rsidR="00FE5D64" w:rsidRDefault="00E40776">
      <w:pPr>
        <w:pStyle w:val="P68B1DB1-Instructionsberschrift25"/>
        <w:numPr>
          <w:ilvl w:val="1"/>
          <w:numId w:val="49"/>
        </w:numPr>
        <w:ind w:left="357" w:hanging="357"/>
      </w:pPr>
      <w:bookmarkStart w:id="3" w:name="_Toc81454171"/>
      <w:bookmarkStart w:id="4" w:name="_Toc208244444"/>
      <w:r>
        <w:t>Stucture</w:t>
      </w:r>
      <w:bookmarkEnd w:id="3"/>
      <w:bookmarkEnd w:id="4"/>
    </w:p>
    <w:p w14:paraId="7FE1B2E8" w14:textId="261F32BB" w:rsidR="00FE5D64" w:rsidRDefault="00E40776">
      <w:pPr>
        <w:pStyle w:val="P68B1DB1-InstructionsText26"/>
        <w:numPr>
          <w:ilvl w:val="0"/>
          <w:numId w:val="71"/>
        </w:numPr>
        <w:spacing w:before="0"/>
        <w:ind w:left="714" w:hanging="357"/>
      </w:pPr>
      <w:r>
        <w:t>Рамката се състои от 29 образци, организирани в 6 тематични блока:</w:t>
      </w:r>
    </w:p>
    <w:p w14:paraId="7FE1B2EA" w14:textId="45B1FB28" w:rsidR="00FE5D64" w:rsidRDefault="00E40776">
      <w:pPr>
        <w:pStyle w:val="P68B1DB1-body7"/>
        <w:numPr>
          <w:ilvl w:val="0"/>
          <w:numId w:val="61"/>
        </w:numPr>
      </w:pPr>
      <w:r>
        <w:t>„Обща информация“, в който се прави преглед на организационната структура на дадена група и нейните субекти, разпределението на активите и рисковата експозиция. Този блок се състои от образци:</w:t>
      </w:r>
    </w:p>
    <w:p w14:paraId="7FE1B2EB" w14:textId="75468367" w:rsidR="00FE5D64" w:rsidRDefault="00E40776">
      <w:pPr>
        <w:pStyle w:val="P68B1DB1-body7"/>
        <w:numPr>
          <w:ilvl w:val="1"/>
          <w:numId w:val="207"/>
        </w:numPr>
      </w:pPr>
      <w:r>
        <w:t>Z 01.01 — Правни субекти (ORG 1)“</w:t>
      </w:r>
    </w:p>
    <w:p w14:paraId="7FE1B2EC" w14:textId="77777777" w:rsidR="00FE5D64" w:rsidRDefault="00E40776">
      <w:pPr>
        <w:pStyle w:val="P68B1DB1-body7"/>
        <w:numPr>
          <w:ilvl w:val="1"/>
          <w:numId w:val="207"/>
        </w:numPr>
      </w:pPr>
      <w:r>
        <w:t>Z 01.02 — Структура на собствеността (ORG 2)</w:t>
      </w:r>
    </w:p>
    <w:p w14:paraId="7FE1B2ED" w14:textId="0B29A8FB" w:rsidR="00FE5D64" w:rsidRDefault="00E40776">
      <w:pPr>
        <w:pStyle w:val="P68B1DB1-body7"/>
        <w:numPr>
          <w:ilvl w:val="0"/>
          <w:numId w:val="61"/>
        </w:numPr>
      </w:pPr>
      <w:r>
        <w:t>„Агрегирана информация за балансовите и задбалансовите позиции“, който дава финансови сведения относно задълженията, собствените средства, финансовите връзки между субектите в групата, задълженията към основни контрагенти и задбалансовите позиции, получени от основни контрагенти, и застраховане на депозитите. Този блок се състои от 7 образци:</w:t>
      </w:r>
    </w:p>
    <w:p w14:paraId="7FE1B2EE" w14:textId="77777777" w:rsidR="00FE5D64" w:rsidRDefault="00E40776">
      <w:pPr>
        <w:pStyle w:val="P68B1DB1-body7"/>
        <w:numPr>
          <w:ilvl w:val="0"/>
          <w:numId w:val="208"/>
        </w:numPr>
      </w:pPr>
      <w:r>
        <w:t>„Z 02.00 — Структура на задълженията (LIAB 1)“;</w:t>
      </w:r>
    </w:p>
    <w:p w14:paraId="7FE1B2EF" w14:textId="584458BC" w:rsidR="00FE5D64" w:rsidRDefault="00E40776">
      <w:pPr>
        <w:pStyle w:val="P68B1DB1-body7"/>
        <w:numPr>
          <w:ilvl w:val="0"/>
          <w:numId w:val="208"/>
        </w:numPr>
      </w:pPr>
      <w:r>
        <w:t>„Z 03.01 — Капиталови изисквания за кредитните институции (LIAB 2)“;</w:t>
      </w:r>
    </w:p>
    <w:p w14:paraId="7FE1B2F0" w14:textId="77777777" w:rsidR="00FE5D64" w:rsidRDefault="00E40776">
      <w:pPr>
        <w:pStyle w:val="P68B1DB1-body7"/>
        <w:numPr>
          <w:ilvl w:val="0"/>
          <w:numId w:val="208"/>
        </w:numPr>
      </w:pPr>
      <w:r>
        <w:t>„Z 03.02 — Капиталови изисквания за инвестиционните фирми (LIAB 3)“;</w:t>
      </w:r>
    </w:p>
    <w:p w14:paraId="7FE1B2F2" w14:textId="77777777" w:rsidR="00FE5D64" w:rsidRDefault="00E40776">
      <w:pPr>
        <w:pStyle w:val="P68B1DB1-body7"/>
        <w:numPr>
          <w:ilvl w:val="0"/>
          <w:numId w:val="208"/>
        </w:numPr>
      </w:pPr>
      <w:r>
        <w:t>„Z 04.00 — Финансови взаимовръзки в групата (LIAB 4)“;</w:t>
      </w:r>
    </w:p>
    <w:p w14:paraId="7FE1B2F3" w14:textId="780D871C" w:rsidR="00FE5D64" w:rsidRDefault="00E40776">
      <w:pPr>
        <w:pStyle w:val="P68B1DB1-body7"/>
        <w:numPr>
          <w:ilvl w:val="0"/>
          <w:numId w:val="208"/>
        </w:numPr>
      </w:pPr>
      <w:r>
        <w:t>„Z 05.01 — Корекции с голяма отговорност (LIAB 5)“;</w:t>
      </w:r>
    </w:p>
    <w:p w14:paraId="7FE1B2F4" w14:textId="510CE128" w:rsidR="00FE5D64" w:rsidRDefault="00E40776">
      <w:pPr>
        <w:pStyle w:val="P68B1DB1-body7"/>
        <w:numPr>
          <w:ilvl w:val="0"/>
          <w:numId w:val="208"/>
        </w:numPr>
      </w:pPr>
      <w:r>
        <w:t>„Z 05.02 — Извънбалансови позиции от основни контрагенти (LIAB 6)“;</w:t>
      </w:r>
    </w:p>
    <w:p w14:paraId="7FE1B2F5" w14:textId="762695F7" w:rsidR="00FE5D64" w:rsidRDefault="00E40776">
      <w:pPr>
        <w:pStyle w:val="P68B1DB1-body7"/>
        <w:numPr>
          <w:ilvl w:val="0"/>
          <w:numId w:val="208"/>
        </w:numPr>
      </w:pPr>
      <w:r>
        <w:t>„Z 06.00 — Застраховане на депозитите (LIAB 7)“.</w:t>
      </w:r>
    </w:p>
    <w:p w14:paraId="7FE1B2F6" w14:textId="75559FD1" w:rsidR="00FE5D64" w:rsidRDefault="00E40776">
      <w:pPr>
        <w:pStyle w:val="P68B1DB1-body7"/>
        <w:numPr>
          <w:ilvl w:val="0"/>
          <w:numId w:val="61"/>
        </w:numPr>
      </w:pPr>
      <w:r>
        <w:t>„Критични функции“, в който се прави преглед на критичните функции и те се разпределят по правни субекти, основни стопански дейности. Този блок се състои от 4 образци:</w:t>
      </w:r>
    </w:p>
    <w:p w14:paraId="7FE1B2F7" w14:textId="433A5E71" w:rsidR="00FE5D64" w:rsidRDefault="00E40776">
      <w:pPr>
        <w:pStyle w:val="P68B1DB1-body7"/>
        <w:numPr>
          <w:ilvl w:val="1"/>
          <w:numId w:val="209"/>
        </w:numPr>
      </w:pPr>
      <w:r>
        <w:t xml:space="preserve">Z 07.01 — Оценка на критичността на икономическите функции (FUNC 1), </w:t>
      </w:r>
    </w:p>
    <w:p w14:paraId="7FE1B2F8" w14:textId="3145F629" w:rsidR="00FE5D64" w:rsidRDefault="00E40776">
      <w:pPr>
        <w:pStyle w:val="P68B1DB1-body7"/>
        <w:numPr>
          <w:ilvl w:val="1"/>
          <w:numId w:val="209"/>
        </w:numPr>
      </w:pPr>
      <w:r>
        <w:t xml:space="preserve">Z 07.02 — Онагледяване на критичните функции за всеки правен субект (FUNC 2) </w:t>
      </w:r>
    </w:p>
    <w:p w14:paraId="7FE1B2F9" w14:textId="1FE59149" w:rsidR="00FE5D64" w:rsidRDefault="00E40776">
      <w:pPr>
        <w:pStyle w:val="P68B1DB1-body7"/>
        <w:numPr>
          <w:ilvl w:val="1"/>
          <w:numId w:val="209"/>
        </w:numPr>
      </w:pPr>
      <w:r>
        <w:t xml:space="preserve">Z 07.03 — Онагледяване на основните стопански дейности по правни субекти (FUNC 3) </w:t>
      </w:r>
    </w:p>
    <w:p w14:paraId="7FE1B2FB" w14:textId="3D116B7E" w:rsidR="00FE5D64" w:rsidRDefault="00E40776">
      <w:pPr>
        <w:pStyle w:val="P68B1DB1-body7"/>
        <w:ind w:left="1794"/>
      </w:pPr>
      <w:r>
        <w:t>Z 07.04 — Онагледяване на критичните функции на основните стопански дейности (FUNC 4)</w:t>
      </w:r>
    </w:p>
    <w:p w14:paraId="7FE1B2FC" w14:textId="77777777" w:rsidR="00FE5D64" w:rsidRDefault="00E40776">
      <w:pPr>
        <w:pStyle w:val="P68B1DB1-body7"/>
        <w:numPr>
          <w:ilvl w:val="0"/>
          <w:numId w:val="61"/>
        </w:numPr>
      </w:pPr>
      <w:bookmarkStart w:id="5" w:name="_Hlk160696385"/>
      <w:r>
        <w:t>Услуги и образувания, които предоставят разбивка на ползвателите и доставчиците на услуги и ги насочват към икономическите функции и стопански дейности</w:t>
      </w:r>
      <w:bookmarkEnd w:id="5"/>
      <w:r>
        <w:t>:</w:t>
      </w:r>
    </w:p>
    <w:p w14:paraId="7FE1B2FD" w14:textId="77777777" w:rsidR="00FE5D64" w:rsidRDefault="00E40776">
      <w:pPr>
        <w:pStyle w:val="P68B1DB1-body7"/>
        <w:numPr>
          <w:ilvl w:val="1"/>
          <w:numId w:val="210"/>
        </w:numPr>
      </w:pPr>
      <w:r>
        <w:t>Z 08.01 — Важни услуги (SERV 1)</w:t>
      </w:r>
    </w:p>
    <w:p w14:paraId="7FE1B2FE" w14:textId="77777777" w:rsidR="00FE5D64" w:rsidRDefault="00E40776">
      <w:pPr>
        <w:pStyle w:val="P68B1DB1-body7"/>
        <w:numPr>
          <w:ilvl w:val="1"/>
          <w:numId w:val="210"/>
        </w:numPr>
      </w:pPr>
      <w:r>
        <w:t>Z 08.02 — Съответни услуги — картографиране на активите (SERV 2)</w:t>
      </w:r>
    </w:p>
    <w:p w14:paraId="7FE1B2FF" w14:textId="77777777" w:rsidR="00FE5D64" w:rsidRDefault="00E40776">
      <w:pPr>
        <w:pStyle w:val="P68B1DB1-body7"/>
        <w:numPr>
          <w:ilvl w:val="1"/>
          <w:numId w:val="210"/>
        </w:numPr>
      </w:pPr>
      <w:r>
        <w:t>Z 08.03 — Съответни услуги — Картографиране на ролите (SERV 3)</w:t>
      </w:r>
    </w:p>
    <w:p w14:paraId="7FE1B300" w14:textId="77777777" w:rsidR="00FE5D64" w:rsidRDefault="00E40776">
      <w:pPr>
        <w:pStyle w:val="P68B1DB1-body7"/>
        <w:numPr>
          <w:ilvl w:val="1"/>
          <w:numId w:val="210"/>
        </w:numPr>
      </w:pPr>
      <w:r>
        <w:lastRenderedPageBreak/>
        <w:t>Z 08.04 — Съответни услуги — картографиране на критичните функции (SERV 4)</w:t>
      </w:r>
    </w:p>
    <w:p w14:paraId="7FE1B301" w14:textId="77777777" w:rsidR="00FE5D64" w:rsidRDefault="00E40776">
      <w:pPr>
        <w:pStyle w:val="P68B1DB1-body7"/>
        <w:numPr>
          <w:ilvl w:val="1"/>
          <w:numId w:val="210"/>
        </w:numPr>
      </w:pPr>
      <w:r>
        <w:t>Z 08.05 — Съответни услуги — Картографиране по основни стопански дейности (SERV 5)</w:t>
      </w:r>
    </w:p>
    <w:p w14:paraId="7FE1B303" w14:textId="397A4C74" w:rsidR="00FE5D64" w:rsidRDefault="00E40776">
      <w:pPr>
        <w:pStyle w:val="P68B1DB1-body7"/>
        <w:numPr>
          <w:ilvl w:val="0"/>
          <w:numId w:val="61"/>
        </w:numPr>
      </w:pPr>
      <w:r>
        <w:t>Докладване относно услугите на ИФП</w:t>
      </w:r>
    </w:p>
    <w:p w14:paraId="7FE1B304" w14:textId="110EA9FD" w:rsidR="00FE5D64" w:rsidRDefault="00E40776">
      <w:pPr>
        <w:pStyle w:val="P68B1DB1-body7"/>
        <w:numPr>
          <w:ilvl w:val="1"/>
          <w:numId w:val="211"/>
        </w:numPr>
      </w:pPr>
      <w:r>
        <w:t>Z 09.01 — Услуги, свързани с ИФП — Доставчици и потребители (ИФП 1)</w:t>
      </w:r>
    </w:p>
    <w:p w14:paraId="7FE1B305" w14:textId="77777777" w:rsidR="00FE5D64" w:rsidRDefault="00E40776">
      <w:pPr>
        <w:pStyle w:val="P68B1DB1-body7"/>
        <w:numPr>
          <w:ilvl w:val="1"/>
          <w:numId w:val="211"/>
        </w:numPr>
      </w:pPr>
      <w:r>
        <w:t>Z 09.02 — Услуги, свързани с ИФП — Картографиране на критични и съществени ИФП (ИФП 2)</w:t>
      </w:r>
    </w:p>
    <w:p w14:paraId="7FE1B306" w14:textId="77777777" w:rsidR="00FE5D64" w:rsidRDefault="00E40776">
      <w:pPr>
        <w:pStyle w:val="P68B1DB1-body7"/>
        <w:numPr>
          <w:ilvl w:val="1"/>
          <w:numId w:val="211"/>
        </w:numPr>
      </w:pPr>
      <w:r>
        <w:t>Z 09.03 — Услуги на FMI — ключови показатели (FMI 3)</w:t>
      </w:r>
    </w:p>
    <w:p w14:paraId="7FE1B307" w14:textId="77777777" w:rsidR="00FE5D64" w:rsidRDefault="00E40776">
      <w:pPr>
        <w:pStyle w:val="P68B1DB1-body7"/>
        <w:numPr>
          <w:ilvl w:val="1"/>
          <w:numId w:val="211"/>
        </w:numPr>
      </w:pPr>
      <w:r>
        <w:t>Z 09.04 — Услуги, свързани с ИФП — ЦК — алтернативни доставчици (ИФП 4)</w:t>
      </w:r>
    </w:p>
    <w:p w14:paraId="7FE1B30B" w14:textId="05DD2D8B" w:rsidR="00FE5D64" w:rsidRDefault="00E40776">
      <w:pPr>
        <w:pStyle w:val="P68B1DB1-body7"/>
        <w:numPr>
          <w:ilvl w:val="0"/>
          <w:numId w:val="61"/>
        </w:numPr>
      </w:pPr>
      <w:r>
        <w:t>Детайлно докладване на данни за отговорността за целите на оценката на отговорността във вътрешни случаи</w:t>
      </w:r>
    </w:p>
    <w:p w14:paraId="7FE1B30C" w14:textId="6ACC8549" w:rsidR="00FE5D64" w:rsidRDefault="00E40776">
      <w:pPr>
        <w:pStyle w:val="P68B1DB1-body7"/>
        <w:numPr>
          <w:ilvl w:val="0"/>
          <w:numId w:val="217"/>
        </w:numPr>
      </w:pPr>
      <w:r>
        <w:t>Z 11.00 — Вътрешни пасиви (без деривати) (LIAB-G-1)</w:t>
      </w:r>
    </w:p>
    <w:p w14:paraId="7FE1B30D" w14:textId="140BB302" w:rsidR="00FE5D64" w:rsidRDefault="00E40776">
      <w:pPr>
        <w:pStyle w:val="P68B1DB1-body7"/>
        <w:numPr>
          <w:ilvl w:val="0"/>
          <w:numId w:val="217"/>
        </w:numPr>
      </w:pPr>
      <w:r>
        <w:t>Z 12.00 — Ценни книжа (включително БСК1, ДК1 — инструменти от ред 2, с изключение на вътрешногруповите инструменти) (LIAB-G-2)</w:t>
      </w:r>
    </w:p>
    <w:p w14:paraId="7FE1B30E" w14:textId="67922446" w:rsidR="00FE5D64" w:rsidRDefault="00E40776">
      <w:pPr>
        <w:pStyle w:val="P68B1DB1-body7"/>
        <w:numPr>
          <w:ilvl w:val="0"/>
          <w:numId w:val="217"/>
        </w:numPr>
      </w:pPr>
      <w:r>
        <w:t>Z 13.00 — Всички депозити (с изключение на вътрешногруповите) (LIAB-G-3)</w:t>
      </w:r>
    </w:p>
    <w:p w14:paraId="7FE1B30F" w14:textId="2D8F046E" w:rsidR="00FE5D64" w:rsidRDefault="00E40776">
      <w:pPr>
        <w:pStyle w:val="P68B1DB1-body7"/>
        <w:numPr>
          <w:ilvl w:val="0"/>
          <w:numId w:val="217"/>
        </w:numPr>
      </w:pPr>
      <w:r>
        <w:t>Z 14.00 — Други финансови пасиви (LIAB-G-4)</w:t>
      </w:r>
    </w:p>
    <w:p w14:paraId="7FE1B310" w14:textId="69B08C3E" w:rsidR="00FE5D64" w:rsidRDefault="00E40776">
      <w:pPr>
        <w:pStyle w:val="P68B1DB1-body7"/>
        <w:numPr>
          <w:ilvl w:val="1"/>
          <w:numId w:val="211"/>
        </w:numPr>
      </w:pPr>
      <w:r>
        <w:t>Z 15.00 — Деривати (LIAB-G-5)</w:t>
      </w:r>
    </w:p>
    <w:p w14:paraId="7FE1B311" w14:textId="2130BFF9" w:rsidR="00FE5D64" w:rsidRDefault="00E40776">
      <w:pPr>
        <w:pStyle w:val="P68B1DB1-body7"/>
        <w:numPr>
          <w:ilvl w:val="1"/>
          <w:numId w:val="211"/>
        </w:numPr>
      </w:pPr>
      <w:r>
        <w:t>Z 16.00 — Обезпечено финансиране, с изключение на вътрешногруповото финансиране (LIAB-G-6)</w:t>
      </w:r>
    </w:p>
    <w:p w14:paraId="7FE1B312" w14:textId="77742066" w:rsidR="00FE5D64" w:rsidRDefault="00E40776">
      <w:pPr>
        <w:pStyle w:val="P68B1DB1-body7"/>
        <w:numPr>
          <w:ilvl w:val="1"/>
          <w:numId w:val="211"/>
        </w:numPr>
      </w:pPr>
      <w:r>
        <w:t>Z 17.00 — Други нефинансови пасиви (LIAB-G-7)</w:t>
      </w:r>
    </w:p>
    <w:p w14:paraId="7FE1B313" w14:textId="77777777" w:rsidR="00FE5D64" w:rsidRDefault="00FE5D64">
      <w:pPr>
        <w:pStyle w:val="body"/>
        <w:ind w:left="426"/>
        <w:rPr>
          <w:rFonts w:ascii="Times New Roman" w:hAnsi="Times New Roman" w:cs="Times New Roman"/>
          <w:color w:val="000000" w:themeColor="text1"/>
          <w:sz w:val="20"/>
          <w:szCs w:val="20"/>
        </w:rPr>
      </w:pPr>
    </w:p>
    <w:p w14:paraId="7FE1B314" w14:textId="77777777" w:rsidR="00FE5D64" w:rsidRDefault="00E40776">
      <w:pPr>
        <w:pStyle w:val="P68B1DB1-Instructionsberschrift25"/>
        <w:numPr>
          <w:ilvl w:val="1"/>
          <w:numId w:val="49"/>
        </w:numPr>
        <w:ind w:left="357" w:hanging="357"/>
      </w:pPr>
      <w:bookmarkStart w:id="6" w:name="_Toc81454172"/>
      <w:bookmarkStart w:id="7" w:name="_Toc208244445"/>
      <w:r>
        <w:t>Отправни документи</w:t>
      </w:r>
      <w:bookmarkEnd w:id="6"/>
      <w:bookmarkEnd w:id="7"/>
    </w:p>
    <w:p w14:paraId="7FE1B315" w14:textId="77777777" w:rsidR="00FE5D64" w:rsidRDefault="00E40776">
      <w:pPr>
        <w:pStyle w:val="P68B1DB1-InstructionsText26"/>
        <w:numPr>
          <w:ilvl w:val="0"/>
          <w:numId w:val="225"/>
        </w:numPr>
        <w:spacing w:before="0"/>
      </w:pPr>
      <w:r>
        <w:t>За целите на настоящото приложение се прилагат следните съкращения:</w:t>
      </w:r>
    </w:p>
    <w:p w14:paraId="7FE1B317" w14:textId="77777777" w:rsidR="00FE5D64" w:rsidRDefault="00E40776">
      <w:pPr>
        <w:pStyle w:val="P68B1DB1-ListParagraph8"/>
        <w:numPr>
          <w:ilvl w:val="0"/>
          <w:numId w:val="60"/>
        </w:numPr>
        <w:ind w:left="1074"/>
        <w:jc w:val="both"/>
      </w:pPr>
      <w:r>
        <w:t>„КПСС“ означава Комитетът по платежни и сетълмент системи към Банката за международни разплащания;</w:t>
      </w:r>
    </w:p>
    <w:p w14:paraId="7FE1B318" w14:textId="36318AB0" w:rsidR="00FE5D64" w:rsidRDefault="00E40776">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означава образците за FINREP, включени в приложение I към регламент за изпълнение (ЕС) 2024/3117 на Комисията;</w:t>
      </w:r>
      <w:r>
        <w:rPr>
          <w:rStyle w:val="FootnoteReference"/>
          <w:rFonts w:ascii="Times New Roman" w:hAnsi="Times New Roman"/>
          <w:sz w:val="20"/>
          <w:szCs w:val="20"/>
        </w:rPr>
        <w:footnoteReference w:id="2"/>
      </w:r>
    </w:p>
    <w:p w14:paraId="7FE1B319" w14:textId="5E436E82" w:rsidR="00FE5D64" w:rsidRDefault="00E40776">
      <w:pPr>
        <w:pStyle w:val="P68B1DB1-ListParagraph8"/>
        <w:numPr>
          <w:ilvl w:val="0"/>
          <w:numId w:val="60"/>
        </w:numPr>
        <w:ind w:left="1074"/>
        <w:jc w:val="both"/>
      </w:pPr>
      <w:r>
        <w:t>„COREP (OF)“ означава образците COREP (OF), включени в приложение I към регламент за изпълнение (ЕС) 2024/3117 на Комисията;</w:t>
      </w:r>
    </w:p>
    <w:p w14:paraId="7FE1B31A" w14:textId="2492C34D" w:rsidR="00FE5D64" w:rsidRDefault="00E40776">
      <w:pPr>
        <w:pStyle w:val="P68B1DB1-ListParagraph8"/>
        <w:numPr>
          <w:ilvl w:val="0"/>
          <w:numId w:val="60"/>
        </w:numPr>
        <w:ind w:left="1074"/>
        <w:jc w:val="both"/>
      </w:pPr>
      <w:r>
        <w:t>„COREP (LR)“ означава образците за COREP (LR), включени в приложение I към регламент за изпълнение (ЕС) 2024/3117 на Комисията;</w:t>
      </w:r>
    </w:p>
    <w:p w14:paraId="7FE1B31B" w14:textId="77777777" w:rsidR="00FE5D64" w:rsidRDefault="00E40776">
      <w:pPr>
        <w:pStyle w:val="P68B1DB1-ListParagraph8"/>
        <w:numPr>
          <w:ilvl w:val="0"/>
          <w:numId w:val="60"/>
        </w:numPr>
        <w:ind w:left="1074"/>
        <w:jc w:val="both"/>
      </w:pPr>
      <w:r>
        <w:t>„СФС“ означава Съветът за финансова стабилност;</w:t>
      </w:r>
    </w:p>
    <w:p w14:paraId="7FE1B31C" w14:textId="77777777" w:rsidR="00FE5D64" w:rsidRDefault="00E40776">
      <w:pPr>
        <w:pStyle w:val="P68B1DB1-ListParagraph9"/>
        <w:numPr>
          <w:ilvl w:val="0"/>
          <w:numId w:val="60"/>
        </w:numPr>
        <w:ind w:left="1074"/>
        <w:jc w:val="both"/>
        <w:rPr>
          <w:color w:val="000000" w:themeColor="text1"/>
          <w:sz w:val="20"/>
          <w:szCs w:val="20"/>
        </w:rPr>
      </w:pPr>
      <w:r>
        <w:rPr>
          <w:color w:val="000000" w:themeColor="text1"/>
          <w:sz w:val="20"/>
          <w:szCs w:val="20"/>
        </w:rPr>
        <w:lastRenderedPageBreak/>
        <w:t>„МСС“ означава международни счетоводни стандарти съгласно определението в член 2 от Регламент (ЕО) № 1606/2002 на Европейския парламент и на Съвета</w:t>
      </w:r>
      <w:r>
        <w:footnoteReference w:id="3"/>
      </w:r>
      <w:r>
        <w:rPr>
          <w:color w:val="000000" w:themeColor="text1"/>
          <w:sz w:val="20"/>
          <w:szCs w:val="20"/>
        </w:rPr>
        <w:t>;</w:t>
      </w:r>
    </w:p>
    <w:p w14:paraId="7FE1B31D" w14:textId="77777777" w:rsidR="00FE5D64" w:rsidRDefault="00E40776">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„МСФО“ означава Международните стандарти за финансово отчитане съгласно определението в член 2 от Регламент (ЕО) №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FE5D64" w:rsidRDefault="00E40776">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„ИКПС“ означава идентификационен код на правния субект, който се определя с цел постигане на уникална и световно приложима идентификация на страните по финансови сделки по предложение на Съвета за финансова стабилност (FSB) и с одобрението на G20. Докато глобалната система за ИКПС започне изцяло да функционира, контрагентите получават предварителни ИКПС, определяни от местни оперативни звена, одобрени от Регулаторния надзорен комитет (за повече подробности вж. следния уебсайт: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При идентифицирането на контрагент се използва неговият ИКПС, ако има такъв;</w:t>
      </w:r>
    </w:p>
    <w:p w14:paraId="7FE1B31F" w14:textId="34CF2B95" w:rsidR="00FE5D64" w:rsidRDefault="00E40776">
      <w:pPr>
        <w:pStyle w:val="P68B1DB1-ListParagraph8"/>
        <w:numPr>
          <w:ilvl w:val="0"/>
          <w:numId w:val="60"/>
        </w:numPr>
        <w:ind w:left="1074"/>
        <w:jc w:val="both"/>
      </w:pPr>
      <w:r>
        <w:t>„Идентификационен код на ПФИ „или „Парична финансова институция„е уникален идентификационен код на ПФИ в списъка на ПФИ, поддържан и публикуван от ЕЦБ за статистически цели в съответствие с Регламент (ЕС) 2021/379 на Европейската централна банка от 22 януари 2021 г. относно балансовите позиции на кредитните институции и на сектор „Парично-финансови институции“ (преработен текст) (ECB/2021/2), който се отчита, когато вече не съществува ИКПС.</w:t>
      </w:r>
    </w:p>
    <w:p w14:paraId="7FE1B320" w14:textId="0AC7C627" w:rsidR="00FE5D64" w:rsidRDefault="00E40776">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„NGAAP„или „национални общоприети счетоводни принципи“ означава национални счетоводни рамки, разработени съгласно Директива 86/635/ЕИО</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FE5D64" w:rsidRDefault="00E40776">
      <w:pPr>
        <w:pStyle w:val="P68B1DB1-ListParagraph8"/>
        <w:numPr>
          <w:ilvl w:val="0"/>
          <w:numId w:val="60"/>
        </w:numPr>
        <w:ind w:left="1074"/>
        <w:jc w:val="both"/>
      </w:pPr>
      <w:r>
        <w:t>„Оперативен актив“ — актив, който не е финансов актив и от който се изисква да извършва съответните услуги, като например недвижимо имущество; интелектуална собственост, включително търговски марки, патенти и софтуер; хардуер; Информационни системи и приложения; и складове за данни. Оперативните активи са критични/основни, когато достъпът до тях е необходим за извършването на критична/основна услуга;</w:t>
      </w:r>
    </w:p>
    <w:p w14:paraId="7FE1B322" w14:textId="77777777" w:rsidR="00FE5D64" w:rsidRDefault="00E40776">
      <w:pPr>
        <w:pStyle w:val="P68B1DB1-ListParagraph8"/>
        <w:numPr>
          <w:ilvl w:val="0"/>
          <w:numId w:val="60"/>
        </w:numPr>
        <w:ind w:left="1074"/>
        <w:jc w:val="both"/>
      </w:pPr>
      <w:r>
        <w:t>„Съответни услуги“ — услуги, които са в основата на i) критичните функции на банката за икономиката (критични услуги) и ii) основните стопански дейности (основни услуги), за които е необходима непрекъснатост за ефективното изпълнение на стратегията за преструктуриране. Тези категории могат да се припокриват. Това се отнася по аналогия за оперативните активи и персонала.</w:t>
      </w:r>
    </w:p>
    <w:p w14:paraId="7FE1B323" w14:textId="77777777" w:rsidR="00FE5D64" w:rsidRDefault="00E40776">
      <w:pPr>
        <w:pStyle w:val="P68B1DB1-ListParagraph8"/>
        <w:numPr>
          <w:ilvl w:val="0"/>
          <w:numId w:val="60"/>
        </w:numPr>
        <w:ind w:left="1074"/>
        <w:jc w:val="both"/>
      </w:pPr>
      <w:r>
        <w:t>„Съответни роли“ — длъжности, чието свободно работно място в режим на преструктуриране може да представлява пречка за непрекъснатостта на критичните функции и основните стопански дейности, необходими за ефективното изпълнение на стратегията за преструктуриране и всяко последващо преструктуриране.</w:t>
      </w:r>
    </w:p>
    <w:p w14:paraId="7FE1B324" w14:textId="77777777" w:rsidR="00FE5D64" w:rsidRDefault="00FE5D64">
      <w:pPr>
        <w:pStyle w:val="ListParagraph"/>
        <w:ind w:left="1074"/>
        <w:rPr>
          <w:rFonts w:ascii="Times New Roman" w:hAnsi="Times New Roman"/>
          <w:color w:val="000000" w:themeColor="text1"/>
          <w:sz w:val="20"/>
          <w:szCs w:val="20"/>
        </w:rPr>
      </w:pPr>
    </w:p>
    <w:p w14:paraId="7FE1B325" w14:textId="77777777" w:rsidR="00FE5D64" w:rsidRDefault="00E40776">
      <w:pPr>
        <w:pStyle w:val="P68B1DB1-Instructionsberschrift25"/>
        <w:numPr>
          <w:ilvl w:val="1"/>
          <w:numId w:val="49"/>
        </w:numPr>
        <w:ind w:left="357" w:hanging="357"/>
      </w:pPr>
      <w:bookmarkStart w:id="8" w:name="_Toc81454173"/>
      <w:bookmarkStart w:id="9" w:name="_Toc208244446"/>
      <w:r>
        <w:t>Счетоводни стандарти</w:t>
      </w:r>
      <w:bookmarkEnd w:id="8"/>
      <w:bookmarkEnd w:id="9"/>
    </w:p>
    <w:p w14:paraId="7FE1B326" w14:textId="6C573E68" w:rsidR="00FE5D64" w:rsidRDefault="00E40776">
      <w:pPr>
        <w:pStyle w:val="P68B1DB1-InstructionsText26"/>
        <w:numPr>
          <w:ilvl w:val="0"/>
          <w:numId w:val="71"/>
        </w:numPr>
        <w:spacing w:before="0"/>
        <w:ind w:left="714" w:hanging="357"/>
      </w:pPr>
      <w:r>
        <w:t xml:space="preserve">Ако в настоящите указания не е посочено друго, институциите докладват всички суми въз основа на използваната от тях счетоводна рамка за отчитане на финансовата информация в съответствие с членове 9—11 от Регламент за изпълнение (ЕС) 2024/3117. Институциите, които не са задължени да отчитат финансова информация в съответствие с Регламент за изпълнение (ЕС) 2024/3117, прилагат правилата на своята съответна счетоводна рамка. </w:t>
      </w:r>
    </w:p>
    <w:p w14:paraId="7FE1B327" w14:textId="77777777" w:rsidR="00FE5D64" w:rsidRDefault="00E40776">
      <w:pPr>
        <w:pStyle w:val="P68B1DB1-InstructionsText26"/>
        <w:numPr>
          <w:ilvl w:val="0"/>
          <w:numId w:val="227"/>
        </w:numPr>
        <w:spacing w:before="0"/>
      </w:pPr>
      <w:r>
        <w:t>За институциите, които се отчитат по МСФО, са добавени препратки към съответните МСФО.</w:t>
      </w:r>
    </w:p>
    <w:p w14:paraId="7FE1B328" w14:textId="77777777" w:rsidR="00FE5D64" w:rsidRDefault="00E40776">
      <w:pPr>
        <w:pStyle w:val="P68B1DB1-Instructionsberschrift25"/>
        <w:numPr>
          <w:ilvl w:val="1"/>
          <w:numId w:val="49"/>
        </w:numPr>
        <w:ind w:left="357" w:hanging="357"/>
      </w:pPr>
      <w:bookmarkStart w:id="10" w:name="_Hlk167181695"/>
      <w:bookmarkStart w:id="11" w:name="_Toc81454174"/>
      <w:bookmarkStart w:id="12" w:name="_Toc208244447"/>
      <w:r>
        <w:lastRenderedPageBreak/>
        <w:t>Докладване на надзорни данни</w:t>
      </w:r>
      <w:bookmarkEnd w:id="12"/>
    </w:p>
    <w:p w14:paraId="7FE1B329" w14:textId="6A020DBF" w:rsidR="00FE5D64" w:rsidRDefault="00E40776">
      <w:pPr>
        <w:pStyle w:val="P68B1DB1-Instructionsberschrift310"/>
        <w:numPr>
          <w:ilvl w:val="4"/>
          <w:numId w:val="49"/>
        </w:numPr>
      </w:pPr>
      <w:r>
        <w:t>Когато отчитащият се субект подлежи на надзорна отчетност съгласно Регламент (ЕС) № 575/2013 на</w:t>
      </w:r>
      <w:r>
        <w:footnoteReference w:id="6"/>
      </w:r>
      <w:r>
        <w:t xml:space="preserve"> консолидирано или индивидуално равнище към исканата референтна дата за планиране на преструктурирането, от субекта не се изисква да декларира онези данни, които вече са били докладвани. Органите за преструктуриране ще получат тези данни директно от надзорните доклади, които вече са декларирани от докладващия субект.</w:t>
      </w:r>
    </w:p>
    <w:p w14:paraId="7FE1B32A" w14:textId="05B0296B" w:rsidR="00FE5D64" w:rsidRDefault="00E40776">
      <w:pPr>
        <w:pStyle w:val="Instructionsberschrift3"/>
        <w:numPr>
          <w:ilvl w:val="4"/>
          <w:numId w:val="49"/>
        </w:numPr>
      </w:pPr>
      <w:r>
        <w:rPr>
          <w:u w:val="none"/>
        </w:rPr>
        <w:t xml:space="preserve">Когато субектът не подлежи на надзорна отчетност към дадената референтна дата, от субекта ще се изисква да декларира тези данни в съответствие с Регламент за изпълнение (ЕС) </w:t>
      </w:r>
      <w:r>
        <w:rPr>
          <w:highlight w:val="yellow"/>
          <w:u w:val="none"/>
        </w:rPr>
        <w:t>20XX/XXX</w:t>
      </w:r>
      <w:r>
        <w:t xml:space="preserve">. </w:t>
      </w:r>
      <w:r>
        <w:rPr>
          <w:u w:val="none"/>
        </w:rPr>
        <w:t>.</w:t>
      </w:r>
    </w:p>
    <w:p w14:paraId="7FE1B32B" w14:textId="77777777" w:rsidR="00FE5D64" w:rsidRDefault="00E40776">
      <w:pPr>
        <w:pStyle w:val="P68B1DB1-Instructionsberschrift25"/>
        <w:numPr>
          <w:ilvl w:val="1"/>
          <w:numId w:val="49"/>
        </w:numPr>
        <w:ind w:left="357" w:hanging="357"/>
      </w:pPr>
      <w:bookmarkStart w:id="13" w:name="_Toc208244448"/>
      <w:bookmarkEnd w:id="10"/>
      <w:r>
        <w:t>Обхват на консолидацията</w:t>
      </w:r>
      <w:bookmarkEnd w:id="11"/>
      <w:bookmarkEnd w:id="13"/>
    </w:p>
    <w:p w14:paraId="7FE1B32C" w14:textId="77777777" w:rsidR="00FE5D64" w:rsidRDefault="00E40776">
      <w:pPr>
        <w:pStyle w:val="P68B1DB1-InstructionsText26"/>
        <w:numPr>
          <w:ilvl w:val="0"/>
          <w:numId w:val="228"/>
        </w:numPr>
        <w:spacing w:before="0"/>
      </w:pPr>
      <w:r>
        <w:t>В зависимост от образеца настоящата рамка се отнася за:</w:t>
      </w:r>
    </w:p>
    <w:p w14:paraId="7FE1B32D" w14:textId="77777777" w:rsidR="00FE5D64" w:rsidRDefault="00E40776">
      <w:pPr>
        <w:pStyle w:val="P68B1DB1-numberedparagraph11"/>
        <w:numPr>
          <w:ilvl w:val="0"/>
          <w:numId w:val="81"/>
        </w:numPr>
        <w:rPr>
          <w:rFonts w:eastAsiaTheme="majorEastAsia"/>
        </w:rPr>
      </w:pPr>
      <w:r>
        <w:t>консолидация въз основа на консолидирано счетоводно отчитане (субекти, включени в консолидирания финансов отчет съгласно приложимата счетоводна рамка);</w:t>
      </w:r>
    </w:p>
    <w:p w14:paraId="7FE1B32E" w14:textId="179BBDC6" w:rsidR="00FE5D64" w:rsidRDefault="00E40776">
      <w:pPr>
        <w:pStyle w:val="P68B1DB1-numberedparagraph11"/>
        <w:numPr>
          <w:ilvl w:val="0"/>
          <w:numId w:val="81"/>
        </w:numPr>
        <w:rPr>
          <w:rFonts w:eastAsiaTheme="majorEastAsia"/>
        </w:rPr>
      </w:pPr>
      <w:r>
        <w:t xml:space="preserve">пруденциална консолидация (субекти в обхвата на консолидацията съгласно първа част, дял II, глава 2 от Регламент (ЕС) № 575/2013 на Европейския парламент и на Съвета) на равнището на предприятието майка от Съюза; </w:t>
      </w:r>
    </w:p>
    <w:p w14:paraId="7FE1B32F" w14:textId="77777777" w:rsidR="00FE5D64" w:rsidRDefault="00E40776">
      <w:pPr>
        <w:pStyle w:val="P68B1DB1-numberedparagraph11"/>
        <w:numPr>
          <w:ilvl w:val="0"/>
          <w:numId w:val="81"/>
        </w:numPr>
        <w:rPr>
          <w:rFonts w:eastAsiaTheme="majorEastAsia"/>
        </w:rPr>
      </w:pPr>
      <w:r>
        <w:t>консолидация на равнището на субекта за преструктуриране за групата за преструктуриране.</w:t>
      </w:r>
    </w:p>
    <w:p w14:paraId="7FE1B330" w14:textId="4B5FA476" w:rsidR="00FE5D64" w:rsidRDefault="00E40776">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За всеки образец институциите следват консолидационната основа или основи, приложими съгласно член 2 от член 5 от Регламент за изпълнение (ЕС</w:t>
      </w:r>
      <w:r>
        <w:rPr>
          <w:rFonts w:ascii="Times New Roman" w:hAnsi="Times New Roman" w:cs="Times New Roman"/>
          <w:sz w:val="20"/>
          <w:szCs w:val="20"/>
          <w:highlight w:val="yellow"/>
        </w:rPr>
        <w:t>)</w:t>
      </w:r>
      <w:r>
        <w:rPr>
          <w:highlight w:val="yellow"/>
        </w:rPr>
        <w:t>No</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FE5D64" w:rsidRDefault="00E40776">
      <w:pPr>
        <w:pStyle w:val="P68B1DB1-Instructionsberschrift25"/>
        <w:numPr>
          <w:ilvl w:val="1"/>
          <w:numId w:val="49"/>
        </w:numPr>
        <w:ind w:left="357" w:hanging="357"/>
      </w:pPr>
      <w:bookmarkStart w:id="14" w:name="_Toc81454175"/>
      <w:bookmarkStart w:id="15" w:name="_Toc208244449"/>
      <w:r>
        <w:t>Номериране и други установени практики</w:t>
      </w:r>
      <w:bookmarkEnd w:id="14"/>
      <w:bookmarkEnd w:id="15"/>
    </w:p>
    <w:p w14:paraId="7FE1B332" w14:textId="639ED14D" w:rsidR="00FE5D64" w:rsidRDefault="00E40776">
      <w:pPr>
        <w:pStyle w:val="P68B1DB1-InstructionsText26"/>
        <w:numPr>
          <w:ilvl w:val="0"/>
          <w:numId w:val="230"/>
        </w:numPr>
        <w:spacing w:before="0"/>
      </w:pPr>
      <w:r>
        <w:t>Настоящите указания следват посоченото по-долу условно обозначаване на колоните, редовете и полетата в образците. Тези цифрови кодове се използват широко в правилата за утвърждаване.</w:t>
      </w:r>
    </w:p>
    <w:p w14:paraId="7FE1B333" w14:textId="24776AD5" w:rsidR="00FE5D64" w:rsidRDefault="00E40776">
      <w:pPr>
        <w:pStyle w:val="P68B1DB1-InstructionsText26"/>
        <w:numPr>
          <w:ilvl w:val="0"/>
          <w:numId w:val="230"/>
        </w:numPr>
        <w:spacing w:before="0"/>
      </w:pPr>
      <w:r>
        <w:t>В настоящите указания се спазват следните общи правила за обозначаване при посочване на колони, редове и полета в образците: {Образец;Ред;Колона}.</w:t>
      </w:r>
    </w:p>
    <w:p w14:paraId="7FE1B334" w14:textId="144A32B1" w:rsidR="00FE5D64" w:rsidRDefault="00E40776">
      <w:pPr>
        <w:pStyle w:val="P68B1DB1-InstructionsText26"/>
        <w:numPr>
          <w:ilvl w:val="0"/>
          <w:numId w:val="230"/>
        </w:numPr>
        <w:spacing w:before="0"/>
      </w:pPr>
      <w:r>
        <w:t>При валидиране в рамките на даден образец, при което се използват само данни от него, в означението не се посочва образец: [...] Ред; Колона“.</w:t>
      </w:r>
    </w:p>
    <w:p w14:paraId="7FE1B335" w14:textId="77777777" w:rsidR="00FE5D64" w:rsidRDefault="00E40776">
      <w:pPr>
        <w:pStyle w:val="P68B1DB1-InstructionsText26"/>
        <w:numPr>
          <w:ilvl w:val="0"/>
          <w:numId w:val="230"/>
        </w:numPr>
        <w:spacing w:before="0"/>
      </w:pPr>
      <w:r>
        <w:t>При образците, които имат само една колона, се посочват само редовете: „Образец „; „Ред“.</w:t>
      </w:r>
    </w:p>
    <w:p w14:paraId="7FE1B336" w14:textId="77777777" w:rsidR="00FE5D64" w:rsidRDefault="00E40776">
      <w:pPr>
        <w:pStyle w:val="P68B1DB1-InstructionsText26"/>
        <w:numPr>
          <w:ilvl w:val="0"/>
          <w:numId w:val="230"/>
        </w:numPr>
        <w:spacing w:before="0"/>
      </w:pPr>
      <w:r>
        <w:t>Знакът „звездичка“ се използва, за да се покаже, че се извършва утвърждаване на посочените преди това редове или колони.</w:t>
      </w:r>
    </w:p>
    <w:p w14:paraId="7FE1B337" w14:textId="77777777" w:rsidR="00FE5D64" w:rsidRDefault="00E40776">
      <w:pPr>
        <w:pStyle w:val="P68B1DB1-InstructionsText26"/>
        <w:numPr>
          <w:ilvl w:val="0"/>
          <w:numId w:val="230"/>
        </w:numPr>
        <w:spacing w:before="0"/>
      </w:pPr>
      <w:r>
        <w:t>Когато информативен елемент не е приложим за субектите, за които се предоставя информация, съответното поле се оставя празно.</w:t>
      </w:r>
    </w:p>
    <w:p w14:paraId="7FE1B338" w14:textId="77777777" w:rsidR="00FE5D64" w:rsidRDefault="00E40776">
      <w:pPr>
        <w:pStyle w:val="P68B1DB1-InstructionsText26"/>
        <w:numPr>
          <w:ilvl w:val="0"/>
          <w:numId w:val="230"/>
        </w:numPr>
        <w:spacing w:before="0"/>
      </w:pPr>
      <w:r>
        <w:t xml:space="preserve">Когато настоящите инструкции посочват първичен код, това означава колона или комбинация от колони, предназначени за определяне по уникален начин на всички </w:t>
      </w:r>
      <w:r>
        <w:lastRenderedPageBreak/>
        <w:t>редове от образеца. Първичният код съдържа уникална стойност за всеки ред от образеца. Той не може да съдържа нулева стойност.</w:t>
      </w:r>
    </w:p>
    <w:p w14:paraId="7FE1B339" w14:textId="77777777" w:rsidR="00FE5D64" w:rsidRDefault="00E40776">
      <w:pPr>
        <w:pStyle w:val="P68B1DB1-Instructionsberschrift24"/>
        <w:numPr>
          <w:ilvl w:val="0"/>
          <w:numId w:val="49"/>
        </w:numPr>
        <w:ind w:left="357" w:hanging="357"/>
      </w:pPr>
      <w:bookmarkStart w:id="16" w:name="_Toc492542319"/>
      <w:bookmarkStart w:id="17" w:name="_Toc81454176"/>
      <w:bookmarkStart w:id="18" w:name="_Toc208244450"/>
      <w:r>
        <w:t>Указания за образците</w:t>
      </w:r>
      <w:bookmarkEnd w:id="16"/>
      <w:bookmarkEnd w:id="17"/>
      <w:bookmarkEnd w:id="18"/>
    </w:p>
    <w:p w14:paraId="7FE1B33A" w14:textId="0E76C32D" w:rsidR="00FE5D64" w:rsidRDefault="00E40776">
      <w:pPr>
        <w:pStyle w:val="P68B1DB1-Instructionsberschrift25"/>
        <w:numPr>
          <w:ilvl w:val="1"/>
          <w:numId w:val="49"/>
        </w:numPr>
        <w:ind w:left="357" w:hanging="357"/>
      </w:pPr>
      <w:bookmarkStart w:id="19" w:name="_Toc493236007"/>
      <w:bookmarkStart w:id="20" w:name="_Toc81454177"/>
      <w:bookmarkStart w:id="21" w:name="_Toc208244451"/>
      <w:bookmarkEnd w:id="19"/>
      <w:r>
        <w:t>Z 01.01 — Юридически лица (ORG 1)</w:t>
      </w:r>
      <w:bookmarkEnd w:id="20"/>
      <w:bookmarkEnd w:id="21"/>
    </w:p>
    <w:p w14:paraId="7FE1B33B" w14:textId="77777777" w:rsidR="00FE5D64" w:rsidRDefault="00E40776">
      <w:pPr>
        <w:pStyle w:val="Instructionsberschrift3"/>
      </w:pPr>
      <w:r>
        <w:t>Общи бележки</w:t>
      </w:r>
    </w:p>
    <w:p w14:paraId="7FE1B33C" w14:textId="73410408" w:rsidR="00FE5D64" w:rsidRDefault="00E40776">
      <w:pPr>
        <w:pStyle w:val="P68B1DB1-InstructionsText26"/>
        <w:numPr>
          <w:ilvl w:val="0"/>
          <w:numId w:val="231"/>
        </w:numPr>
        <w:spacing w:before="0"/>
      </w:pPr>
      <w:r>
        <w:t xml:space="preserve">За всички дружества от групата, попадащи в обхвата на счетоводната консолидация, се представя единен образец. В този образец се посочват само правни субекти. </w:t>
      </w:r>
    </w:p>
    <w:p w14:paraId="7FE1B33D" w14:textId="32A49085" w:rsidR="00FE5D64" w:rsidRDefault="00E40776">
      <w:pPr>
        <w:pStyle w:val="P68B1DB1-InstructionsText26"/>
        <w:numPr>
          <w:ilvl w:val="0"/>
          <w:numId w:val="231"/>
        </w:numPr>
        <w:spacing w:before="0"/>
      </w:pPr>
      <w:r>
        <w:t>Понятието „съответни правни субекти“ не се ограничава само до банковите операции, а включва и други субекти, които са необходими за подпомагане на операциите на банковата група по съществен начин. Това включва доставчици на услуги за критични функции или/и значителни стопански дейности, предоставящи финансиране субекти и други субекти, които са тясно свързани (икономически) с групата. Очаква се определянето на тези допълнителни субекти да се ръководи от изискванията на стратегията за преструктуриране, които</w:t>
      </w:r>
      <w:r>
        <w:t xml:space="preserve"> се определят от органите за преструктуриране.</w:t>
      </w:r>
    </w:p>
    <w:p w14:paraId="7FE1B33E" w14:textId="77777777" w:rsidR="00FE5D64" w:rsidRDefault="00E40776">
      <w:pPr>
        <w:pStyle w:val="P68B1DB1-Instructionsberschrift312"/>
      </w:pPr>
      <w:r>
        <w:t>Указания относно определени позиции</w:t>
      </w:r>
    </w:p>
    <w:p w14:paraId="7FE1B33F" w14:textId="77777777" w:rsidR="00FE5D64" w:rsidRDefault="00FE5D64">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52"/>
        <w:gridCol w:w="8174"/>
      </w:tblGrid>
      <w:tr w:rsidR="00FE5D64"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FE5D64" w:rsidRDefault="00E40776">
            <w:pPr>
              <w:pStyle w:val="P68B1DB1-TableParagraph13"/>
              <w:spacing w:before="66"/>
              <w:rPr>
                <w:rFonts w:eastAsia="Cambria"/>
              </w:rPr>
            </w:pPr>
            <w:r>
              <w:t>Колони</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FE5D64" w:rsidRDefault="00E40776">
            <w:pPr>
              <w:pStyle w:val="P68B1DB1-TableParagraph13"/>
              <w:spacing w:before="66"/>
              <w:ind w:right="1"/>
              <w:jc w:val="center"/>
              <w:rPr>
                <w:rFonts w:eastAsia="Cambria"/>
              </w:rPr>
            </w:pPr>
            <w:r>
              <w:t>Указания</w:t>
            </w:r>
          </w:p>
        </w:tc>
      </w:tr>
      <w:tr w:rsidR="00FE5D64"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FE5D64" w:rsidRDefault="00E40776">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FE5D64" w:rsidRDefault="00E40776">
            <w:pPr>
              <w:pStyle w:val="P68B1DB1-TableParagraph14"/>
              <w:spacing w:before="108"/>
              <w:ind w:left="85"/>
            </w:pPr>
            <w:r>
              <w:t>Наименование</w:t>
            </w:r>
          </w:p>
          <w:p w14:paraId="7FE1B348" w14:textId="3D2D6D6A" w:rsidR="00FE5D64" w:rsidRDefault="00E40776">
            <w:pPr>
              <w:pStyle w:val="P68B1DB1-TableParagraph15"/>
              <w:spacing w:before="108"/>
              <w:ind w:left="85"/>
            </w:pPr>
            <w:r>
              <w:t>Наименование на организацията. Официално название, както е посочено в корпоративните документи, включително посочване на правната форма.</w:t>
            </w:r>
          </w:p>
        </w:tc>
      </w:tr>
      <w:tr w:rsidR="00FE5D64"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FE5D64" w:rsidRDefault="00E40776">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FE5D64" w:rsidRDefault="00E40776">
            <w:pPr>
              <w:pStyle w:val="P68B1DB1-TableParagraph14"/>
              <w:spacing w:before="108"/>
              <w:ind w:left="85"/>
            </w:pPr>
            <w:r>
              <w:t>Осемцифров код по ХС</w:t>
            </w:r>
          </w:p>
          <w:p w14:paraId="7FE1B34C" w14:textId="5527678D" w:rsidR="00FE5D64" w:rsidRDefault="00E40776">
            <w:pPr>
              <w:pStyle w:val="P68B1DB1-TableParagraph13"/>
              <w:spacing w:before="108"/>
              <w:ind w:left="85"/>
            </w:pPr>
            <w:r>
              <w:t>Код на субекта. За институциите кодът е 20-знаковият буквено-цифров ИКПС. За други субекти кодът е 20-цифреният буквено-цифров ИКПС или, ако няма такъв, идентификаторът на ПФИ или код съгласно единна кодификация, приложима в Съюза.</w:t>
            </w:r>
          </w:p>
          <w:p w14:paraId="7FE1B34D" w14:textId="77777777" w:rsidR="00FE5D64" w:rsidRDefault="00E40776">
            <w:pPr>
              <w:pStyle w:val="P68B1DB1-TableParagraph13"/>
              <w:spacing w:before="108"/>
              <w:ind w:left="85"/>
            </w:pPr>
            <w:r>
              <w:t>Кодът е собствен и се използва последователно във всички образци. Той трябва винаги да има стойност.</w:t>
            </w:r>
          </w:p>
        </w:tc>
      </w:tr>
      <w:tr w:rsidR="00FE5D64"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FE5D64" w:rsidRDefault="00E40776">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FE5D64" w:rsidRDefault="00E40776">
            <w:pPr>
              <w:pStyle w:val="P68B1DB1-TableParagraph14"/>
              <w:spacing w:before="108"/>
              <w:ind w:left="85"/>
              <w:jc w:val="both"/>
            </w:pPr>
            <w:r>
              <w:t>Вид на кодовете</w:t>
            </w:r>
          </w:p>
          <w:p w14:paraId="7FE1B352" w14:textId="7C9FB737" w:rsidR="00FE5D64" w:rsidRDefault="00E40776">
            <w:pPr>
              <w:pStyle w:val="P68B1DB1-TableParagraph13"/>
              <w:spacing w:before="108"/>
            </w:pPr>
            <w:r>
              <w:t>Избира се измежду следните варианти: „ИКПС „, „Код на ПФИ“ или „Вид идентификатор, различен от ИКПС или код на ПФИ.</w:t>
            </w:r>
          </w:p>
          <w:p w14:paraId="7FE1B353" w14:textId="77777777" w:rsidR="00FE5D64" w:rsidRDefault="00E40776">
            <w:pPr>
              <w:pStyle w:val="P68B1DB1-TableParagraph13"/>
              <w:spacing w:before="108"/>
              <w:ind w:left="85"/>
              <w:jc w:val="both"/>
              <w:rPr>
                <w:b/>
              </w:rPr>
            </w:pPr>
            <w:r>
              <w:t>Идентифицирането на субектите се извършва по последователен начин във всички образци.</w:t>
            </w:r>
          </w:p>
        </w:tc>
      </w:tr>
      <w:tr w:rsidR="00FE5D64"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FE5D64" w:rsidRDefault="00E40776">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FE5D64" w:rsidRDefault="00E40776">
            <w:pPr>
              <w:pStyle w:val="P68B1DB1-TableParagraph14"/>
              <w:spacing w:before="108"/>
              <w:ind w:left="85"/>
            </w:pPr>
            <w:r>
              <w:t>Вид субект</w:t>
            </w:r>
          </w:p>
          <w:p w14:paraId="7FE1B35B" w14:textId="77777777" w:rsidR="00FE5D64" w:rsidRDefault="00E40776">
            <w:pPr>
              <w:pStyle w:val="P68B1DB1-TableParagraph13"/>
              <w:spacing w:before="108"/>
              <w:ind w:left="85"/>
            </w:pPr>
            <w:r>
              <w:t>Видът субект е един от следните, подредени по приоритет:</w:t>
            </w:r>
          </w:p>
          <w:p w14:paraId="7FE1B35C" w14:textId="77777777" w:rsidR="00FE5D64" w:rsidRDefault="00E40776">
            <w:pPr>
              <w:pStyle w:val="P68B1DB1-TableParagraph13"/>
              <w:numPr>
                <w:ilvl w:val="0"/>
                <w:numId w:val="67"/>
              </w:numPr>
              <w:spacing w:before="108"/>
            </w:pPr>
            <w:r>
              <w:t>„Кредитна институция“;</w:t>
            </w:r>
          </w:p>
          <w:p w14:paraId="7FE1B35D" w14:textId="653C7762" w:rsidR="00FE5D64" w:rsidRDefault="00E40776">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Тази категория обхваща кредитни институции съгласно определението в член 4, параграф 1, точка 1 от Регламент (ЕС) № 575/2013, без да се включват субектите, посочени в член 2, параграф 5 от Директива 2013/36/ЕС</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FE5D64" w:rsidRDefault="00E40776">
            <w:pPr>
              <w:pStyle w:val="P68B1DB1-TableParagraph13"/>
              <w:numPr>
                <w:ilvl w:val="0"/>
                <w:numId w:val="67"/>
              </w:numPr>
              <w:spacing w:before="108"/>
            </w:pPr>
            <w:r>
              <w:t xml:space="preserve">„Инвестиционен посредник, към който се прилага изискването за начален капитал, </w:t>
            </w:r>
            <w:r>
              <w:lastRenderedPageBreak/>
              <w:t>предвидено в член 9, параграф 1 от Директива (ЕС) 2019/2034“</w:t>
            </w:r>
          </w:p>
          <w:p w14:paraId="7FE1B35F" w14:textId="3246B488" w:rsidR="00FE5D64" w:rsidRDefault="00E40776">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Тук спадат инвестиционните посредници по смисъла на член 4, параграф 1, точка 22 от Регламент (ЕС) 2019/2033, към</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които се прилага изискването за начален капитал, предвидено в член 9, параграф 1 от Директива (ЕС)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FE5D64" w:rsidRDefault="00E40776">
            <w:pPr>
              <w:pStyle w:val="P68B1DB1-TableParagraph13"/>
              <w:numPr>
                <w:ilvl w:val="0"/>
                <w:numId w:val="67"/>
              </w:numPr>
              <w:spacing w:before="108"/>
            </w:pPr>
            <w:r>
              <w:t>„Инвестиционен посредник, към който не се прилага изискването за начален капитал, предвидено в член 9, параграф 1 от Директива (ЕС) 2019/2034“</w:t>
            </w:r>
          </w:p>
          <w:p w14:paraId="7FE1B361" w14:textId="77777777" w:rsidR="00FE5D64" w:rsidRDefault="00E40776">
            <w:pPr>
              <w:pStyle w:val="P68B1DB1-TableParagraph13"/>
              <w:numPr>
                <w:ilvl w:val="0"/>
                <w:numId w:val="67"/>
              </w:numPr>
              <w:spacing w:before="108"/>
            </w:pPr>
            <w:r>
              <w:t>„Финансова институция“</w:t>
            </w:r>
          </w:p>
          <w:p w14:paraId="7FE1B362" w14:textId="77777777" w:rsidR="00FE5D64" w:rsidRDefault="00E40776">
            <w:pPr>
              <w:pStyle w:val="P68B1DB1-TableParagraph13"/>
              <w:spacing w:before="108"/>
              <w:ind w:left="445"/>
            </w:pPr>
            <w:r>
              <w:t>Тази категория обхваща финансови институции съгласно определението в член 4, параграф 1, точка 26 от Регламент (ЕС) № 575/2013, различни от класифицираните като „холдингови дружества“, както е описано в точка д) по-долу.</w:t>
            </w:r>
          </w:p>
          <w:p w14:paraId="7FE1B363" w14:textId="77777777" w:rsidR="00FE5D64" w:rsidRDefault="00E40776">
            <w:pPr>
              <w:pStyle w:val="P68B1DB1-TableParagraph13"/>
              <w:numPr>
                <w:ilvl w:val="0"/>
                <w:numId w:val="67"/>
              </w:numPr>
              <w:spacing w:before="108"/>
            </w:pPr>
            <w:r>
              <w:t>„Холдингово дружество“</w:t>
            </w:r>
          </w:p>
          <w:p w14:paraId="7FE1B364" w14:textId="77777777" w:rsidR="00FE5D64" w:rsidRDefault="00E40776">
            <w:pPr>
              <w:pStyle w:val="P68B1DB1-TableParagraph13"/>
              <w:spacing w:before="108"/>
              <w:ind w:left="445"/>
            </w:pPr>
            <w:r>
              <w:t>Тук спада което и да е от следните дружества:</w:t>
            </w:r>
          </w:p>
          <w:p w14:paraId="7FE1B365" w14:textId="77777777" w:rsidR="00FE5D64" w:rsidRDefault="00E40776">
            <w:pPr>
              <w:pStyle w:val="P68B1DB1-TableParagraph13"/>
              <w:numPr>
                <w:ilvl w:val="0"/>
                <w:numId w:val="68"/>
              </w:numPr>
              <w:spacing w:before="108"/>
            </w:pPr>
            <w:r>
              <w:t>Финансов холдинг съгласно определението в член 4, параграф 1, точка 20 от Регламент (ЕС) № 575/2013;</w:t>
            </w:r>
          </w:p>
          <w:p w14:paraId="7FE1B366" w14:textId="77777777" w:rsidR="00FE5D64" w:rsidRDefault="00E40776">
            <w:pPr>
              <w:pStyle w:val="P68B1DB1-TableParagraph13"/>
              <w:numPr>
                <w:ilvl w:val="0"/>
                <w:numId w:val="68"/>
              </w:numPr>
              <w:spacing w:before="108"/>
            </w:pPr>
            <w:r>
              <w:t>Финансов холдинг със смесена дейност съгласно определението в член 4, параграф 1, точка 21 от Регламент (ЕС) № 575/2013;</w:t>
            </w:r>
          </w:p>
          <w:p w14:paraId="7FE1B367" w14:textId="77777777" w:rsidR="00FE5D64" w:rsidRDefault="00E40776">
            <w:pPr>
              <w:pStyle w:val="P68B1DB1-TableParagraph13"/>
              <w:numPr>
                <w:ilvl w:val="0"/>
                <w:numId w:val="68"/>
              </w:numPr>
              <w:spacing w:before="108"/>
            </w:pPr>
            <w:r>
              <w:t>Холдинг със смесена дейност съгласно определението в член 4, параграф 1, точка 22 от Регламент (ЕС) № 575/2013;</w:t>
            </w:r>
          </w:p>
          <w:p w14:paraId="7FE1B368" w14:textId="77777777" w:rsidR="00FE5D64" w:rsidRDefault="00E40776">
            <w:pPr>
              <w:pStyle w:val="P68B1DB1-TableParagraph13"/>
              <w:numPr>
                <w:ilvl w:val="0"/>
                <w:numId w:val="68"/>
              </w:numPr>
              <w:spacing w:before="108"/>
            </w:pPr>
            <w:r>
              <w:t>Финансов холдинг майка съгласно определението в член 4, параграф 1, точка 30 от Регламент (ЕС) № 575/2013;</w:t>
            </w:r>
          </w:p>
          <w:p w14:paraId="7FE1B369" w14:textId="77777777" w:rsidR="00FE5D64" w:rsidRDefault="00E40776">
            <w:pPr>
              <w:pStyle w:val="P68B1DB1-TableParagraph13"/>
              <w:numPr>
                <w:ilvl w:val="0"/>
                <w:numId w:val="68"/>
              </w:numPr>
              <w:spacing w:before="108"/>
            </w:pPr>
            <w:r>
              <w:t>Финансов холдинг майка от Съюза съгласно определението в член 4, параграф 1, точка 31 от Регламент (ЕС) № 575/2013;</w:t>
            </w:r>
          </w:p>
          <w:p w14:paraId="7FE1B36A" w14:textId="77777777" w:rsidR="00FE5D64" w:rsidRDefault="00E40776">
            <w:pPr>
              <w:pStyle w:val="P68B1DB1-TableParagraph13"/>
              <w:numPr>
                <w:ilvl w:val="0"/>
                <w:numId w:val="68"/>
              </w:numPr>
              <w:spacing w:before="108"/>
            </w:pPr>
            <w:r>
              <w:t>Финансов холдинг майка със смесена дейност в държава членка съгласно определението в член 4, параграф 1, точка 32 от Регламент (ЕС) № 575/2013;</w:t>
            </w:r>
          </w:p>
          <w:p w14:paraId="7FE1B36B" w14:textId="77777777" w:rsidR="00FE5D64" w:rsidRDefault="00E40776">
            <w:pPr>
              <w:pStyle w:val="P68B1DB1-TableParagraph13"/>
              <w:numPr>
                <w:ilvl w:val="0"/>
                <w:numId w:val="68"/>
              </w:numPr>
              <w:spacing w:before="108"/>
            </w:pPr>
            <w:r>
              <w:t>Финансов холдинг майка със смесена дейност от Съюза съгласно определението в член 4, параграф 1, точка 33 от Регламент (ЕС) № 575/2013.</w:t>
            </w:r>
          </w:p>
          <w:p w14:paraId="7FE1B36C" w14:textId="0F68F780" w:rsidR="00FE5D64" w:rsidRDefault="00E40776">
            <w:pPr>
              <w:pStyle w:val="P68B1DB1-TableParagraph13"/>
              <w:numPr>
                <w:ilvl w:val="0"/>
                <w:numId w:val="67"/>
              </w:numPr>
              <w:spacing w:before="108"/>
            </w:pPr>
            <w:r>
              <w:t>„Застрахователно предприятие“</w:t>
            </w:r>
          </w:p>
          <w:p w14:paraId="7FE1B36D" w14:textId="77777777" w:rsidR="00FE5D64" w:rsidRDefault="00E40776">
            <w:pPr>
              <w:pStyle w:val="P68B1DB1-TableParagraph16"/>
              <w:numPr>
                <w:ilvl w:val="0"/>
                <w:numId w:val="68"/>
              </w:numPr>
              <w:spacing w:before="108"/>
              <w:rPr>
                <w:color w:val="000000" w:themeColor="text1"/>
                <w:sz w:val="20"/>
                <w:szCs w:val="20"/>
              </w:rPr>
            </w:pPr>
            <w:r>
              <w:rPr>
                <w:color w:val="000000" w:themeColor="text1"/>
                <w:sz w:val="20"/>
                <w:szCs w:val="20"/>
              </w:rPr>
              <w:t>Тук спадат застрахователните предприятия по смисъла на член 13 от Директива 2009/138/ЕО на Европейския парламент и на Съвета</w:t>
            </w:r>
            <w:r>
              <w:footnoteReference w:id="10"/>
            </w:r>
            <w:r>
              <w:rPr>
                <w:color w:val="000000" w:themeColor="text1"/>
                <w:sz w:val="20"/>
                <w:szCs w:val="20"/>
              </w:rPr>
              <w:t>.</w:t>
            </w:r>
          </w:p>
          <w:p w14:paraId="7FE1B36E" w14:textId="15AC498F" w:rsidR="00FE5D64" w:rsidRDefault="00E40776">
            <w:pPr>
              <w:pStyle w:val="P68B1DB1-TableParagraph13"/>
              <w:numPr>
                <w:ilvl w:val="0"/>
                <w:numId w:val="67"/>
              </w:numPr>
              <w:spacing w:before="108"/>
            </w:pPr>
            <w:r>
              <w:t>„Съответен доставчик на услуги“ в рамките на групата, свързан с критични функции и/или значителни икономически операции.</w:t>
            </w:r>
          </w:p>
          <w:p w14:paraId="7FE1B370" w14:textId="77777777" w:rsidR="00FE5D64" w:rsidRDefault="00FE5D64">
            <w:pPr>
              <w:pStyle w:val="TableParagraph"/>
              <w:spacing w:before="108"/>
              <w:rPr>
                <w:rFonts w:ascii="Times New Roman" w:hAnsi="Times New Roman" w:cs="Times New Roman"/>
                <w:color w:val="000000" w:themeColor="text1"/>
                <w:sz w:val="20"/>
                <w:szCs w:val="20"/>
              </w:rPr>
            </w:pPr>
          </w:p>
          <w:p w14:paraId="7FE1B371" w14:textId="77777777" w:rsidR="00FE5D64" w:rsidRDefault="00E40776">
            <w:pPr>
              <w:pStyle w:val="P68B1DB1-TableParagraph16"/>
              <w:numPr>
                <w:ilvl w:val="0"/>
                <w:numId w:val="67"/>
              </w:numPr>
              <w:spacing w:before="108"/>
              <w:rPr>
                <w:color w:val="000000" w:themeColor="text1"/>
                <w:sz w:val="20"/>
                <w:szCs w:val="20"/>
              </w:rPr>
            </w:pPr>
            <w:r>
              <w:rPr>
                <w:color w:val="000000" w:themeColor="text1"/>
                <w:sz w:val="20"/>
                <w:szCs w:val="20"/>
              </w:rPr>
              <w:t>„Друг вид субект“, когато субектът не попада в никоя от посочените по-горе категории.</w:t>
            </w:r>
            <w:r>
              <w:br/>
            </w:r>
            <w:r>
              <w:rPr>
                <w:color w:val="000000" w:themeColor="text1"/>
                <w:sz w:val="20"/>
                <w:szCs w:val="20"/>
              </w:rPr>
              <w:t>(т.е. важен доставчик на финансиране)</w:t>
            </w:r>
          </w:p>
        </w:tc>
      </w:tr>
      <w:tr w:rsidR="00FE5D64"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FE5D64" w:rsidRDefault="00E40776">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FE5D64" w:rsidRDefault="00E40776">
            <w:pPr>
              <w:pStyle w:val="P68B1DB1-TableParagraph14"/>
              <w:spacing w:before="108"/>
              <w:ind w:left="85"/>
            </w:pPr>
            <w:r>
              <w:t>Държава</w:t>
            </w:r>
          </w:p>
          <w:p w14:paraId="7FE1B375" w14:textId="77777777" w:rsidR="00FE5D64" w:rsidRDefault="00E40776">
            <w:pPr>
              <w:pStyle w:val="P68B1DB1-TableParagraph13"/>
              <w:spacing w:before="108"/>
              <w:ind w:left="85"/>
              <w:jc w:val="both"/>
            </w:pPr>
            <w:r>
              <w:t>Код на държавата (по ISO 3166—1-alpha-2), в която е учреден субектът; тя може да е държава членка или държава извън ЕС.</w:t>
            </w:r>
          </w:p>
        </w:tc>
      </w:tr>
      <w:tr w:rsidR="00FE5D64"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FE5D64" w:rsidRDefault="00E40776">
            <w:pPr>
              <w:pStyle w:val="P68B1DB1-TableParagraph13"/>
              <w:spacing w:before="106"/>
              <w:ind w:left="-1"/>
            </w:pPr>
            <w:r>
              <w:lastRenderedPageBreak/>
              <w:t>0055</w:t>
            </w:r>
          </w:p>
        </w:tc>
        <w:tc>
          <w:tcPr>
            <w:tcW w:w="0" w:type="auto"/>
            <w:tcBorders>
              <w:top w:val="single" w:sz="4" w:space="0" w:color="1A171C"/>
              <w:left w:val="single" w:sz="4" w:space="0" w:color="1A171C"/>
              <w:bottom w:val="single" w:sz="4" w:space="0" w:color="1A171C"/>
              <w:right w:val="nil"/>
            </w:tcBorders>
          </w:tcPr>
          <w:p w14:paraId="7FE1B378" w14:textId="77777777" w:rsidR="00FE5D64" w:rsidRDefault="00E40776">
            <w:pPr>
              <w:pStyle w:val="P68B1DB1-TableParagraph14"/>
              <w:spacing w:before="108"/>
              <w:ind w:left="85"/>
            </w:pPr>
            <w:r>
              <w:t>ИКПС на POE на Групата за преструктуриране</w:t>
            </w:r>
          </w:p>
          <w:p w14:paraId="7FE1B379" w14:textId="77777777" w:rsidR="00FE5D64" w:rsidRDefault="00E40776">
            <w:pPr>
              <w:pStyle w:val="P68B1DB1-TableParagraph13"/>
              <w:spacing w:before="108"/>
              <w:ind w:left="85"/>
              <w:rPr>
                <w:bCs/>
              </w:rPr>
            </w:pPr>
            <w:r>
              <w:t>ИКПС, идентифициращ входната точка на групата за преструктуриране, към която принадлежи субектът, посочен в точка 0010.</w:t>
            </w:r>
          </w:p>
        </w:tc>
      </w:tr>
      <w:tr w:rsidR="00FE5D64"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FE5D64" w:rsidRDefault="00E40776">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FE5D64" w:rsidRDefault="00E40776">
            <w:pPr>
              <w:pStyle w:val="P68B1DB1-TableParagraph14"/>
              <w:spacing w:before="108"/>
              <w:ind w:left="85"/>
              <w:jc w:val="both"/>
              <w:rPr>
                <w:bCs/>
              </w:rPr>
            </w:pPr>
            <w:r>
              <w:t>Освобождаване от изискванията съгласно член 7 от РКИ</w:t>
            </w:r>
          </w:p>
          <w:p w14:paraId="7FE1B383" w14:textId="77777777" w:rsidR="00FE5D64" w:rsidRDefault="00E40776">
            <w:pPr>
              <w:pStyle w:val="P68B1DB1-TableParagraph13"/>
              <w:spacing w:before="108"/>
              <w:ind w:left="85"/>
              <w:jc w:val="both"/>
            </w:pPr>
            <w:r>
              <w:t>Посочете следните съкращения:</w:t>
            </w:r>
          </w:p>
          <w:p w14:paraId="7FE1B384" w14:textId="6DF8D995" w:rsidR="00FE5D64" w:rsidRDefault="00E40776">
            <w:pPr>
              <w:pStyle w:val="P68B1DB1-TableParagraph13"/>
              <w:spacing w:before="108"/>
              <w:ind w:left="85"/>
              <w:jc w:val="both"/>
            </w:pPr>
            <w:r>
              <w:t>Да — ако съгласно член 7 от Регламент (ЕС) № 575/2013 компетентният орган е освободил дадено предприятие от изискванията на член 6, параграф 1 от Регламент (ЕС) № 575/2013;</w:t>
            </w:r>
          </w:p>
          <w:p w14:paraId="7FE1B385" w14:textId="7EC01EC3" w:rsidR="00FE5D64" w:rsidRDefault="00E40776">
            <w:pPr>
              <w:pStyle w:val="P68B1DB1-TableParagraph13"/>
              <w:spacing w:before="108"/>
              <w:ind w:left="85"/>
              <w:jc w:val="both"/>
              <w:rPr>
                <w:b/>
              </w:rPr>
            </w:pPr>
            <w:r>
              <w:t>Не — в противен случай.</w:t>
            </w:r>
          </w:p>
        </w:tc>
      </w:tr>
      <w:tr w:rsidR="00FE5D64"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FE5D64" w:rsidRDefault="00E40776">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FE5D64" w:rsidRDefault="00E40776">
            <w:pPr>
              <w:pStyle w:val="P68B1DB1-TableParagraph14"/>
              <w:jc w:val="both"/>
              <w:rPr>
                <w:bCs/>
              </w:rPr>
            </w:pPr>
            <w:r>
              <w:t>Освобождаване от изискванията съгласно член 8 от РКИ</w:t>
            </w:r>
          </w:p>
          <w:p w14:paraId="7FE1B389" w14:textId="77777777" w:rsidR="00FE5D64" w:rsidRDefault="00FE5D64">
            <w:pPr>
              <w:pStyle w:val="TableParagraph"/>
              <w:jc w:val="both"/>
              <w:rPr>
                <w:rFonts w:ascii="Times New Roman" w:hAnsi="Times New Roman" w:cs="Times New Roman"/>
                <w:b/>
                <w:bCs/>
                <w:color w:val="000000" w:themeColor="text1"/>
                <w:sz w:val="20"/>
                <w:szCs w:val="20"/>
              </w:rPr>
            </w:pPr>
          </w:p>
          <w:p w14:paraId="7FE1B38A" w14:textId="77777777" w:rsidR="00FE5D64" w:rsidRDefault="00E40776">
            <w:pPr>
              <w:pStyle w:val="P68B1DB1-TableParagraph13"/>
              <w:spacing w:before="108"/>
              <w:ind w:left="85"/>
              <w:jc w:val="both"/>
            </w:pPr>
            <w:r>
              <w:t>Посочете следните съкращения:</w:t>
            </w:r>
          </w:p>
          <w:p w14:paraId="7FE1B38B" w14:textId="7BE12ED7" w:rsidR="00FE5D64" w:rsidRDefault="00E40776">
            <w:pPr>
              <w:pStyle w:val="P68B1DB1-TableParagraph13"/>
              <w:spacing w:before="108"/>
              <w:ind w:left="85"/>
              <w:jc w:val="both"/>
            </w:pPr>
            <w:r>
              <w:t>Да — ако съгласно член 8 от Регламент (ЕС) № 575/2013 компетентният орган е освободил дадено дружество от изискванията на член 6, параграф 1 от Регламент (ЕС) № 575/2013;</w:t>
            </w:r>
          </w:p>
          <w:p w14:paraId="7FE1B38C" w14:textId="08CEF953" w:rsidR="00FE5D64" w:rsidRDefault="00E40776">
            <w:pPr>
              <w:pStyle w:val="P68B1DB1-TableParagraph13"/>
              <w:jc w:val="both"/>
              <w:rPr>
                <w:b/>
                <w:bCs/>
              </w:rPr>
            </w:pPr>
            <w:r>
              <w:t>Не — в противен случай.</w:t>
            </w:r>
          </w:p>
        </w:tc>
      </w:tr>
      <w:tr w:rsidR="00FE5D64"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FE5D64" w:rsidRDefault="00E40776">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FE5D64" w:rsidRDefault="00E40776">
            <w:pPr>
              <w:pStyle w:val="P68B1DB1-TableParagraph14"/>
              <w:jc w:val="both"/>
              <w:rPr>
                <w:bCs/>
              </w:rPr>
            </w:pPr>
            <w:r>
              <w:t>При спазване на член 9 на ДКР,</w:t>
            </w:r>
          </w:p>
          <w:p w14:paraId="7FE1B390" w14:textId="77777777" w:rsidR="00FE5D64" w:rsidRDefault="00FE5D64">
            <w:pPr>
              <w:pStyle w:val="TableParagraph"/>
              <w:jc w:val="both"/>
              <w:rPr>
                <w:rFonts w:ascii="Times New Roman" w:hAnsi="Times New Roman" w:cs="Times New Roman"/>
                <w:b/>
                <w:bCs/>
                <w:color w:val="000000" w:themeColor="text1"/>
                <w:sz w:val="20"/>
                <w:szCs w:val="20"/>
              </w:rPr>
            </w:pPr>
          </w:p>
          <w:p w14:paraId="7FE1B391" w14:textId="77777777" w:rsidR="00FE5D64" w:rsidRDefault="00E40776">
            <w:pPr>
              <w:pStyle w:val="P68B1DB1-TableParagraph13"/>
              <w:spacing w:before="108"/>
              <w:ind w:left="85"/>
              <w:jc w:val="both"/>
            </w:pPr>
            <w:r>
              <w:t>Посочете следните съкращения:</w:t>
            </w:r>
          </w:p>
          <w:p w14:paraId="7FE1B392" w14:textId="30A38992" w:rsidR="00FE5D64" w:rsidRDefault="00E40776">
            <w:pPr>
              <w:pStyle w:val="P68B1DB1-TableParagraph13"/>
              <w:spacing w:before="108"/>
              <w:ind w:left="85"/>
              <w:jc w:val="both"/>
            </w:pPr>
            <w:r>
              <w:t>Да — ако субектът отговаря на условията, предвидени в член 7, параграф 1, букви в) и г), и неговите съществени експозиции или съществени задължения са към институцията майка в съответствие с член 8 от Регламент (ЕС) № 575/2013 и следователно са включени в изчисляването на изискването на институцията майка съгласно член 6, параграф 1.</w:t>
            </w:r>
          </w:p>
          <w:p w14:paraId="7FE1B393" w14:textId="0CE17CBC" w:rsidR="00FE5D64" w:rsidRDefault="00E40776">
            <w:pPr>
              <w:pStyle w:val="P68B1DB1-TableParagraph13"/>
              <w:jc w:val="both"/>
              <w:rPr>
                <w:b/>
                <w:bCs/>
              </w:rPr>
            </w:pPr>
            <w:r>
              <w:t>Не — в противен случай.</w:t>
            </w:r>
          </w:p>
          <w:p w14:paraId="7FE1B394" w14:textId="77777777" w:rsidR="00FE5D64" w:rsidRDefault="00FE5D64">
            <w:pPr>
              <w:pStyle w:val="TableParagraph"/>
              <w:jc w:val="both"/>
              <w:rPr>
                <w:rFonts w:ascii="Times New Roman" w:hAnsi="Times New Roman" w:cs="Times New Roman"/>
                <w:b/>
                <w:bCs/>
                <w:color w:val="000000" w:themeColor="text1"/>
                <w:sz w:val="20"/>
                <w:szCs w:val="20"/>
              </w:rPr>
            </w:pPr>
          </w:p>
        </w:tc>
      </w:tr>
      <w:tr w:rsidR="00FE5D64"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FE5D64" w:rsidRDefault="00E40776">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FE5D64" w:rsidRDefault="00E40776">
            <w:pPr>
              <w:pStyle w:val="P68B1DB1-TableParagraph14"/>
              <w:spacing w:before="108"/>
              <w:ind w:left="85"/>
              <w:jc w:val="both"/>
            </w:pPr>
            <w:r>
              <w:t>Освобождаване от изискванията съгласно член 10 от РКИ</w:t>
            </w:r>
          </w:p>
          <w:p w14:paraId="7FE1B398" w14:textId="77777777" w:rsidR="00FE5D64" w:rsidRDefault="00E40776">
            <w:pPr>
              <w:pStyle w:val="P68B1DB1-TableParagraph13"/>
              <w:spacing w:before="108"/>
              <w:ind w:left="85"/>
              <w:jc w:val="both"/>
            </w:pPr>
            <w:r>
              <w:t>Посочете следните съкращения:</w:t>
            </w:r>
          </w:p>
          <w:p w14:paraId="7FE1B399" w14:textId="249CB221" w:rsidR="00FE5D64" w:rsidRDefault="00E40776">
            <w:pPr>
              <w:pStyle w:val="P68B1DB1-TableParagraph13"/>
              <w:spacing w:before="108"/>
              <w:ind w:left="85"/>
              <w:jc w:val="both"/>
            </w:pPr>
            <w:r>
              <w:t>Да — ако по силата на член 10 от Регламент (ЕС) № 575/2013 компетентният орган е приложил освобождаване от изискванията.</w:t>
            </w:r>
          </w:p>
          <w:p w14:paraId="7FE1B39A" w14:textId="2A6A5A7B" w:rsidR="00FE5D64" w:rsidRDefault="00E40776">
            <w:pPr>
              <w:pStyle w:val="P68B1DB1-TableParagraph13"/>
              <w:spacing w:before="108"/>
              <w:ind w:left="85"/>
              <w:jc w:val="both"/>
              <w:rPr>
                <w:b/>
              </w:rPr>
            </w:pPr>
            <w:r>
              <w:t>Не — в противен случай.</w:t>
            </w:r>
          </w:p>
        </w:tc>
      </w:tr>
      <w:tr w:rsidR="00FE5D64"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FE5D64" w:rsidRDefault="00E40776">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FE5D64" w:rsidRDefault="00E40776">
            <w:pPr>
              <w:pStyle w:val="P68B1DB1-TableParagraph14"/>
              <w:spacing w:before="108"/>
              <w:jc w:val="both"/>
            </w:pPr>
            <w:r>
              <w:t>Общо активи</w:t>
            </w:r>
          </w:p>
          <w:p w14:paraId="7FE1B39E" w14:textId="77777777" w:rsidR="00FE5D64" w:rsidRDefault="00E40776">
            <w:pPr>
              <w:pStyle w:val="P68B1DB1-TableParagraph13"/>
              <w:spacing w:before="108"/>
              <w:jc w:val="both"/>
              <w:rPr>
                <w:b/>
              </w:rPr>
            </w:pPr>
            <w:r>
              <w:t>Общите активи съгласно определеното за FINREP {F 01.01;380,010}</w:t>
            </w:r>
          </w:p>
        </w:tc>
      </w:tr>
      <w:tr w:rsidR="00FE5D64"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FE5D64" w:rsidRDefault="00E40776">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FE5D64" w:rsidRDefault="00E40776">
            <w:pPr>
              <w:pStyle w:val="P68B1DB1-TableParagraph14"/>
              <w:spacing w:before="108"/>
              <w:jc w:val="both"/>
            </w:pPr>
            <w:r>
              <w:t>Обща рискова експозиция</w:t>
            </w:r>
          </w:p>
          <w:p w14:paraId="7FE1B3AA" w14:textId="77777777" w:rsidR="00FE5D64" w:rsidRDefault="00E40776">
            <w:pPr>
              <w:pStyle w:val="P68B1DB1-TableParagraph13"/>
              <w:spacing w:before="108"/>
              <w:jc w:val="both"/>
            </w:pPr>
            <w:r>
              <w:t>Обща рискова експозиция съгласно определеното за COREP (OF): [...] C 02.00; 010; 010 [...]</w:t>
            </w:r>
          </w:p>
          <w:p w14:paraId="7FE1B3AB" w14:textId="77777777" w:rsidR="00FE5D64" w:rsidRDefault="00E40776">
            <w:pPr>
              <w:pStyle w:val="P68B1DB1-TableParagraph13"/>
              <w:spacing w:before="108"/>
              <w:jc w:val="both"/>
              <w:rPr>
                <w:b/>
              </w:rPr>
            </w:pPr>
            <w:r>
              <w:t>Субектите, които не са институции, и субектите, които по силата на член 7 или 10 от Регламент (ЕС) № 575/2013 са освободени от изискванията, не предоставят информация за този елемент.</w:t>
            </w:r>
          </w:p>
        </w:tc>
      </w:tr>
      <w:tr w:rsidR="00FE5D64"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FE5D64" w:rsidRDefault="00E40776">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FE5D64" w:rsidRDefault="00E40776">
            <w:pPr>
              <w:pStyle w:val="P68B1DB1-TableParagraph14"/>
              <w:spacing w:before="108"/>
              <w:ind w:left="85"/>
              <w:jc w:val="both"/>
            </w:pPr>
            <w:r>
              <w:t>Мярка за общата експозиция</w:t>
            </w:r>
          </w:p>
          <w:p w14:paraId="7FE1B3AF" w14:textId="32D53B0C" w:rsidR="00FE5D64" w:rsidRDefault="00E40776">
            <w:pPr>
              <w:pStyle w:val="P68B1DB1-TableParagraph13"/>
              <w:spacing w:before="108"/>
              <w:ind w:left="85"/>
              <w:jc w:val="both"/>
            </w:pPr>
            <w:r>
              <w:t>Мярка за общата експозиция на отношението на ливъридж, както е определено за COREP (LR): [...] C 47.00; 0290; 0010 [...]</w:t>
            </w:r>
          </w:p>
          <w:p w14:paraId="7FE1B3B0" w14:textId="77777777" w:rsidR="00FE5D64" w:rsidRDefault="00E40776">
            <w:pPr>
              <w:pStyle w:val="P68B1DB1-TableParagraph13"/>
              <w:spacing w:before="108"/>
              <w:ind w:left="85"/>
              <w:jc w:val="both"/>
            </w:pPr>
            <w:r>
              <w:t>Субектите, които не са институции, и субектите, които по силата на член 7 или 10 от Регламент (ЕС) № 575/2013 са освободени от изискванията, не предоставят информация за този елемент.</w:t>
            </w:r>
          </w:p>
        </w:tc>
      </w:tr>
      <w:tr w:rsidR="00FE5D64"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FE5D64" w:rsidRDefault="00E40776">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FE5D64" w:rsidRDefault="00E40776">
            <w:pPr>
              <w:pStyle w:val="P68B1DB1-TableParagraph14"/>
              <w:jc w:val="both"/>
              <w:rPr>
                <w:bCs/>
              </w:rPr>
            </w:pPr>
            <w:r>
              <w:t>Общо приходи от дейността</w:t>
            </w:r>
          </w:p>
          <w:p w14:paraId="7FE1B3B4" w14:textId="77777777" w:rsidR="00FE5D64" w:rsidRDefault="00FE5D64">
            <w:pPr>
              <w:pStyle w:val="TableParagraph"/>
              <w:jc w:val="both"/>
              <w:rPr>
                <w:rFonts w:ascii="Times New Roman" w:hAnsi="Times New Roman" w:cs="Times New Roman"/>
                <w:b/>
                <w:bCs/>
                <w:color w:val="000000" w:themeColor="text1"/>
                <w:sz w:val="20"/>
                <w:szCs w:val="20"/>
              </w:rPr>
            </w:pPr>
          </w:p>
          <w:p w14:paraId="7FE1B3B5" w14:textId="77777777" w:rsidR="00FE5D64" w:rsidRDefault="00E40776">
            <w:pPr>
              <w:pStyle w:val="P68B1DB1-TableParagraph13"/>
              <w:jc w:val="both"/>
            </w:pPr>
            <w:r>
              <w:t>Общ оперативен приход, както е определен във FINREP -F 02.00; 355; 010“</w:t>
            </w:r>
          </w:p>
          <w:p w14:paraId="7FE1B3B6" w14:textId="77777777" w:rsidR="00FE5D64" w:rsidRDefault="00FE5D64">
            <w:pPr>
              <w:pStyle w:val="TableParagraph"/>
              <w:jc w:val="both"/>
              <w:rPr>
                <w:rFonts w:ascii="Times New Roman" w:hAnsi="Times New Roman" w:cs="Times New Roman"/>
                <w:b/>
                <w:bCs/>
                <w:color w:val="000000" w:themeColor="text1"/>
                <w:sz w:val="20"/>
                <w:szCs w:val="20"/>
              </w:rPr>
            </w:pPr>
          </w:p>
        </w:tc>
      </w:tr>
      <w:tr w:rsidR="00FE5D64"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FE5D64" w:rsidRDefault="00E40776">
            <w:pPr>
              <w:pStyle w:val="P68B1DB1-TableParagraph13"/>
              <w:spacing w:before="106"/>
              <w:ind w:left="-1"/>
            </w:pPr>
            <w:r>
              <w:lastRenderedPageBreak/>
              <w:t>0210</w:t>
            </w:r>
          </w:p>
        </w:tc>
        <w:tc>
          <w:tcPr>
            <w:tcW w:w="0" w:type="auto"/>
            <w:tcBorders>
              <w:top w:val="single" w:sz="4" w:space="0" w:color="1A171C"/>
              <w:left w:val="single" w:sz="4" w:space="0" w:color="1A171C"/>
              <w:bottom w:val="single" w:sz="4" w:space="0" w:color="1A171C"/>
              <w:right w:val="nil"/>
            </w:tcBorders>
          </w:tcPr>
          <w:p w14:paraId="7FE1B3BE" w14:textId="77777777" w:rsidR="00FE5D64" w:rsidRDefault="00E40776">
            <w:pPr>
              <w:pStyle w:val="P68B1DB1-TableParagraph14"/>
              <w:spacing w:before="108"/>
              <w:jc w:val="both"/>
            </w:pPr>
            <w:r>
              <w:t>Счетоводен стандарт</w:t>
            </w:r>
          </w:p>
          <w:p w14:paraId="7FE1B3BF" w14:textId="77777777" w:rsidR="00FE5D64" w:rsidRDefault="00E40776">
            <w:pPr>
              <w:pStyle w:val="P68B1DB1-TableParagraph13"/>
              <w:spacing w:before="108"/>
              <w:jc w:val="both"/>
            </w:pPr>
            <w:r>
              <w:t>Счетоводните стандарти, прилагани от субекта. Посочете следните съкращения:</w:t>
            </w:r>
          </w:p>
          <w:p w14:paraId="7FE1B3C0" w14:textId="77777777" w:rsidR="00FE5D64" w:rsidRDefault="00E40776">
            <w:pPr>
              <w:pStyle w:val="P68B1DB1-TableParagraph13"/>
              <w:numPr>
                <w:ilvl w:val="0"/>
                <w:numId w:val="68"/>
              </w:numPr>
              <w:spacing w:before="108"/>
              <w:jc w:val="both"/>
            </w:pPr>
            <w:r>
              <w:t>МСФО</w:t>
            </w:r>
          </w:p>
          <w:p w14:paraId="7FE1B3C1" w14:textId="77777777" w:rsidR="00FE5D64" w:rsidRDefault="00E40776">
            <w:pPr>
              <w:pStyle w:val="P68B1DB1-TableParagraph13"/>
              <w:numPr>
                <w:ilvl w:val="0"/>
                <w:numId w:val="68"/>
              </w:numPr>
              <w:spacing w:before="108"/>
              <w:jc w:val="both"/>
            </w:pPr>
            <w:r>
              <w:t>НОСП</w:t>
            </w:r>
          </w:p>
        </w:tc>
      </w:tr>
      <w:tr w:rsidR="00FE5D64"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FE5D64" w:rsidRDefault="00E40776">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FE5D64" w:rsidRDefault="00E40776">
            <w:pPr>
              <w:pStyle w:val="P68B1DB1-TableParagraph14"/>
              <w:spacing w:before="108"/>
              <w:jc w:val="both"/>
            </w:pPr>
            <w:r>
              <w:t xml:space="preserve">Принос към общата консолидирана рискова експозиция </w:t>
            </w:r>
          </w:p>
          <w:p w14:paraId="7FE1B3D5" w14:textId="77777777" w:rsidR="00FE5D64" w:rsidRDefault="00E40776">
            <w:pPr>
              <w:pStyle w:val="P68B1DB1-TableParagraph13"/>
              <w:spacing w:before="108"/>
              <w:jc w:val="both"/>
              <w:rPr>
                <w:b/>
              </w:rPr>
            </w:pPr>
            <w:r>
              <w:t xml:space="preserve">Размерът на приноса на дадения субект към общата консолидирана рискова експозиция на групата, за която се отнася отчетът. </w:t>
            </w:r>
          </w:p>
        </w:tc>
      </w:tr>
      <w:tr w:rsidR="00FE5D64"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FE5D64" w:rsidRDefault="00E40776">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FE5D64" w:rsidRDefault="00E40776">
            <w:pPr>
              <w:pStyle w:val="P68B1DB1-TableParagraph14"/>
              <w:spacing w:before="108"/>
              <w:ind w:left="85"/>
              <w:jc w:val="both"/>
            </w:pPr>
            <w:r>
              <w:t>Принос към консолидираната мярка за общата експозиция</w:t>
            </w:r>
          </w:p>
          <w:p w14:paraId="7FE1B3D9" w14:textId="61219862" w:rsidR="00FE5D64" w:rsidRDefault="00E40776">
            <w:pPr>
              <w:pStyle w:val="P68B1DB1-TableParagraph13"/>
              <w:spacing w:before="108"/>
              <w:ind w:left="85"/>
              <w:jc w:val="both"/>
              <w:rPr>
                <w:b/>
              </w:rPr>
            </w:pPr>
            <w:r>
              <w:t>Размерът на приноса на дадения субект към общия показател за изложеност на групата, за която се отнася отчетът.</w:t>
            </w:r>
          </w:p>
        </w:tc>
      </w:tr>
      <w:tr w:rsidR="00FE5D64"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FE5D64" w:rsidRDefault="00E40776">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FE5D64" w:rsidRDefault="00E40776">
            <w:pPr>
              <w:pStyle w:val="P68B1DB1-TableParagraph14"/>
              <w:jc w:val="both"/>
              <w:rPr>
                <w:bCs/>
              </w:rPr>
            </w:pPr>
            <w:r>
              <w:t>Принос към консолидирания оперативен доход</w:t>
            </w:r>
          </w:p>
          <w:p w14:paraId="7FE1B3DD" w14:textId="77777777" w:rsidR="00FE5D64" w:rsidRDefault="00FE5D64">
            <w:pPr>
              <w:pStyle w:val="TableParagraph"/>
              <w:jc w:val="both"/>
              <w:rPr>
                <w:rFonts w:ascii="Times New Roman" w:hAnsi="Times New Roman" w:cs="Times New Roman"/>
                <w:color w:val="000000" w:themeColor="text1"/>
                <w:sz w:val="20"/>
                <w:szCs w:val="20"/>
              </w:rPr>
            </w:pPr>
          </w:p>
          <w:p w14:paraId="7FE1B3DE" w14:textId="1B38FEC1" w:rsidR="00FE5D64" w:rsidRDefault="00E40776">
            <w:pPr>
              <w:pStyle w:val="P68B1DB1-TableParagraph13"/>
              <w:jc w:val="both"/>
            </w:pPr>
            <w:r>
              <w:t>Сумата, която „образуванието“ допринася за общия счетоводен консолидиран размер на оперативните приходи на групата.</w:t>
            </w:r>
          </w:p>
        </w:tc>
      </w:tr>
      <w:tr w:rsidR="00FE5D64"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FE5D64" w:rsidRDefault="00E40776">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FE5D64" w:rsidRDefault="00E40776">
            <w:pPr>
              <w:pStyle w:val="P68B1DB1-TableParagraph14"/>
              <w:spacing w:before="108"/>
              <w:ind w:left="85"/>
              <w:jc w:val="both"/>
              <w:rPr>
                <w:bCs/>
              </w:rPr>
            </w:pPr>
            <w:r>
              <w:t>Съответен правен субект</w:t>
            </w:r>
          </w:p>
          <w:p w14:paraId="7FE1B3F1" w14:textId="75C7B029" w:rsidR="00FE5D64" w:rsidRDefault="00E40776">
            <w:pPr>
              <w:pStyle w:val="P68B1DB1-TableParagraph13"/>
              <w:spacing w:before="108"/>
              <w:jc w:val="both"/>
            </w:pPr>
            <w:r>
              <w:t>Дали субектът представлява съответен правен субект по смисъла на член 1 от настоящия регламент.</w:t>
            </w:r>
          </w:p>
          <w:p w14:paraId="7FE1B3F2" w14:textId="0E42CD28" w:rsidR="00FE5D64" w:rsidRDefault="00FE5D64">
            <w:pPr>
              <w:pStyle w:val="TableParagraph"/>
              <w:spacing w:before="108"/>
              <w:jc w:val="both"/>
              <w:rPr>
                <w:rFonts w:ascii="Times New Roman" w:hAnsi="Times New Roman" w:cs="Times New Roman"/>
                <w:color w:val="000000" w:themeColor="text1"/>
                <w:sz w:val="20"/>
                <w:szCs w:val="20"/>
              </w:rPr>
            </w:pPr>
          </w:p>
        </w:tc>
      </w:tr>
    </w:tbl>
    <w:p w14:paraId="7FE1B491" w14:textId="77777777" w:rsidR="00FE5D64" w:rsidRDefault="00FE5D64">
      <w:pPr>
        <w:rPr>
          <w:rFonts w:ascii="Times New Roman" w:hAnsi="Times New Roman" w:cs="Times New Roman"/>
        </w:rPr>
      </w:pPr>
    </w:p>
    <w:p w14:paraId="7FE1B492" w14:textId="77777777" w:rsidR="00FE5D64" w:rsidRDefault="00E40776">
      <w:pPr>
        <w:pStyle w:val="P68B1DB1-Instructionsberschrift25"/>
        <w:numPr>
          <w:ilvl w:val="1"/>
          <w:numId w:val="49"/>
        </w:numPr>
        <w:ind w:left="357" w:hanging="357"/>
      </w:pPr>
      <w:bookmarkStart w:id="22" w:name="_Toc81454178"/>
      <w:bookmarkStart w:id="23" w:name="_Toc208244452"/>
      <w:r>
        <w:t>Z 01.02 — Структура на собствеността (ORG 2)</w:t>
      </w:r>
      <w:bookmarkEnd w:id="22"/>
      <w:bookmarkEnd w:id="23"/>
    </w:p>
    <w:p w14:paraId="7FE1B493" w14:textId="77777777" w:rsidR="00FE5D64" w:rsidRDefault="00E40776">
      <w:pPr>
        <w:pStyle w:val="Instructionsberschrift3"/>
      </w:pPr>
      <w:r>
        <w:t>Общи бележки</w:t>
      </w:r>
    </w:p>
    <w:p w14:paraId="50A00AA9" w14:textId="77777777" w:rsidR="00FE5D64" w:rsidRDefault="00E40776">
      <w:pPr>
        <w:pStyle w:val="P68B1DB1-InstructionsText26"/>
        <w:numPr>
          <w:ilvl w:val="0"/>
          <w:numId w:val="234"/>
        </w:numPr>
        <w:spacing w:before="0"/>
      </w:pPr>
      <w:r>
        <w:t xml:space="preserve">Този образец дава общи сведения за правната структура и структурата на собственост на групата. За всички дружества от групата, попадащи в обхвата на счетоводната консолидация, се представя единен образец. </w:t>
      </w:r>
    </w:p>
    <w:p w14:paraId="7FE1B494" w14:textId="57A6BCE4" w:rsidR="00FE5D64" w:rsidRDefault="00E40776">
      <w:pPr>
        <w:pStyle w:val="P68B1DB1-InstructionsText26"/>
        <w:numPr>
          <w:ilvl w:val="0"/>
          <w:numId w:val="234"/>
        </w:numPr>
        <w:spacing w:before="0"/>
      </w:pPr>
      <w:r>
        <w:t xml:space="preserve">От субектите за преструктуриране, които не са част от група, подлежаща на консолидиран надзор, също се очаква да представят настоящия доклад. </w:t>
      </w:r>
    </w:p>
    <w:p w14:paraId="7FE1B496" w14:textId="77777777" w:rsidR="00FE5D64" w:rsidRDefault="00E40776">
      <w:pPr>
        <w:pStyle w:val="P68B1DB1-InstructionsText26"/>
        <w:numPr>
          <w:ilvl w:val="0"/>
          <w:numId w:val="234"/>
        </w:numPr>
        <w:spacing w:before="0"/>
      </w:pPr>
      <w:r>
        <w:t>В този образец се изброяват всички акционери (или равностойни на тях) в субектите от групата с повече от 2 % акционерен капитал (или равностоен капитал) или права на глас, както и всички дялови участия (или равностойни дялове), притежавани от субекти от групата.</w:t>
      </w:r>
    </w:p>
    <w:p w14:paraId="7FE1B497" w14:textId="77777777" w:rsidR="00FE5D64" w:rsidRDefault="00E40776">
      <w:pPr>
        <w:pStyle w:val="P68B1DB1-Instructionsberschrift312"/>
      </w:pPr>
      <w:r>
        <w:t>Указания относно определени позиции</w:t>
      </w:r>
    </w:p>
    <w:tbl>
      <w:tblPr>
        <w:tblW w:w="0" w:type="auto"/>
        <w:tblCellMar>
          <w:top w:w="57" w:type="dxa"/>
          <w:left w:w="57" w:type="dxa"/>
          <w:bottom w:w="57" w:type="dxa"/>
          <w:right w:w="0" w:type="dxa"/>
        </w:tblCellMar>
        <w:tblLook w:val="01E0" w:firstRow="1" w:lastRow="1" w:firstColumn="1" w:lastColumn="1" w:noHBand="0" w:noVBand="0"/>
      </w:tblPr>
      <w:tblGrid>
        <w:gridCol w:w="815"/>
        <w:gridCol w:w="8211"/>
      </w:tblGrid>
      <w:tr w:rsidR="00FE5D64"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FE5D64" w:rsidRDefault="00E40776">
            <w:pPr>
              <w:pStyle w:val="P68B1DB1-TableParagraph13"/>
              <w:spacing w:before="66"/>
              <w:rPr>
                <w:rFonts w:eastAsia="Cambria"/>
              </w:rPr>
            </w:pPr>
            <w:r>
              <w:t>Колони</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FE5D64" w:rsidRDefault="00E40776">
            <w:pPr>
              <w:pStyle w:val="P68B1DB1-TableParagraph13"/>
              <w:spacing w:before="66"/>
              <w:ind w:right="1"/>
              <w:jc w:val="center"/>
              <w:rPr>
                <w:rFonts w:eastAsia="Cambria"/>
              </w:rPr>
            </w:pPr>
            <w:r>
              <w:t>Указания</w:t>
            </w:r>
          </w:p>
        </w:tc>
      </w:tr>
      <w:tr w:rsidR="00FE5D64"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FE5D64" w:rsidRDefault="00E40776">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FE5D64" w:rsidRDefault="00E40776">
            <w:pPr>
              <w:pStyle w:val="P68B1DB1-TableParagraph14"/>
              <w:spacing w:before="108"/>
              <w:ind w:left="85"/>
            </w:pPr>
            <w:r>
              <w:t>Инвеститор</w:t>
            </w:r>
          </w:p>
        </w:tc>
      </w:tr>
      <w:tr w:rsidR="00FE5D64"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FE5D64" w:rsidRDefault="00E40776">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FE5D64" w:rsidRDefault="00E40776">
            <w:pPr>
              <w:pStyle w:val="P68B1DB1-TableParagraph14"/>
              <w:spacing w:before="108"/>
              <w:ind w:left="85"/>
              <w:jc w:val="both"/>
              <w:rPr>
                <w:bCs/>
              </w:rPr>
            </w:pPr>
            <w:r>
              <w:t xml:space="preserve">Наименование </w:t>
            </w:r>
          </w:p>
          <w:p w14:paraId="7FE1B4A1" w14:textId="77777777" w:rsidR="00FE5D64" w:rsidRDefault="00E40776">
            <w:pPr>
              <w:pStyle w:val="P68B1DB1-TableParagraph17"/>
              <w:spacing w:before="108"/>
              <w:ind w:left="85"/>
              <w:rPr>
                <w:rFonts w:eastAsia="Book Antiqua"/>
              </w:rPr>
            </w:pPr>
            <w:r>
              <w:t>Пълното наименование или наименование на инвеститора.</w:t>
            </w:r>
          </w:p>
        </w:tc>
      </w:tr>
      <w:tr w:rsidR="00FE5D64"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FE5D64" w:rsidRDefault="00E40776">
            <w:pPr>
              <w:pStyle w:val="P68B1DB1-TableParagraph13"/>
              <w:spacing w:before="106"/>
              <w:ind w:left="-1"/>
            </w:pPr>
            <w:r>
              <w:lastRenderedPageBreak/>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FE5D64" w:rsidRDefault="00E40776">
            <w:pPr>
              <w:pStyle w:val="P68B1DB1-TableParagraph14"/>
              <w:spacing w:before="108"/>
              <w:ind w:left="85"/>
              <w:jc w:val="both"/>
              <w:rPr>
                <w:bCs/>
              </w:rPr>
            </w:pPr>
            <w:r>
              <w:t xml:space="preserve">Осемцифров код по ХС </w:t>
            </w:r>
          </w:p>
          <w:p w14:paraId="7FE1B4A5" w14:textId="77777777" w:rsidR="00FE5D64" w:rsidRDefault="00E40776">
            <w:pPr>
              <w:pStyle w:val="P68B1DB1-TableParagraph17"/>
              <w:spacing w:before="108"/>
              <w:ind w:left="85"/>
            </w:pPr>
            <w:r>
              <w:t>Собственият идентификационен код на правния субект или инвеститора, посочен в колона 0010.</w:t>
            </w:r>
          </w:p>
          <w:p w14:paraId="7FE1B4A6" w14:textId="77777777" w:rsidR="00FE5D64" w:rsidRDefault="00E40776">
            <w:pPr>
              <w:pStyle w:val="P68B1DB1-TableParagraph17"/>
              <w:spacing w:before="108"/>
              <w:ind w:left="85"/>
            </w:pPr>
            <w:r>
              <w:t>Когато инвеститорът е субект от групата, кодът е същият като посоченият в образец Z 01.01 (ORG 1). Когато инвеститорът не е субект от групата, неговият код е:</w:t>
            </w:r>
          </w:p>
          <w:p w14:paraId="7FE1B4A7" w14:textId="77777777" w:rsidR="00FE5D64" w:rsidRDefault="00E40776">
            <w:pPr>
              <w:pStyle w:val="P68B1DB1-TableParagraph17"/>
              <w:numPr>
                <w:ilvl w:val="0"/>
                <w:numId w:val="64"/>
              </w:numPr>
              <w:spacing w:before="108"/>
            </w:pPr>
            <w:r>
              <w:t>за институции с идентификационен код на правния субект (ИКПС) — 20-цифреният буквено-цифров ИКПС;</w:t>
            </w:r>
          </w:p>
          <w:p w14:paraId="7FE1B4A8" w14:textId="7457E21A" w:rsidR="00FE5D64" w:rsidRDefault="00E40776">
            <w:pPr>
              <w:pStyle w:val="P68B1DB1-TableParagraph17"/>
              <w:numPr>
                <w:ilvl w:val="0"/>
                <w:numId w:val="64"/>
              </w:numPr>
              <w:spacing w:before="108"/>
            </w:pPr>
            <w:r>
              <w:t>ако няма такъв, се използва кодът на ПФИ или код по единна кодификация, приложима в Съюза.</w:t>
            </w:r>
          </w:p>
          <w:p w14:paraId="7FE1B4A9" w14:textId="77777777" w:rsidR="00FE5D64" w:rsidRDefault="00E40776">
            <w:pPr>
              <w:pStyle w:val="P68B1DB1-TableParagraph17"/>
              <w:spacing w:before="108"/>
              <w:ind w:left="85"/>
            </w:pPr>
            <w:r>
              <w:t>За двата случая, кодът е собствен и се използва последователно във всички образци.</w:t>
            </w:r>
          </w:p>
        </w:tc>
      </w:tr>
      <w:tr w:rsidR="00FE5D64"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FE5D64" w:rsidRDefault="00E40776">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FE5D64" w:rsidRDefault="00E40776">
            <w:pPr>
              <w:pStyle w:val="P68B1DB1-TableParagraph14"/>
              <w:spacing w:before="108"/>
              <w:ind w:left="85"/>
              <w:jc w:val="both"/>
              <w:rPr>
                <w:bCs/>
              </w:rPr>
            </w:pPr>
            <w:r>
              <w:t>Вид код</w:t>
            </w:r>
          </w:p>
          <w:p w14:paraId="560AED27" w14:textId="77777777" w:rsidR="00FE5D64" w:rsidRDefault="00E40776">
            <w:pPr>
              <w:pStyle w:val="P68B1DB1-Normal18"/>
            </w:pPr>
            <w:r>
              <w:t xml:space="preserve">Когато инвеститорът е субект от групата, кодът е същият като посоченият в образец Z 01.01 (ORG 1). </w:t>
            </w:r>
          </w:p>
          <w:p w14:paraId="2DC78FBF" w14:textId="77777777" w:rsidR="00FE5D64" w:rsidRDefault="00FE5D64">
            <w:pPr>
              <w:rPr>
                <w:rFonts w:ascii="Times New Roman" w:hAnsi="Times New Roman" w:cs="Times New Roman"/>
                <w:sz w:val="20"/>
                <w:szCs w:val="20"/>
              </w:rPr>
            </w:pPr>
          </w:p>
          <w:p w14:paraId="3C91DA4D" w14:textId="535D128A" w:rsidR="00FE5D64" w:rsidRDefault="00E40776">
            <w:pPr>
              <w:pStyle w:val="P68B1DB1-Normal19"/>
              <w:rPr>
                <w:rFonts w:eastAsiaTheme="minorHAnsi"/>
              </w:rPr>
            </w:pPr>
            <w:r>
              <w:t>Избира се измежду следните варианти: „ИКПС „, „Код на ПФИ„или „Вид идентификатор, различен от ИКПС или код на ПФИ“.</w:t>
            </w:r>
          </w:p>
          <w:p w14:paraId="7FE1B4B2" w14:textId="77777777" w:rsidR="00FE5D64" w:rsidRDefault="00E40776">
            <w:pPr>
              <w:pStyle w:val="P68B1DB1-TableParagraph17"/>
              <w:spacing w:before="108"/>
            </w:pPr>
            <w:r>
              <w:t>За идентифициране на субектите или инвеститорите двойката кодове и видове се използва последователно във всички образци.</w:t>
            </w:r>
          </w:p>
        </w:tc>
      </w:tr>
      <w:tr w:rsidR="00FE5D64"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FE5D64" w:rsidRDefault="00E40776">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FE5D64" w:rsidRDefault="00E40776">
            <w:pPr>
              <w:pStyle w:val="P68B1DB1-TableParagraph14"/>
              <w:spacing w:before="108"/>
              <w:ind w:left="85"/>
              <w:jc w:val="both"/>
              <w:rPr>
                <w:bCs/>
              </w:rPr>
            </w:pPr>
            <w:r>
              <w:t>Субект, в който е инвестирано</w:t>
            </w:r>
          </w:p>
        </w:tc>
      </w:tr>
      <w:tr w:rsidR="00FE5D64"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FE5D64" w:rsidRDefault="00E40776">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FE5D64" w:rsidRDefault="00E40776">
            <w:pPr>
              <w:pStyle w:val="P68B1DB1-TableParagraph14"/>
              <w:spacing w:before="108"/>
              <w:ind w:left="85"/>
              <w:jc w:val="both"/>
              <w:rPr>
                <w:bCs/>
              </w:rPr>
            </w:pPr>
            <w:r>
              <w:t xml:space="preserve">Наименование </w:t>
            </w:r>
          </w:p>
          <w:p w14:paraId="7FE1B4B9" w14:textId="77777777" w:rsidR="00FE5D64" w:rsidRDefault="00E40776">
            <w:pPr>
              <w:pStyle w:val="P68B1DB1-TableParagraph13"/>
              <w:spacing w:before="108"/>
              <w:ind w:left="85"/>
              <w:jc w:val="both"/>
              <w:rPr>
                <w:bCs/>
              </w:rPr>
            </w:pPr>
            <w:r>
              <w:t>Пълното наименование или наименование на субекта, в който е инвестирано.</w:t>
            </w:r>
          </w:p>
        </w:tc>
      </w:tr>
      <w:tr w:rsidR="00FE5D64"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FE5D64" w:rsidRDefault="00E40776">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FE5D64" w:rsidRDefault="00E40776">
            <w:pPr>
              <w:pStyle w:val="P68B1DB1-TableParagraph14"/>
              <w:spacing w:before="108"/>
              <w:ind w:left="85"/>
              <w:jc w:val="both"/>
              <w:rPr>
                <w:bCs/>
              </w:rPr>
            </w:pPr>
            <w:r>
              <w:t xml:space="preserve">Осемцифров код по ХС </w:t>
            </w:r>
          </w:p>
          <w:p w14:paraId="7FE1B4BD" w14:textId="77777777" w:rsidR="00FE5D64" w:rsidRDefault="00E40776">
            <w:pPr>
              <w:pStyle w:val="P68B1DB1-TableParagraph13"/>
              <w:spacing w:before="108"/>
              <w:ind w:left="85"/>
              <w:jc w:val="both"/>
              <w:rPr>
                <w:bCs/>
              </w:rPr>
            </w:pPr>
            <w:r>
              <w:t>Собственият идентификационен код на правния субект или инвеститора, посочен в колона 0010.</w:t>
            </w:r>
          </w:p>
          <w:p w14:paraId="7FE1B4BE" w14:textId="77777777" w:rsidR="00FE5D64" w:rsidRDefault="00E40776">
            <w:pPr>
              <w:pStyle w:val="P68B1DB1-TableParagraph13"/>
              <w:spacing w:before="108"/>
              <w:ind w:left="85"/>
              <w:jc w:val="both"/>
              <w:rPr>
                <w:bCs/>
              </w:rPr>
            </w:pPr>
            <w:r>
              <w:t>Когато инвестираната субект е субект от групата, кодът е същият като посоченият в образец Z 01.01 (ORG 1). Когато инвестирания обект не е субект от групата, неговият код е:</w:t>
            </w:r>
          </w:p>
          <w:p w14:paraId="4B3351AF" w14:textId="77777777" w:rsidR="00FE5D64" w:rsidRDefault="00E40776">
            <w:pPr>
              <w:pStyle w:val="P68B1DB1-TableParagraph13"/>
              <w:numPr>
                <w:ilvl w:val="0"/>
                <w:numId w:val="64"/>
              </w:numPr>
              <w:spacing w:before="108"/>
              <w:rPr>
                <w:bCs/>
              </w:rPr>
            </w:pPr>
            <w:r>
              <w:t>за институции с идентификационен код на правния субект (ИКПС) — 20-цифреният буквено-цифров ИКПС;</w:t>
            </w:r>
          </w:p>
          <w:p w14:paraId="7FE1B4C0" w14:textId="1326FF82" w:rsidR="00FE5D64" w:rsidRDefault="00E40776">
            <w:pPr>
              <w:pStyle w:val="P68B1DB1-TableParagraph13"/>
              <w:numPr>
                <w:ilvl w:val="0"/>
                <w:numId w:val="64"/>
              </w:numPr>
              <w:spacing w:before="108"/>
              <w:rPr>
                <w:bCs/>
              </w:rPr>
            </w:pPr>
            <w:r>
              <w:t>—</w:t>
            </w:r>
            <w:r>
              <w:tab/>
              <w:t>ако няма такъв, се използва кодът на ПФИ или код по единна кодификация, приложима в Съюза.</w:t>
            </w:r>
          </w:p>
          <w:p w14:paraId="7FE1B4C1" w14:textId="77777777" w:rsidR="00FE5D64" w:rsidRDefault="00E40776">
            <w:pPr>
              <w:pStyle w:val="P68B1DB1-TableParagraph13"/>
              <w:spacing w:before="108"/>
              <w:ind w:left="85"/>
              <w:jc w:val="both"/>
              <w:rPr>
                <w:b/>
                <w:bCs/>
              </w:rPr>
            </w:pPr>
            <w:r>
              <w:t>За двата случая, кодът е собствен и се използва последователно във всички образци.</w:t>
            </w:r>
          </w:p>
        </w:tc>
      </w:tr>
      <w:tr w:rsidR="00FE5D64"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FE5D64" w:rsidRDefault="00E40776">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FE5D64" w:rsidRDefault="00E40776">
            <w:pPr>
              <w:pStyle w:val="P68B1DB1-TableParagraph14"/>
              <w:spacing w:before="108"/>
              <w:ind w:left="85"/>
              <w:jc w:val="both"/>
              <w:rPr>
                <w:bCs/>
              </w:rPr>
            </w:pPr>
            <w:r>
              <w:t>Вид код</w:t>
            </w:r>
          </w:p>
          <w:p w14:paraId="7FE1B4C5" w14:textId="77777777" w:rsidR="00FE5D64" w:rsidRDefault="00E40776">
            <w:pPr>
              <w:pStyle w:val="P68B1DB1-TableParagraph13"/>
              <w:spacing w:before="108"/>
              <w:ind w:left="85"/>
              <w:jc w:val="both"/>
              <w:rPr>
                <w:bCs/>
              </w:rPr>
            </w:pPr>
            <w:r>
              <w:t xml:space="preserve">Когато инвестираната субект е субект от групата, кодът е същият като посоченият в образец Z 01.01 (ORG 1). </w:t>
            </w:r>
          </w:p>
          <w:p w14:paraId="783CEC76" w14:textId="13C64C21" w:rsidR="00FE5D64" w:rsidRDefault="00E40776">
            <w:pPr>
              <w:pStyle w:val="P68B1DB1-TableParagraph13"/>
              <w:spacing w:before="108"/>
              <w:ind w:left="85"/>
              <w:jc w:val="both"/>
              <w:rPr>
                <w:bCs/>
              </w:rPr>
            </w:pPr>
            <w:r>
              <w:t>Избира се измежду следните варианти: „ИКПС „, „Код на ПФИ„или „Вид идентификатор, различен от ИКПС или код на ПФИ“.</w:t>
            </w:r>
          </w:p>
          <w:p w14:paraId="7FE1B4CA" w14:textId="092DA599" w:rsidR="00FE5D64" w:rsidRDefault="00E40776">
            <w:pPr>
              <w:pStyle w:val="P68B1DB1-TableParagraph17"/>
              <w:spacing w:before="108"/>
            </w:pPr>
            <w:r>
              <w:t>Видът на кода винаги се посочва.</w:t>
            </w:r>
          </w:p>
          <w:p w14:paraId="7FE1B4CB" w14:textId="77777777" w:rsidR="00FE5D64" w:rsidRDefault="00E40776">
            <w:pPr>
              <w:pStyle w:val="P68B1DB1-TableParagraph13"/>
              <w:spacing w:before="108"/>
              <w:ind w:left="85"/>
              <w:rPr>
                <w:b/>
                <w:bCs/>
              </w:rPr>
            </w:pPr>
            <w:r>
              <w:t>За идентифициране на субектите или предприятията, в които е инвестирано, двойката кодове и видове се използва последователно в образците.</w:t>
            </w:r>
          </w:p>
        </w:tc>
      </w:tr>
      <w:tr w:rsidR="00FE5D64"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FE5D64" w:rsidRDefault="00E40776">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FE5D64" w:rsidRDefault="00E40776">
            <w:pPr>
              <w:pStyle w:val="P68B1DB1-TableParagraph14"/>
              <w:spacing w:before="108"/>
              <w:ind w:left="85"/>
            </w:pPr>
            <w:r>
              <w:t>Международен клон</w:t>
            </w:r>
          </w:p>
          <w:p w14:paraId="7FE1B4CF" w14:textId="77777777" w:rsidR="00FE5D64" w:rsidRDefault="00E40776">
            <w:pPr>
              <w:pStyle w:val="P68B1DB1-TableParagraph13"/>
              <w:spacing w:before="108"/>
              <w:ind w:left="85"/>
              <w:jc w:val="both"/>
            </w:pPr>
            <w:r>
              <w:t>Посочете следните съкращения:</w:t>
            </w:r>
          </w:p>
          <w:p w14:paraId="7FE1B4D0" w14:textId="0F2F9A3D" w:rsidR="00FE5D64" w:rsidRDefault="00E40776">
            <w:pPr>
              <w:pStyle w:val="P68B1DB1-TableParagraph13"/>
              <w:spacing w:before="108"/>
              <w:ind w:left="85"/>
              <w:jc w:val="both"/>
            </w:pPr>
            <w:r>
              <w:lastRenderedPageBreak/>
              <w:t>Да — в случай че предприятието, в което е инвестирано, е международен клон на инвеститора.</w:t>
            </w:r>
          </w:p>
          <w:p w14:paraId="7FE1B4D1" w14:textId="303CCEBB" w:rsidR="00FE5D64" w:rsidRDefault="00E40776">
            <w:pPr>
              <w:pStyle w:val="P68B1DB1-TableParagraph13"/>
              <w:spacing w:before="108"/>
              <w:ind w:left="85"/>
              <w:jc w:val="both"/>
              <w:rPr>
                <w:b/>
                <w:bCs/>
              </w:rPr>
            </w:pPr>
            <w:r>
              <w:t>Не — в случай на юридическо лице.</w:t>
            </w:r>
          </w:p>
        </w:tc>
      </w:tr>
      <w:tr w:rsidR="00FE5D64"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FE5D64" w:rsidRDefault="00E40776">
            <w:pPr>
              <w:pStyle w:val="P68B1DB1-TableParagraph13"/>
              <w:spacing w:before="106"/>
              <w:ind w:left="-1"/>
            </w:pPr>
            <w:r>
              <w:lastRenderedPageBreak/>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FE5D64" w:rsidRDefault="00E40776">
            <w:pPr>
              <w:pStyle w:val="P68B1DB1-TableParagraph14"/>
              <w:spacing w:before="108"/>
              <w:ind w:left="85"/>
              <w:jc w:val="both"/>
              <w:rPr>
                <w:bCs/>
              </w:rPr>
            </w:pPr>
            <w:r>
              <w:t>Собственост</w:t>
            </w:r>
          </w:p>
        </w:tc>
      </w:tr>
      <w:tr w:rsidR="00FE5D64"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FE5D64" w:rsidRDefault="00E40776">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FE5D64" w:rsidRDefault="00E40776">
            <w:pPr>
              <w:pStyle w:val="P68B1DB1-TableParagraph14"/>
              <w:spacing w:before="108"/>
              <w:ind w:left="85"/>
              <w:jc w:val="both"/>
            </w:pPr>
            <w:r>
              <w:t>Акционерен капитал</w:t>
            </w:r>
          </w:p>
          <w:p w14:paraId="7FE1B4D8" w14:textId="77777777" w:rsidR="00FE5D64" w:rsidRDefault="00E40776">
            <w:pPr>
              <w:pStyle w:val="P68B1DB1-TableParagraph17"/>
              <w:spacing w:before="108"/>
              <w:ind w:left="85"/>
              <w:jc w:val="both"/>
            </w:pPr>
            <w:r>
              <w:t>Размер на акционерния капитал, държан от инвеститора, с изключение на резервите. В случай на международен клон полето е празно.</w:t>
            </w:r>
          </w:p>
        </w:tc>
      </w:tr>
      <w:tr w:rsidR="00FE5D64"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FE5D64" w:rsidRDefault="00E40776">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FE5D64" w:rsidRDefault="00E40776">
            <w:pPr>
              <w:pStyle w:val="P68B1DB1-TableParagraph14"/>
              <w:spacing w:before="108"/>
              <w:ind w:left="85"/>
              <w:rPr>
                <w:rFonts w:eastAsia="Book Antiqua"/>
              </w:rPr>
            </w:pPr>
            <w:r>
              <w:t>Права на глас в субекта</w:t>
            </w:r>
          </w:p>
          <w:p w14:paraId="7FE1B4DC" w14:textId="77777777" w:rsidR="00FE5D64" w:rsidRDefault="00E40776">
            <w:pPr>
              <w:pStyle w:val="P68B1DB1-TableParagraph17"/>
              <w:spacing w:before="108"/>
              <w:ind w:left="85"/>
              <w:jc w:val="both"/>
              <w:rPr>
                <w:b/>
              </w:rPr>
            </w:pPr>
            <w:r>
              <w:t>Процент от правата на глас, притежавани от инвеститора. Тази информация се изисква само ако една акция не е равна на един глас (следователно правата на глас не са равни на акционерния капитал). В случай на международен клон полето е празно.</w:t>
            </w:r>
          </w:p>
        </w:tc>
      </w:tr>
    </w:tbl>
    <w:p w14:paraId="7FE1B4DE" w14:textId="77777777" w:rsidR="00FE5D64" w:rsidRDefault="00FE5D64">
      <w:pPr>
        <w:rPr>
          <w:rFonts w:ascii="Times New Roman" w:hAnsi="Times New Roman" w:cs="Times New Roman"/>
        </w:rPr>
      </w:pPr>
    </w:p>
    <w:p w14:paraId="7FE1B4DF" w14:textId="77777777" w:rsidR="00FE5D64" w:rsidRDefault="00FE5D64">
      <w:pPr>
        <w:rPr>
          <w:rFonts w:ascii="Times New Roman" w:hAnsi="Times New Roman" w:cs="Times New Roman"/>
        </w:rPr>
      </w:pPr>
    </w:p>
    <w:p w14:paraId="7FE1B4E1" w14:textId="77777777" w:rsidR="00FE5D64" w:rsidRDefault="00E40776">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45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Структура на задълженията (LIAB 1)</w:t>
      </w:r>
      <w:bookmarkEnd w:id="54"/>
      <w:bookmarkEnd w:id="55"/>
      <w:bookmarkEnd w:id="56"/>
    </w:p>
    <w:p w14:paraId="7FE1B4E2" w14:textId="77777777" w:rsidR="00FE5D64" w:rsidRDefault="00E40776">
      <w:pPr>
        <w:pStyle w:val="Instructionsberschrift3"/>
      </w:pPr>
      <w:r>
        <w:t>Общи бележки</w:t>
      </w:r>
    </w:p>
    <w:p w14:paraId="7FE1B4E3" w14:textId="190D578F" w:rsidR="00FE5D64" w:rsidRDefault="00E40776">
      <w:pPr>
        <w:pStyle w:val="P68B1DB1-InstructionsText26"/>
        <w:numPr>
          <w:ilvl w:val="0"/>
          <w:numId w:val="233"/>
        </w:numPr>
        <w:spacing w:before="0"/>
      </w:pPr>
      <w:r>
        <w:t>Този образец изисква подробна информация за структурата на задълженията на субекта или групата. Задълженията се подразделят на задължения, изключени от споделянето на загуби, и такива, които не са изключени от споделянето на загуби. Предоставени са допълнителни разбивки по категории пасиви, контрагенти и остатъчен срок до падежа.</w:t>
      </w:r>
    </w:p>
    <w:p w14:paraId="7FE1B4E4" w14:textId="77777777" w:rsidR="00FE5D64" w:rsidRDefault="00E40776">
      <w:pPr>
        <w:pStyle w:val="P68B1DB1-InstructionsText26"/>
        <w:numPr>
          <w:ilvl w:val="0"/>
          <w:numId w:val="233"/>
        </w:numPr>
        <w:spacing w:before="0"/>
      </w:pPr>
      <w:r>
        <w:t>Когато в настоящия образец е представена разбивка по падежи, остатъчният срок до падежа е времето до договорения падеж. Чрез дерогация от това:</w:t>
      </w:r>
    </w:p>
    <w:p w14:paraId="7FE1B4E5" w14:textId="77777777" w:rsidR="00FE5D64" w:rsidRDefault="00E40776">
      <w:pPr>
        <w:pStyle w:val="P68B1DB1-InstructionsText26"/>
        <w:numPr>
          <w:ilvl w:val="1"/>
          <w:numId w:val="233"/>
        </w:numPr>
        <w:spacing w:before="0"/>
      </w:pPr>
      <w:r>
        <w:t>когато инструмент на пасивите включва опция за обратно изкупуване от държателя, която може да бъде упражнена преди първоначално обявения му падеж, падежът на инструмента е възможно най-ранната дата, на която държателят може да упражни опцията за обратно изкупуване и да поиска обратно изкупуване или изплащане на инструмента;</w:t>
      </w:r>
    </w:p>
    <w:p w14:paraId="7FE1B4E6" w14:textId="77777777" w:rsidR="00FE5D64" w:rsidRDefault="00E40776">
      <w:pPr>
        <w:pStyle w:val="P68B1DB1-InstructionsText26"/>
        <w:numPr>
          <w:ilvl w:val="1"/>
          <w:numId w:val="233"/>
        </w:numPr>
        <w:spacing w:before="0"/>
      </w:pPr>
      <w:r>
        <w:t>когато инструмент на пасивите включва стимул за емитента да изкупи обратно или да изплати инструмента преди първоначално обявения му падеж, падежът на инструмента е възможно най-ранната дата, на която емитентът може да упражни тази опция и да поиска обратно изкупуване или изплащане на инструмента;</w:t>
      </w:r>
    </w:p>
    <w:p w14:paraId="7FE1B4E8" w14:textId="77777777" w:rsidR="00FE5D64" w:rsidRDefault="00E40776">
      <w:pPr>
        <w:pStyle w:val="P68B1DB1-InstructionsText26"/>
        <w:numPr>
          <w:ilvl w:val="0"/>
          <w:numId w:val="233"/>
        </w:numPr>
        <w:spacing w:before="0"/>
      </w:pPr>
      <w:r>
        <w:t>При междинни плащания по главницата, главницата се разделя и разпределя в съответните падежни групи. Когато е приложимо, падежът се разглежда отделно за сумата на главницата и за начислената лихва.</w:t>
      </w:r>
    </w:p>
    <w:p w14:paraId="7FE1B4E9" w14:textId="7225004D" w:rsidR="00FE5D64" w:rsidRDefault="00E40776">
      <w:pPr>
        <w:pStyle w:val="P68B1DB1-InstructionsText26"/>
        <w:numPr>
          <w:ilvl w:val="0"/>
          <w:numId w:val="233"/>
        </w:numPr>
        <w:spacing w:before="0"/>
      </w:pPr>
      <w:r>
        <w:t>В някои специфични случаи падежът на даден инструмент зависи от външни фактори, върху които институцията има малко или никакво влияние. В такива случаи първата дата, на която такива събития могат да доведат до възстановяване, се счита за най-ранната дата на обратно изкупуване.</w:t>
      </w:r>
    </w:p>
    <w:p w14:paraId="7FE1B4EA" w14:textId="77777777" w:rsidR="00FE5D64" w:rsidRDefault="00E40776">
      <w:pPr>
        <w:pStyle w:val="P68B1DB1-InstructionsText26"/>
        <w:numPr>
          <w:ilvl w:val="0"/>
          <w:numId w:val="233"/>
        </w:numPr>
        <w:spacing w:before="0"/>
      </w:pPr>
      <w:r>
        <w:t>В други случаи договорите не предвиждат конкретна дата на падежа, като например безсрочни или овърнайт депозити. В тези случаи се счита, че пасивите имат възможен падеж на първата възможна дата, т.е. следващия/един ден след отчетната дата.</w:t>
      </w:r>
    </w:p>
    <w:p w14:paraId="7FE1B4EB" w14:textId="7998FDEF" w:rsidR="00FE5D64" w:rsidRDefault="00E40776">
      <w:pPr>
        <w:pStyle w:val="P68B1DB1-InstructionsText26"/>
        <w:numPr>
          <w:ilvl w:val="0"/>
          <w:numId w:val="233"/>
        </w:numPr>
        <w:spacing w:before="0"/>
      </w:pPr>
      <w:r>
        <w:lastRenderedPageBreak/>
        <w:t>Що се отнася до депозитите, в обхвата на ДСГД не се прави непременно разграничение между падежите, които се считат за обезпечени, ако съществуват различни срокове до падежа. Поради това, за да разделят необезпечената част на падежни групи, от институциите се изисква да прилагат пропорционален подход за общия размер на покритието и да разпределят непокритата част по съответния срок до падежа на базовите депозити, освен ако не са приложими специални разпоредби, произтичащи от транспонирането на Директива 2014</w:t>
      </w:r>
      <w:r>
        <w:t>/49/ЕС в националното законодателство.</w:t>
      </w:r>
    </w:p>
    <w:p w14:paraId="7FE1B4EC" w14:textId="333CC915" w:rsidR="00FE5D64" w:rsidRDefault="00E40776">
      <w:pPr>
        <w:pStyle w:val="P68B1DB1-InstructionsText26"/>
        <w:numPr>
          <w:ilvl w:val="0"/>
          <w:numId w:val="233"/>
        </w:numPr>
        <w:spacing w:before="0"/>
      </w:pPr>
      <w:r>
        <w:t>Когато дадено задължение отговаря на множество критерии и може да бъде отчетено в няколко реда в интервала r0110 — r0210, то се отчита само в един ред, т.е. този с най-ниския номер на реда в настоящия образец.</w:t>
      </w:r>
    </w:p>
    <w:p w14:paraId="7FE1B4ED" w14:textId="0B0F63BC" w:rsidR="00FE5D64" w:rsidRDefault="00E40776">
      <w:pPr>
        <w:pStyle w:val="P68B1DB1-InstructionsText26"/>
        <w:numPr>
          <w:ilvl w:val="0"/>
          <w:numId w:val="233"/>
        </w:numPr>
      </w:pPr>
      <w:r>
        <w:t>Сумите в този образец се отчитат както като непогасени, така и като балансови стойности:</w:t>
      </w:r>
    </w:p>
    <w:p w14:paraId="7FE1B4EE" w14:textId="77777777" w:rsidR="00FE5D64" w:rsidRDefault="00E40776">
      <w:pPr>
        <w:pStyle w:val="P68B1DB1-InstructionsText26"/>
        <w:numPr>
          <w:ilvl w:val="1"/>
          <w:numId w:val="233"/>
        </w:numPr>
      </w:pPr>
      <w:r>
        <w:t xml:space="preserve">Непогасената стойност на иск или инструмент е неговата главница плюс начислената лихва. Неизплатената дължима сума е равна на стойността на вземането, което кредиторът предявява в рамките на производство по несъстоятелност, без да се вземат предвид разпоредбите за прихващане при несъстоятелност, и не включва премии или отстъпки по инструменти на пасива. В случаите, когато не е предявено вземане в рамките на производство по несъстоятелност, непогасената сума се очаква да бъде равна на нула. </w:t>
      </w:r>
    </w:p>
    <w:p w14:paraId="7FE1B4EF" w14:textId="77777777" w:rsidR="00FE5D64" w:rsidRDefault="00E40776">
      <w:pPr>
        <w:pStyle w:val="P68B1DB1-InstructionsText26"/>
        <w:numPr>
          <w:ilvl w:val="1"/>
          <w:numId w:val="233"/>
        </w:numPr>
      </w:pPr>
      <w:r>
        <w:t xml:space="preserve">Балансовата стойност е балансовата стойност, определена за целите на FINREP, съгласно МСФО или nGAAP, в зависимост от случая. В останалите случаи се използват цифрите по схемите за отчитане съгласно nGAAP. </w:t>
      </w:r>
    </w:p>
    <w:p w14:paraId="7FE1B4F1" w14:textId="1849D60B" w:rsidR="00FE5D64" w:rsidRDefault="00E40776">
      <w:pPr>
        <w:pStyle w:val="P68B1DB1-InstructionsText26"/>
        <w:numPr>
          <w:ilvl w:val="0"/>
          <w:numId w:val="233"/>
        </w:numPr>
        <w:spacing w:before="0"/>
      </w:pPr>
      <w:r>
        <w:t>В настоящия доклад се посочват данни, които може вече да са били докладвани от субекта във FINREP и COREP за същата референтна дата и обхват на докладване (вж. позоваванията на COREP/FINREP в указанията). Когато случаят е такъв, докладващият субект не е длъжен да докладва тези данни за втори път. Например данните за COREP/FINREP трябва да се докладват тук, когато докладващият субект е бил освободен от финансови или пруденциални задължения за докладване, като в този случай единственият източник на данни за о</w:t>
      </w:r>
      <w:r>
        <w:t>рганите за преструктуриране за тези данни е настоящият доклад.</w:t>
      </w:r>
    </w:p>
    <w:p w14:paraId="7FE1B4F2" w14:textId="77777777" w:rsidR="00FE5D64" w:rsidRDefault="00E40776">
      <w:pPr>
        <w:pStyle w:val="P68B1DB1-Instructionsberschrift312"/>
      </w:pPr>
      <w:r>
        <w:t>Указания относно определени позиции</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FE5D64"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FE5D64" w:rsidRDefault="00E40776">
            <w:pPr>
              <w:pStyle w:val="P68B1DB1-TableParagraph13"/>
              <w:spacing w:before="66"/>
              <w:rPr>
                <w:rFonts w:eastAsia="Cambria"/>
              </w:rPr>
            </w:pPr>
            <w:r>
              <w:t>Колони</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FE5D64" w:rsidRDefault="00E40776">
            <w:pPr>
              <w:pStyle w:val="P68B1DB1-TableParagraph13"/>
              <w:spacing w:before="66"/>
              <w:ind w:right="1"/>
              <w:jc w:val="center"/>
              <w:rPr>
                <w:rFonts w:eastAsia="Cambria"/>
              </w:rPr>
            </w:pPr>
            <w:r>
              <w:t>Указания</w:t>
            </w:r>
          </w:p>
        </w:tc>
      </w:tr>
      <w:tr w:rsidR="00FE5D64"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FE5D64" w:rsidRDefault="00E40776">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FE5D64" w:rsidRDefault="00E40776">
            <w:pPr>
              <w:pStyle w:val="P68B1DB1-TableParagraph14"/>
              <w:spacing w:before="108"/>
              <w:ind w:left="85"/>
              <w:jc w:val="both"/>
            </w:pPr>
            <w:r>
              <w:t>Домакинства</w:t>
            </w:r>
          </w:p>
          <w:p w14:paraId="7FE1B4F8" w14:textId="77777777" w:rsidR="00FE5D64" w:rsidRDefault="00E40776">
            <w:pPr>
              <w:pStyle w:val="P68B1DB1-TableParagraph17"/>
              <w:spacing w:before="108"/>
              <w:ind w:left="85"/>
              <w:jc w:val="both"/>
            </w:pPr>
            <w:r>
              <w:t xml:space="preserve">FINREP, приложение V, част 1, параграф 42, буква е) </w:t>
            </w:r>
          </w:p>
          <w:p w14:paraId="7FE1B4F9" w14:textId="77777777" w:rsidR="00FE5D64" w:rsidRDefault="00E40776">
            <w:pPr>
              <w:pStyle w:val="P68B1DB1-TableParagraph17"/>
              <w:spacing w:before="108"/>
              <w:ind w:left="85"/>
              <w:jc w:val="both"/>
              <w:rPr>
                <w:b/>
              </w:rPr>
            </w:pPr>
            <w:r>
              <w:t>Физически лица или групи от физически лица като потребители и производители на стоки и нефинансови услуги, изключително за тяхно собствено потребление и като производители на пазарни стоки и нефинансови и финансови услуги, при условие, че техните дейности не са тези на квази-предприятията. Включват се организациите с нестопанска цел, които обслужват домакинствата и се занимават предимно с производството на непазарни стоки и услуги, предназначени за определени групи от домакинства.</w:t>
            </w:r>
          </w:p>
        </w:tc>
      </w:tr>
      <w:tr w:rsidR="00FE5D64"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FE5D64" w:rsidRDefault="00E40776">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FE5D64" w:rsidRDefault="00E40776">
            <w:pPr>
              <w:pStyle w:val="P68B1DB1-TableParagraph14"/>
              <w:spacing w:before="108"/>
              <w:ind w:left="85"/>
              <w:jc w:val="both"/>
            </w:pPr>
            <w:r>
              <w:t>Нефинансови предприятия (МСП)</w:t>
            </w:r>
          </w:p>
          <w:p w14:paraId="7FE1B4FD" w14:textId="77777777" w:rsidR="00FE5D64" w:rsidRDefault="00E40776">
            <w:pPr>
              <w:pStyle w:val="P68B1DB1-TableParagraph17"/>
              <w:spacing w:before="108"/>
              <w:ind w:left="85"/>
              <w:jc w:val="both"/>
            </w:pPr>
            <w:r>
              <w:t>FINREP, приложение V, част 1, параграф 42, буква д)</w:t>
            </w:r>
          </w:p>
          <w:p w14:paraId="7FE1B4FE" w14:textId="63A52B7A" w:rsidR="00FE5D64" w:rsidRDefault="00E40776">
            <w:pPr>
              <w:pStyle w:val="P68B1DB1-TableParagraph13"/>
              <w:spacing w:before="108"/>
              <w:ind w:left="85"/>
              <w:jc w:val="both"/>
              <w:rPr>
                <w:rFonts w:eastAsia="Cambria"/>
              </w:rPr>
            </w:pPr>
            <w:r>
              <w:t xml:space="preserve">Предприятия и квазикорпорации, които не се занимават с финансово посредничество, а предимно с производството на пазарни стоки и нефинансови услуги съгласно Регламент (ЕС) </w:t>
            </w:r>
            <w:r>
              <w:lastRenderedPageBreak/>
              <w:t>2021/379 на ЕЦБ,</w:t>
            </w:r>
            <w:r>
              <w:footnoteReference w:id="11"/>
            </w:r>
            <w:r>
              <w:t>които също отговарят на следната дефиниция за МСП:</w:t>
            </w:r>
          </w:p>
          <w:p w14:paraId="7FE1B4FF" w14:textId="77777777" w:rsidR="00FE5D64" w:rsidRDefault="00E40776">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Член 2, параграф 1 от дял I от приложението към Препоръка на Комисията от 6 май 2003 г.</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приложение V, част 1, параграф 5, буква и)</w:t>
            </w:r>
          </w:p>
          <w:p w14:paraId="7FE1B500" w14:textId="77777777" w:rsidR="00FE5D64" w:rsidRDefault="00E40776">
            <w:pPr>
              <w:pStyle w:val="P68B1DB1-TableParagraph17"/>
              <w:spacing w:before="108"/>
              <w:ind w:left="85"/>
              <w:jc w:val="both"/>
              <w:rPr>
                <w:rFonts w:eastAsia="Book Antiqua"/>
              </w:rPr>
            </w:pPr>
            <w:r>
              <w:t>Предприятия с под 250 служители и с годишен оборот, който не надвишава 50 млн. евро, и/или с годишен счетоводен баланс, който не надвишава 43 млн. евро.</w:t>
            </w:r>
          </w:p>
        </w:tc>
      </w:tr>
      <w:tr w:rsidR="00FE5D64"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FE5D64" w:rsidRDefault="00E40776">
            <w:pPr>
              <w:pStyle w:val="P68B1DB1-TableParagraph13"/>
              <w:spacing w:before="106"/>
              <w:ind w:left="-1"/>
            </w:pPr>
            <w:r>
              <w:lastRenderedPageBreak/>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FE5D64" w:rsidRDefault="00E40776">
            <w:pPr>
              <w:pStyle w:val="P68B1DB1-TableParagraph14"/>
              <w:spacing w:before="108"/>
              <w:ind w:left="85"/>
              <w:jc w:val="both"/>
            </w:pPr>
            <w:r>
              <w:t>Нефинансови предприятия (различни от МСП)</w:t>
            </w:r>
          </w:p>
          <w:p w14:paraId="7FE1B504" w14:textId="77777777" w:rsidR="00FE5D64" w:rsidRDefault="00E40776">
            <w:pPr>
              <w:pStyle w:val="P68B1DB1-TableParagraph17"/>
              <w:spacing w:before="108"/>
              <w:ind w:left="85"/>
              <w:jc w:val="both"/>
            </w:pPr>
            <w:r>
              <w:t>FINREP, приложение V, част 1, параграф 42, буква д)</w:t>
            </w:r>
          </w:p>
          <w:p w14:paraId="7FE1B505" w14:textId="53EEC701" w:rsidR="00FE5D64" w:rsidRDefault="00E40776">
            <w:pPr>
              <w:pStyle w:val="P68B1DB1-TableParagraph13"/>
              <w:spacing w:before="108"/>
              <w:ind w:left="85"/>
              <w:jc w:val="both"/>
              <w:rPr>
                <w:rFonts w:eastAsia="Cambria"/>
              </w:rPr>
            </w:pPr>
            <w:r>
              <w:t>Предприятия и квазикорпорации, които не се занимават с финансово посредничество, а предимно с производството на пазарни стоки и нефинансови услуги съгласно Регламент (ЕС) 2021/379 на ЕЦБ.</w:t>
            </w:r>
          </w:p>
          <w:p w14:paraId="7FE1B506" w14:textId="77777777" w:rsidR="00FE5D64" w:rsidRDefault="00E40776">
            <w:pPr>
              <w:pStyle w:val="P68B1DB1-TableParagraph17"/>
              <w:spacing w:before="108"/>
              <w:ind w:left="85"/>
              <w:jc w:val="both"/>
              <w:rPr>
                <w:b/>
                <w:bCs/>
              </w:rPr>
            </w:pPr>
            <w:r>
              <w:t xml:space="preserve">Изключват се „МСП“, докладвани в колона 0020. </w:t>
            </w:r>
          </w:p>
        </w:tc>
      </w:tr>
      <w:tr w:rsidR="00FE5D64"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FE5D64" w:rsidRDefault="00E40776">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FE5D64" w:rsidRDefault="00E40776">
            <w:pPr>
              <w:pStyle w:val="P68B1DB1-TableParagraph14"/>
              <w:spacing w:before="108"/>
              <w:ind w:left="85"/>
              <w:jc w:val="both"/>
            </w:pPr>
            <w:r>
              <w:t>Кредитни институции</w:t>
            </w:r>
          </w:p>
          <w:p w14:paraId="7FE1B50A" w14:textId="77777777" w:rsidR="00FE5D64" w:rsidRDefault="00E40776">
            <w:pPr>
              <w:pStyle w:val="P68B1DB1-TableParagraph17"/>
              <w:spacing w:before="108"/>
              <w:ind w:left="85"/>
              <w:jc w:val="both"/>
            </w:pPr>
            <w:r>
              <w:t>FINREP, приложение V, част 1, параграф 42, буква в)</w:t>
            </w:r>
          </w:p>
          <w:p w14:paraId="7FE1B50B" w14:textId="77777777" w:rsidR="00FE5D64" w:rsidRDefault="00E40776">
            <w:pPr>
              <w:pStyle w:val="P68B1DB1-TableParagraph13"/>
              <w:spacing w:before="108"/>
              <w:ind w:left="85"/>
              <w:jc w:val="both"/>
              <w:rPr>
                <w:b/>
                <w:bCs/>
              </w:rPr>
            </w:pPr>
            <w:r>
              <w:t>Кредитни институции по смисъла на член 4, параграф 1, точка 1 от Регламент (ЕС) № 575/2013 и многостранни банки за развитие.</w:t>
            </w:r>
          </w:p>
        </w:tc>
      </w:tr>
      <w:tr w:rsidR="00FE5D64"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FE5D64" w:rsidRDefault="00E40776">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FE5D64" w:rsidRDefault="00E40776">
            <w:pPr>
              <w:pStyle w:val="P68B1DB1-TableParagraph14"/>
              <w:spacing w:before="108"/>
              <w:ind w:left="85"/>
              <w:jc w:val="both"/>
            </w:pPr>
            <w:r>
              <w:t>Други финансови предприятия</w:t>
            </w:r>
          </w:p>
          <w:p w14:paraId="7FE1B50F" w14:textId="77777777" w:rsidR="00FE5D64" w:rsidRDefault="00E40776">
            <w:pPr>
              <w:pStyle w:val="P68B1DB1-TableParagraph17"/>
              <w:spacing w:before="108"/>
              <w:ind w:left="85"/>
              <w:jc w:val="both"/>
            </w:pPr>
            <w:r>
              <w:t>FINREP, приложение V, част 1, параграф 42, буква г)</w:t>
            </w:r>
          </w:p>
          <w:p w14:paraId="7FE1B510" w14:textId="06860C4E" w:rsidR="00FE5D64" w:rsidRDefault="00E40776">
            <w:pPr>
              <w:pStyle w:val="P68B1DB1-TableParagraph17"/>
              <w:spacing w:before="108"/>
              <w:ind w:left="85"/>
              <w:jc w:val="both"/>
              <w:rPr>
                <w:b/>
                <w:bCs/>
              </w:rPr>
            </w:pPr>
            <w:r>
              <w:t>Всички финансови предприятия и квазикорпорации, различни от кредитни институции, например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каптивни финансови институции и заемодатели.</w:t>
            </w:r>
          </w:p>
        </w:tc>
      </w:tr>
      <w:tr w:rsidR="00FE5D64"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FE5D64" w:rsidRDefault="00E40776">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FE5D64" w:rsidRDefault="00E40776">
            <w:pPr>
              <w:pStyle w:val="P68B1DB1-TableParagraph14"/>
              <w:spacing w:before="108"/>
              <w:ind w:left="85"/>
              <w:jc w:val="both"/>
            </w:pPr>
            <w:r>
              <w:t>В т.ч. застрахователни дружества „Пенсионни фондове“</w:t>
            </w:r>
          </w:p>
          <w:p w14:paraId="7FE1B514" w14:textId="77777777" w:rsidR="00FE5D64" w:rsidRDefault="00E40776">
            <w:pPr>
              <w:pStyle w:val="P68B1DB1-TableParagraph17"/>
              <w:spacing w:before="108"/>
              <w:ind w:left="85"/>
              <w:jc w:val="both"/>
              <w:rPr>
                <w:b/>
              </w:rPr>
            </w:pPr>
            <w:r>
              <w:t>Застрахователни предприятия, презастрахователни предприятия дружества (както е посочено в член 13, параграф 1 — (6) от Директива № 2009/138/ЕО на Европейския парламент и на Съвета) и пенсионни и пенсионни фондове.</w:t>
            </w:r>
          </w:p>
        </w:tc>
      </w:tr>
      <w:tr w:rsidR="00FE5D64"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FE5D64" w:rsidRDefault="00E40776">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FE5D64" w:rsidRDefault="00E40776">
            <w:pPr>
              <w:pStyle w:val="P68B1DB1-TableParagraph14"/>
              <w:spacing w:before="108"/>
              <w:ind w:left="85"/>
              <w:jc w:val="both"/>
            </w:pPr>
            <w:r>
              <w:t>Държавно управление и централни банки</w:t>
            </w:r>
          </w:p>
          <w:p w14:paraId="7FE1B518" w14:textId="77777777" w:rsidR="00FE5D64" w:rsidRDefault="00E40776">
            <w:pPr>
              <w:pStyle w:val="P68B1DB1-TableParagraph17"/>
              <w:spacing w:before="108"/>
              <w:ind w:left="85"/>
              <w:jc w:val="both"/>
            </w:pPr>
            <w:r>
              <w:t>FINREP, приложение V, част 1, параграф 42, букви а) и б)</w:t>
            </w:r>
          </w:p>
          <w:p w14:paraId="7FE1B519" w14:textId="77777777" w:rsidR="00FE5D64" w:rsidRDefault="00E40776">
            <w:pPr>
              <w:pStyle w:val="P68B1DB1-TableParagraph17"/>
              <w:spacing w:before="108"/>
              <w:ind w:left="85"/>
              <w:jc w:val="both"/>
              <w:rPr>
                <w:b/>
                <w:bCs/>
              </w:rPr>
            </w:pPr>
            <w:r>
              <w:t xml:space="preserve">Централни банки и централни, федерални, регионални правителства или местни органи на власт, включително административни органи и нетърговски предприятия, но без публични дружества и частни дружества с търговска дейност, притежавани от тези администрации (които в зависимост от дейността им биват отчитани като „кредитни институции„, „други финансови предприятия“ или „нефинансови предприятия“); социалноосигурителни фондове; и международни организации като Европейския съюз, Международния валутен фонд и Банката </w:t>
            </w:r>
            <w:r>
              <w:t>за международни разплащания.</w:t>
            </w:r>
          </w:p>
        </w:tc>
      </w:tr>
      <w:tr w:rsidR="00FE5D64"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FE5D64" w:rsidRDefault="00E40776">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FE5D64" w:rsidRDefault="00E40776">
            <w:pPr>
              <w:pStyle w:val="P68B1DB1-TableParagraph14"/>
              <w:spacing w:before="108"/>
              <w:ind w:left="85"/>
              <w:jc w:val="both"/>
            </w:pPr>
            <w:r>
              <w:t>Неустановени, допуснати до търговия на място за търговия</w:t>
            </w:r>
          </w:p>
          <w:p w14:paraId="7FE1B51D" w14:textId="5F92CBCC" w:rsidR="00FE5D64" w:rsidRDefault="00E4077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Когато самоличността на притежателя на ценна книга не е известна, тъй като инструментите се търгуват на място на търговия по смисъла на Директива 2014/65/ЕС</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стойностите се вписват в тази колона.</w:t>
            </w:r>
          </w:p>
        </w:tc>
      </w:tr>
      <w:tr w:rsidR="00FE5D64"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FE5D64" w:rsidRDefault="00E40776">
            <w:pPr>
              <w:pStyle w:val="P68B1DB1-TableParagraph13"/>
              <w:spacing w:before="106"/>
              <w:ind w:left="-1"/>
            </w:pPr>
            <w:r>
              <w:lastRenderedPageBreak/>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FE5D64" w:rsidRDefault="00E40776">
            <w:pPr>
              <w:pStyle w:val="P68B1DB1-TableParagraph14"/>
              <w:spacing w:before="108"/>
              <w:ind w:left="85"/>
              <w:jc w:val="both"/>
            </w:pPr>
            <w:r>
              <w:t>Неустановени, недопуснати до търговия на място за търговия</w:t>
            </w:r>
          </w:p>
          <w:p w14:paraId="7FE1B521" w14:textId="4FDBE5B1" w:rsidR="00FE5D64" w:rsidRDefault="00E40776">
            <w:pPr>
              <w:pStyle w:val="P68B1DB1-TableParagraph17"/>
              <w:spacing w:before="108"/>
              <w:ind w:left="85"/>
              <w:jc w:val="both"/>
            </w:pPr>
            <w:r>
              <w:t>Когато самоличността на притежателя на ценна книга не е известна, въпреки че инструментите не са допуснати до търговия на място за търговия, сумите се вписват в тази колона и не се изисква по-нататъшна разбивка по контрагенти. Субектите са поощрявани да идентифицират контрагентите и да сведат до минимум използването на тази колона.</w:t>
            </w:r>
          </w:p>
        </w:tc>
      </w:tr>
      <w:tr w:rsidR="00FE5D64"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FE5D64" w:rsidRDefault="00E40776">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FE5D64" w:rsidRDefault="00E40776">
            <w:pPr>
              <w:pStyle w:val="P68B1DB1-TableParagraph14"/>
              <w:spacing w:before="108"/>
              <w:ind w:left="85"/>
              <w:jc w:val="both"/>
              <w:rPr>
                <w:bCs/>
              </w:rPr>
            </w:pPr>
            <w:r>
              <w:t>Общо</w:t>
            </w:r>
          </w:p>
        </w:tc>
      </w:tr>
      <w:tr w:rsidR="00FE5D64"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FE5D64" w:rsidRDefault="00E40776">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FE5D64" w:rsidRDefault="00E40776">
            <w:pPr>
              <w:pStyle w:val="P68B1DB1-TableParagraph14"/>
              <w:spacing w:before="108"/>
              <w:ind w:left="85"/>
              <w:jc w:val="both"/>
            </w:pPr>
            <w:r>
              <w:t>От които: вътрешногрупови</w:t>
            </w:r>
          </w:p>
          <w:p w14:paraId="7FE1B528" w14:textId="1BF72D2B" w:rsidR="00FE5D64" w:rsidRDefault="00E40776">
            <w:pPr>
              <w:pStyle w:val="P68B1DB1-TableParagraph13"/>
              <w:spacing w:before="108"/>
              <w:ind w:left="85"/>
              <w:jc w:val="both"/>
              <w:rPr>
                <w:rFonts w:eastAsia="Times New Roman"/>
              </w:rPr>
            </w:pPr>
            <w:r>
              <w:t xml:space="preserve">Задължения към субекти, включени в обхвата на консолидацията на крайното предприятие майка (за разлика от регулаторния обхват на консолидацията). </w:t>
            </w:r>
          </w:p>
        </w:tc>
      </w:tr>
      <w:tr w:rsidR="00FE5D64"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FE5D64" w:rsidRDefault="00E40776">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FE5D64" w:rsidRDefault="00E40776">
            <w:pPr>
              <w:pStyle w:val="P68B1DB1-TableParagraph14"/>
              <w:spacing w:before="108"/>
              <w:ind w:left="85"/>
              <w:jc w:val="both"/>
            </w:pPr>
            <w:r>
              <w:t>От които: задължения съгласно правото на трета държава, с изключение на вътрешногруповите задължения</w:t>
            </w:r>
          </w:p>
          <w:p w14:paraId="7FE1B52C" w14:textId="77777777" w:rsidR="00FE5D64" w:rsidRDefault="00E40776">
            <w:pPr>
              <w:pStyle w:val="P68B1DB1-TableParagraph17"/>
              <w:spacing w:before="108"/>
              <w:ind w:left="85"/>
              <w:jc w:val="both"/>
            </w:pPr>
            <w:r>
              <w:t>Включват брутните суми на задълженията, уреждани от правото на трета държава и/или емитирани от субекти от група, учредени в трета държава. Вътрешногруповите задължения се изключват.</w:t>
            </w:r>
          </w:p>
          <w:p w14:paraId="7FE1B52D" w14:textId="77777777" w:rsidR="00FE5D64" w:rsidRDefault="00E40776">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Когато органът за преструктуриране е потвърдил, че е убеден, както е посочено в член 55, параграф 3 от Директива 2014/59/ЕС на Европейския парламент и на Съвета,</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че решението на орган за преструктуриране за обезценяване или преобразуване на посоченото задължение ще има правно действие съгласно правото на тази трета държава, това задължение не се докладва в тази категория.</w:t>
            </w:r>
          </w:p>
        </w:tc>
      </w:tr>
    </w:tbl>
    <w:p w14:paraId="7FE1B532" w14:textId="77777777" w:rsidR="00FE5D64" w:rsidRDefault="00FE5D64">
      <w:pPr>
        <w:rPr>
          <w:rFonts w:ascii="Times New Roman" w:hAnsi="Times New Roman" w:cs="Times New Roman"/>
        </w:rPr>
      </w:pPr>
    </w:p>
    <w:p w14:paraId="7FE1B533" w14:textId="77777777" w:rsidR="00FE5D64" w:rsidRDefault="00FE5D64">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FE5D64"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FE5D64" w:rsidRDefault="00E40776">
            <w:pPr>
              <w:pStyle w:val="P68B1DB1-TableParagraph13"/>
              <w:spacing w:before="66"/>
              <w:rPr>
                <w:rFonts w:eastAsia="Cambria"/>
              </w:rPr>
            </w:pPr>
            <w:r>
              <w:t>Редове</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FE5D64" w:rsidRDefault="00E40776">
            <w:pPr>
              <w:pStyle w:val="P68B1DB1-TableParagraph13"/>
              <w:spacing w:before="66"/>
              <w:ind w:right="1"/>
              <w:jc w:val="center"/>
              <w:rPr>
                <w:rFonts w:eastAsia="Cambria"/>
              </w:rPr>
            </w:pPr>
            <w:r>
              <w:t>Указания</w:t>
            </w:r>
          </w:p>
        </w:tc>
      </w:tr>
      <w:tr w:rsidR="00FE5D64"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FE5D64" w:rsidRDefault="00E40776">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FE5D64" w:rsidRDefault="00E40776">
            <w:pPr>
              <w:pStyle w:val="P68B1DB1-TableParagraph14"/>
              <w:spacing w:before="108"/>
              <w:ind w:left="85"/>
              <w:jc w:val="both"/>
            </w:pPr>
            <w:r>
              <w:t>Задължения, изключени от споделянето на загуби</w:t>
            </w:r>
          </w:p>
          <w:p w14:paraId="7FE1B53A" w14:textId="5A5F469A" w:rsidR="00FE5D64" w:rsidRDefault="00E40776">
            <w:pPr>
              <w:pStyle w:val="P68B1DB1-TableParagraph17"/>
              <w:spacing w:before="108"/>
              <w:jc w:val="both"/>
            </w:pPr>
            <w:r>
              <w:t xml:space="preserve">Размера на задълженията, за които органите за преструктуриране не упражняват правомощията за обезценяване или преобразуване в съответствие с член 44, параграф 2 от Директива 2014/59/ЕС. </w:t>
            </w:r>
          </w:p>
        </w:tc>
      </w:tr>
      <w:tr w:rsidR="00FE5D64"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FE5D64" w:rsidRDefault="00E40776">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FE5D64" w:rsidRDefault="00E40776">
            <w:pPr>
              <w:pStyle w:val="P68B1DB1-TableParagraph14"/>
              <w:spacing w:before="108"/>
              <w:ind w:left="85"/>
              <w:jc w:val="both"/>
            </w:pPr>
            <w:r>
              <w:t>Гарантирани депозити</w:t>
            </w:r>
          </w:p>
          <w:p w14:paraId="7FE1B53E" w14:textId="77777777" w:rsidR="00FE5D64" w:rsidRDefault="00E40776">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Размерът на гарантираните депозити съгласно определението в член 2, параграф 1, точка 5 от Директива 2014/49/ЕС на Европейския парламент и на Съвета</w:t>
            </w:r>
            <w:r>
              <w:rPr>
                <w:rStyle w:val="FootnoteReference"/>
                <w:rFonts w:ascii="Times New Roman" w:hAnsi="Times New Roman" w:cs="Times New Roman"/>
                <w:color w:val="000000" w:themeColor="text1"/>
              </w:rPr>
              <w:t>,</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с изключение на временно увеличените салда на депозитите съгласно определението в член 6, параграф 2 от същата директива.</w:t>
            </w:r>
          </w:p>
        </w:tc>
      </w:tr>
      <w:tr w:rsidR="00FE5D64"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FE5D64" w:rsidRDefault="00E40776">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FE5D64" w:rsidRDefault="00E40776">
            <w:pPr>
              <w:pStyle w:val="P68B1DB1-TableParagraph14"/>
              <w:spacing w:before="108"/>
              <w:ind w:left="85"/>
              <w:jc w:val="both"/>
            </w:pPr>
            <w:r>
              <w:t>Обезпечени задължения — гарантирана част</w:t>
            </w:r>
          </w:p>
          <w:p w14:paraId="7FE1B542" w14:textId="14245B0A" w:rsidR="00FE5D64" w:rsidRDefault="00E40776">
            <w:pPr>
              <w:pStyle w:val="P68B1DB1-TableParagraph17"/>
              <w:spacing w:before="108"/>
              <w:ind w:left="85"/>
              <w:jc w:val="both"/>
            </w:pPr>
            <w:r>
              <w:t>Размерът на задълженията, посочени в член 44, параграф 2, буква б) от Директива 2014/59/ЕС.</w:t>
            </w:r>
          </w:p>
          <w:p w14:paraId="7FE1B543" w14:textId="77777777" w:rsidR="00FE5D64" w:rsidRDefault="00E40776">
            <w:pPr>
              <w:pStyle w:val="P68B1DB1-TableParagraph17"/>
              <w:spacing w:before="108"/>
              <w:ind w:left="85"/>
              <w:jc w:val="both"/>
            </w:pPr>
            <w:r>
              <w:t>Обезпечените задължения, включително споразуменията за обратно изкупуване („репо сделки“), покритите облигации и задълженията под формата на финансови инструменти, които съставляват неразделна част от покритието и които съгласно националното право са обезпечени по начин, подобен на този при покритите облигации.</w:t>
            </w:r>
          </w:p>
          <w:p w14:paraId="7FE1B544" w14:textId="77777777" w:rsidR="00FE5D64" w:rsidRDefault="00E40776">
            <w:pPr>
              <w:pStyle w:val="P68B1DB1-TableParagraph17"/>
              <w:spacing w:before="108"/>
              <w:ind w:left="85"/>
              <w:jc w:val="both"/>
            </w:pPr>
            <w:r>
              <w:t xml:space="preserve">Нито изискването да се гарантира, че всички обезпечени активи, свързани с покритието на </w:t>
            </w:r>
            <w:r>
              <w:lastRenderedPageBreak/>
              <w:t>покритите облигации остават незасегнати, отделно обособени и с достатъчно финансиране, нито посоченото по-горе изключение от член 44, параграф 2, буква б) от Директива 2014/59/ЕС ще възпрепятстват органите за преструктуриране да упражняват тези правомощия, когато това е целесъобразно, по отношение на която и да е част от обезпечено задължение или задължение, за което е предоставена допълнителна гаранция, надхвърляща стойността на активите, залога, реалното обезпечение или друго обезпечение, с които са гаран</w:t>
            </w:r>
            <w:r>
              <w:t>тирани. Такава непокрита част от тези обезпечени задължения се докладва не в този ред, а в ред 0340 и подлежи на допълнителна разбивка.</w:t>
            </w:r>
          </w:p>
          <w:p w14:paraId="7FE1B545" w14:textId="77777777" w:rsidR="00FE5D64" w:rsidRDefault="00E40776">
            <w:pPr>
              <w:pStyle w:val="P68B1DB1-TableParagraph20"/>
              <w:spacing w:before="108"/>
              <w:ind w:left="85"/>
              <w:jc w:val="both"/>
              <w:rPr>
                <w:color w:val="000000" w:themeColor="text1"/>
              </w:rPr>
            </w:pPr>
            <w:r>
              <w:rPr>
                <w:color w:val="000000" w:themeColor="text1"/>
              </w:rPr>
              <w:t>Задълженията на централни банки, покрити от пул на обезпечения</w:t>
            </w:r>
            <w:r>
              <w:rPr>
                <w:color w:val="1A171C"/>
              </w:rPr>
              <w:t>(например операции по основно рефинансиране, по дългосрочно рефинансиране, по целево дългосрочно рефинансиране и др.</w:t>
            </w:r>
            <w:r>
              <w:rPr>
                <w:color w:val="000000" w:themeColor="text1"/>
              </w:rPr>
              <w:t xml:space="preserve">) се считат за обезпечени задължения. </w:t>
            </w:r>
          </w:p>
        </w:tc>
      </w:tr>
      <w:tr w:rsidR="00FE5D64"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FE5D64" w:rsidRDefault="00E40776">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FE5D64" w:rsidRDefault="00E40776">
            <w:pPr>
              <w:pStyle w:val="P68B1DB1-TableParagraph14"/>
              <w:spacing w:before="108"/>
              <w:ind w:left="85"/>
              <w:jc w:val="both"/>
            </w:pPr>
            <w:r>
              <w:t>Задължения към клиенти, ако са защитени при несъстоятелност</w:t>
            </w:r>
          </w:p>
          <w:p w14:paraId="7FE1B54A" w14:textId="2F60701C" w:rsidR="00FE5D64" w:rsidRDefault="00E40776">
            <w:pPr>
              <w:pStyle w:val="P68B1DB1-TableParagraph17"/>
              <w:spacing w:before="108"/>
              <w:ind w:left="85"/>
              <w:jc w:val="both"/>
              <w:rPr>
                <w:b/>
                <w:bCs/>
              </w:rPr>
            </w:pPr>
            <w:r>
              <w:t>Размерът на задълженията, посочени в член 44, параграф 2, буква в) от Директива 2014/59/ЕС.</w:t>
            </w:r>
          </w:p>
        </w:tc>
      </w:tr>
      <w:tr w:rsidR="00FE5D64"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FE5D64" w:rsidRDefault="00E40776">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FE5D64" w:rsidRDefault="00E40776">
            <w:pPr>
              <w:pStyle w:val="P68B1DB1-TableParagraph14"/>
              <w:spacing w:before="108"/>
              <w:ind w:left="85"/>
              <w:jc w:val="both"/>
            </w:pPr>
            <w:r>
              <w:t>Фидуциарни задължения, ако са защитени при несъстоятелност</w:t>
            </w:r>
          </w:p>
          <w:p w14:paraId="7FE1B54F" w14:textId="76B21996" w:rsidR="00FE5D64" w:rsidRDefault="00E40776">
            <w:pPr>
              <w:pStyle w:val="P68B1DB1-TableParagraph17"/>
              <w:spacing w:before="108"/>
              <w:ind w:left="85"/>
              <w:jc w:val="both"/>
              <w:rPr>
                <w:b/>
                <w:bCs/>
              </w:rPr>
            </w:pPr>
            <w:r>
              <w:t>Размерът на задълженията, посочени в член 44, параграф 2, буква г) от Директива 2014/59/ЕС.</w:t>
            </w:r>
          </w:p>
        </w:tc>
      </w:tr>
      <w:tr w:rsidR="00FE5D64"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FE5D64" w:rsidRDefault="00E40776">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FE5D64" w:rsidRDefault="00E40776">
            <w:pPr>
              <w:pStyle w:val="P68B1DB1-TableParagraph14"/>
              <w:spacing w:before="108"/>
              <w:ind w:left="85"/>
              <w:jc w:val="both"/>
            </w:pPr>
            <w:r>
              <w:t xml:space="preserve">Задължения на институцията — 7 дни </w:t>
            </w:r>
          </w:p>
          <w:p w14:paraId="7FE1B554" w14:textId="175AD873" w:rsidR="00FE5D64" w:rsidRDefault="00E40776">
            <w:pPr>
              <w:pStyle w:val="P68B1DB1-TableParagraph17"/>
              <w:spacing w:before="108"/>
              <w:ind w:left="85"/>
              <w:jc w:val="both"/>
              <w:rPr>
                <w:b/>
                <w:bCs/>
              </w:rPr>
            </w:pPr>
            <w:r>
              <w:t>Размерът на задълженията, посочени в член 44, параграф 2, буква д) от Директива 2014/59/ЕС.</w:t>
            </w:r>
          </w:p>
        </w:tc>
      </w:tr>
      <w:tr w:rsidR="00FE5D64"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FE5D64" w:rsidRDefault="00E40776">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FE5D64" w:rsidRDefault="00E40776">
            <w:pPr>
              <w:pStyle w:val="P68B1DB1-TableParagraph14"/>
              <w:spacing w:before="108"/>
              <w:ind w:left="85"/>
              <w:jc w:val="both"/>
            </w:pPr>
            <w:r>
              <w:t>Задължения към система (оператор) и ЦК &lt; 7 дни</w:t>
            </w:r>
          </w:p>
          <w:p w14:paraId="7FE1B558" w14:textId="79B15273" w:rsidR="00FE5D64" w:rsidRDefault="00E40776">
            <w:pPr>
              <w:pStyle w:val="P68B1DB1-TableParagraph17"/>
              <w:spacing w:before="108"/>
              <w:ind w:left="85"/>
              <w:jc w:val="both"/>
              <w:rPr>
                <w:b/>
                <w:bCs/>
              </w:rPr>
            </w:pPr>
            <w:r>
              <w:t xml:space="preserve">Размерът на задълженията, посочени в член 44, параграф 2, буква е) от Директива 2014/59/ЕС, включително платежните системи и системите за сетълмент на ценни книжа и клиринговите къщи, както и дериватите, преминали клиринг чрез ЦК, с падеж под 7 дни. </w:t>
            </w:r>
          </w:p>
        </w:tc>
      </w:tr>
      <w:tr w:rsidR="00FE5D64"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FE5D64" w:rsidRDefault="00E40776">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FE5D64" w:rsidRDefault="00E40776">
            <w:pPr>
              <w:pStyle w:val="P68B1DB1-TableParagraph14"/>
              <w:spacing w:before="108"/>
              <w:ind w:left="85"/>
              <w:jc w:val="both"/>
            </w:pPr>
            <w:r>
              <w:t>Задължения към служители</w:t>
            </w:r>
          </w:p>
          <w:p w14:paraId="7FE1B55C" w14:textId="77777777" w:rsidR="00FE5D64" w:rsidRDefault="00E40776">
            <w:pPr>
              <w:pStyle w:val="P68B1DB1-TableParagraph17"/>
              <w:spacing w:before="108"/>
              <w:ind w:left="85"/>
              <w:jc w:val="both"/>
            </w:pPr>
            <w:r>
              <w:t>Размерът на пасивите, посочени в член 44, параграф 2, буква ж), подточка i) от Директива 2014/59/ЕС.</w:t>
            </w:r>
          </w:p>
          <w:p w14:paraId="7FE1B55D" w14:textId="77777777" w:rsidR="00FE5D64" w:rsidRDefault="00E40776">
            <w:pPr>
              <w:pStyle w:val="P68B1DB1-TableParagraph17"/>
              <w:spacing w:before="108"/>
              <w:ind w:left="85"/>
              <w:jc w:val="both"/>
              <w:rPr>
                <w:b/>
                <w:bCs/>
              </w:rPr>
            </w:pPr>
            <w:r>
              <w:t>Задължения към служители по отношение на натрупано трудово възнаграждение, пенсионни плащания или други фиксирани възнаграждения, с изключение на променливия компонент на възнаграждението, който не се урежда от колективен трудов договор; Задължения към служители по отношение на натрупано трудово възнаграждение, пенсионни плащания или други фиксирани възнаграждения, с изключение на променливия компонент на възнаграждението, който не се урежда от колективен трудов договор; Това обаче не се отнася за променлив</w:t>
            </w:r>
            <w:r>
              <w:t>ия компонент на възнаграждението на поемащите значителен риск съгласно определеното в член 92, параграф 2 от Директива 2013/36/ЕС.</w:t>
            </w:r>
          </w:p>
        </w:tc>
      </w:tr>
      <w:tr w:rsidR="00FE5D64"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FE5D64" w:rsidRDefault="00E40776">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FE5D64" w:rsidRDefault="00E40776">
            <w:pPr>
              <w:pStyle w:val="P68B1DB1-TableParagraph14"/>
              <w:spacing w:before="108"/>
              <w:ind w:left="85"/>
              <w:jc w:val="both"/>
            </w:pPr>
            <w:r>
              <w:t>Задължения от решаващо значение за ежедневното оперативно функциониране</w:t>
            </w:r>
          </w:p>
          <w:p w14:paraId="7FE1B562" w14:textId="61C90413" w:rsidR="00FE5D64" w:rsidRDefault="00E40776">
            <w:pPr>
              <w:pStyle w:val="P68B1DB1-TableParagraph17"/>
              <w:spacing w:before="108"/>
              <w:ind w:left="85"/>
              <w:jc w:val="both"/>
              <w:rPr>
                <w:b/>
                <w:bCs/>
              </w:rPr>
            </w:pPr>
            <w:r>
              <w:t>Размерът на задълженията, посочени в член 44, параграф 2, буква ж), подточка ii) от Директива 2014/59/ЕС.</w:t>
            </w:r>
          </w:p>
        </w:tc>
      </w:tr>
      <w:tr w:rsidR="00FE5D64"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FE5D64" w:rsidRDefault="00E40776">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FE5D64" w:rsidRDefault="00E40776">
            <w:pPr>
              <w:pStyle w:val="P68B1DB1-TableParagraph14"/>
              <w:spacing w:before="108"/>
              <w:ind w:left="85"/>
              <w:jc w:val="both"/>
            </w:pPr>
            <w:r>
              <w:t>Задължения към данъчните и социалноосигурителните органи, ако тези задължения са привилегировани</w:t>
            </w:r>
          </w:p>
          <w:p w14:paraId="7FE1B567" w14:textId="46841715" w:rsidR="00FE5D64" w:rsidRDefault="00E40776">
            <w:pPr>
              <w:pStyle w:val="P68B1DB1-TableParagraph17"/>
              <w:spacing w:before="108"/>
              <w:ind w:left="85"/>
              <w:jc w:val="both"/>
              <w:rPr>
                <w:b/>
                <w:bCs/>
              </w:rPr>
            </w:pPr>
            <w:r>
              <w:t>Размерът на задълженията, посочени в член 44, параграф 2, буква ж), подточка iii) от Директива 2014/59/ЕС.</w:t>
            </w:r>
          </w:p>
        </w:tc>
      </w:tr>
      <w:tr w:rsidR="00FE5D64"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FE5D64" w:rsidRDefault="00E40776">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FE5D64" w:rsidRDefault="00E40776">
            <w:pPr>
              <w:pStyle w:val="P68B1DB1-TableParagraph14"/>
              <w:spacing w:before="108"/>
              <w:ind w:left="85"/>
              <w:jc w:val="both"/>
            </w:pPr>
            <w:r>
              <w:t>Задължения по схеми за гарантиране на депозити (СГД)</w:t>
            </w:r>
          </w:p>
          <w:p w14:paraId="7FE1B56C" w14:textId="69555433" w:rsidR="00FE5D64" w:rsidRDefault="00E40776">
            <w:pPr>
              <w:pStyle w:val="P68B1DB1-TableParagraph17"/>
              <w:spacing w:before="108"/>
              <w:ind w:left="85"/>
              <w:jc w:val="both"/>
              <w:rPr>
                <w:b/>
                <w:bCs/>
              </w:rPr>
            </w:pPr>
            <w:r>
              <w:t>Размерът на пасивите, посочени в член 44, параграф 2, буква ж), подточка iv) от Директива 2014/59/ЕС.</w:t>
            </w:r>
          </w:p>
        </w:tc>
      </w:tr>
      <w:tr w:rsidR="00FE5D64"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FE5D64" w:rsidRDefault="00E40776">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FE5D64" w:rsidRDefault="00E40776">
            <w:pPr>
              <w:pStyle w:val="P68B1DB1-TableParagraph14"/>
              <w:spacing w:before="108"/>
              <w:ind w:left="85"/>
              <w:jc w:val="both"/>
            </w:pPr>
            <w:r>
              <w:t>Задължения към други субекти от групата за преструктуриране</w:t>
            </w:r>
          </w:p>
          <w:p w14:paraId="7FE1B570" w14:textId="77777777" w:rsidR="00FE5D64" w:rsidRDefault="00E40776">
            <w:pPr>
              <w:pStyle w:val="P68B1DB1-TableParagraph17"/>
              <w:spacing w:before="108"/>
              <w:ind w:left="85"/>
              <w:jc w:val="both"/>
            </w:pPr>
            <w:r>
              <w:lastRenderedPageBreak/>
              <w:t>Размерът на задълженията, посочени в член 44, параграф 2, буква з) от Директива 2014/59/ЕС.</w:t>
            </w:r>
          </w:p>
          <w:p w14:paraId="7FE1B571" w14:textId="098C1D7E" w:rsidR="00FE5D64" w:rsidRDefault="00E40776">
            <w:pPr>
              <w:pStyle w:val="P68B1DB1-TableParagraph17"/>
              <w:spacing w:before="108"/>
              <w:ind w:left="85"/>
              <w:jc w:val="both"/>
            </w:pPr>
            <w:r>
              <w:t>Когато изключеното задължение е задължение по деривати, нетните позиции в пасива, като се вземат предвид правилата за пруденциално нетиране по член 429в от Регламент (ЕС) № 575/2013, се докладват в колоните, отнасящи се до „непогасената сума“ (както в ред r0334). За колоните, отнасящи се до „балансовата стойност“, се докладват балансовите пасиви, произтичащи от деривати (както в ред r0330).</w:t>
            </w:r>
          </w:p>
          <w:p w14:paraId="7FE1B572" w14:textId="5F543301" w:rsidR="00FE5D64" w:rsidRDefault="00E40776">
            <w:pPr>
              <w:pStyle w:val="P68B1DB1-TableParagraph17"/>
              <w:spacing w:before="108"/>
              <w:ind w:left="85"/>
              <w:jc w:val="both"/>
            </w:pPr>
            <w:r>
              <w:t>Когато докладващият субект не е определен като субект за преструктуриране, той трябва да отчита само задълженията, попадащи в обхвата на член 44, параграф 2, буква з) от ДВПБ, които се държат от неговите дъщерни предприятия, които също не са субекти за преструктуриране, но са част от същата група за преструктуриране като докладващия субект.</w:t>
            </w:r>
          </w:p>
          <w:p w14:paraId="7FE1B573" w14:textId="0A9C3B4A" w:rsidR="00FE5D64" w:rsidRDefault="00E40776">
            <w:pPr>
              <w:pStyle w:val="P68B1DB1-TableParagraph17"/>
              <w:spacing w:before="108"/>
              <w:ind w:left="85"/>
              <w:jc w:val="both"/>
            </w:pPr>
            <w:r>
              <w:t xml:space="preserve">Вътрешногруповите задължения за субекти, установени извън ЕС, не се докладват в този ред съгласно член 1, параграф 1 от ДВПБ, букви б), в) или г), както е посочено в член 44, параграф 2, буква з) от ДВПБ. </w:t>
            </w:r>
          </w:p>
        </w:tc>
      </w:tr>
      <w:tr w:rsidR="00FE5D64"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FE5D64" w:rsidRDefault="00E40776">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FE5D64" w:rsidRDefault="00E40776">
            <w:pPr>
              <w:pStyle w:val="P68B1DB1-TableParagraph14"/>
              <w:spacing w:before="108"/>
              <w:ind w:left="85"/>
              <w:jc w:val="both"/>
            </w:pPr>
            <w:r>
              <w:t>Задължения, които не са изключени от поделянето на загуби</w:t>
            </w:r>
          </w:p>
          <w:p w14:paraId="7FE1B577" w14:textId="06299840" w:rsidR="00FE5D64" w:rsidRDefault="00E40776">
            <w:pPr>
              <w:pStyle w:val="P68B1DB1-TableParagraph17"/>
              <w:spacing w:before="108"/>
              <w:ind w:left="85"/>
              <w:jc w:val="both"/>
              <w:rPr>
                <w:b/>
                <w:bCs/>
              </w:rPr>
            </w:pPr>
            <w:r>
              <w:t>Размерът на задълженията, които споделят загуби, съгласно определението в член 2, точка 1 от Директива 2014/59/ЕС, точка (71). Това е сумата от редове 0310, 0320, 0330, 0334, 0340, 0350, 0360, 0365, 0370, 0380, 0390 и 0400.</w:t>
            </w:r>
          </w:p>
        </w:tc>
      </w:tr>
      <w:tr w:rsidR="00FE5D64"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FE5D64" w:rsidRDefault="00E40776">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FE5D64" w:rsidRDefault="00E40776">
            <w:pPr>
              <w:pStyle w:val="P68B1DB1-TableParagraph14"/>
              <w:spacing w:before="108"/>
              <w:ind w:left="85"/>
              <w:jc w:val="both"/>
            </w:pPr>
            <w:r>
              <w:t>Депозити, които не са гарантирани, но са привилегировани</w:t>
            </w:r>
          </w:p>
          <w:p w14:paraId="7FE1B57B" w14:textId="77777777" w:rsidR="00FE5D64" w:rsidRDefault="00E40776">
            <w:pPr>
              <w:pStyle w:val="P68B1DB1-TableParagraph17"/>
              <w:spacing w:before="108"/>
              <w:ind w:left="85"/>
              <w:jc w:val="both"/>
            </w:pPr>
            <w:r>
              <w:t>Член 108 от Директива 2014/59/ЕС.</w:t>
            </w:r>
          </w:p>
          <w:p w14:paraId="7FE1B57C" w14:textId="32E4C4DA" w:rsidR="00FE5D64" w:rsidRDefault="00E40776">
            <w:pPr>
              <w:pStyle w:val="P68B1DB1-TableParagraph17"/>
              <w:spacing w:before="108"/>
              <w:ind w:left="85"/>
              <w:jc w:val="both"/>
              <w:rPr>
                <w:b/>
                <w:bCs/>
              </w:rPr>
            </w:pPr>
            <w:r>
              <w:t xml:space="preserve">Депозити съгласно определението в член 2, параграф 1, точка 3 от Директива 2014/49/ЕС, които не отговарят на изискванията за изключване от споделянето на загуби (член 44, параграф 2, буква а) от Директива 2014/59/ЕС), но за тях се предвижда преференциално третиране в съответствие с член 108 от Директива 2014/59/ЕС. </w:t>
            </w:r>
          </w:p>
        </w:tc>
      </w:tr>
      <w:tr w:rsidR="00FE5D64"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FE5D64" w:rsidRDefault="00E40776">
            <w:pPr>
              <w:pStyle w:val="P68B1DB1-TableParagraph13"/>
              <w:spacing w:before="106"/>
              <w:ind w:left="-1"/>
            </w:pPr>
            <w:r>
              <w:t>0320 Г. — 0324 Г.</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FE5D64" w:rsidRDefault="00E40776">
            <w:pPr>
              <w:pStyle w:val="P68B1DB1-TableParagraph14"/>
              <w:spacing w:before="108"/>
              <w:ind w:left="85"/>
              <w:jc w:val="both"/>
            </w:pPr>
            <w:r>
              <w:t>Депозити, които не са гарантирани и не са привилегировани</w:t>
            </w:r>
          </w:p>
          <w:p w14:paraId="7FE1B580" w14:textId="0D609C91" w:rsidR="00FE5D64" w:rsidRDefault="00E40776">
            <w:pPr>
              <w:pStyle w:val="P68B1DB1-TableParagraph17"/>
              <w:spacing w:before="108"/>
              <w:ind w:left="85"/>
              <w:jc w:val="both"/>
              <w:rPr>
                <w:b/>
                <w:bCs/>
              </w:rPr>
            </w:pPr>
            <w:r>
              <w:t>Депозити съгласно определението в член 2, параграф 1, точка 3 от Директива 2014/49/ЕС, които не отговарят на условията за изключване от споделяне на загуби или преференциално третиране при прилагането на член 44, параграф 2, буква а) или член 108 от Директива 2014/59/ЕС.</w:t>
            </w:r>
          </w:p>
        </w:tc>
      </w:tr>
      <w:tr w:rsidR="00FE5D64"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FE5D64" w:rsidRDefault="00E40776">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FE5D64" w:rsidRDefault="00E40776">
            <w:pPr>
              <w:pStyle w:val="P68B1DB1-TableParagraph14"/>
              <w:spacing w:before="108"/>
              <w:ind w:left="85"/>
              <w:jc w:val="both"/>
            </w:pPr>
            <w:r>
              <w:t>Балансови пасиви, произтичащи от деривати</w:t>
            </w:r>
          </w:p>
          <w:p w14:paraId="625CF843" w14:textId="77777777" w:rsidR="00FE5D64" w:rsidRDefault="00E40776">
            <w:pPr>
              <w:pStyle w:val="P68B1DB1-TableParagraph17"/>
              <w:spacing w:before="108"/>
              <w:ind w:left="85"/>
              <w:jc w:val="both"/>
            </w:pPr>
            <w:r>
              <w:t xml:space="preserve">Счетоводната стойност на задълженията, произтичащи от деривати. </w:t>
            </w:r>
          </w:p>
          <w:p w14:paraId="7FE1B584" w14:textId="17111D9E" w:rsidR="00FE5D64" w:rsidRDefault="00E40776">
            <w:pPr>
              <w:pStyle w:val="P68B1DB1-TableParagraph17"/>
              <w:spacing w:before="108"/>
              <w:ind w:left="85"/>
              <w:jc w:val="both"/>
              <w:rPr>
                <w:b/>
                <w:bCs/>
              </w:rPr>
            </w:pPr>
            <w:r>
              <w:t>Отчитат се само стойностите в полето „балансова стойност“.</w:t>
            </w:r>
          </w:p>
        </w:tc>
      </w:tr>
      <w:tr w:rsidR="00FE5D64"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FE5D64" w:rsidRDefault="00E40776">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FE5D64" w:rsidRDefault="00E40776">
            <w:pPr>
              <w:pStyle w:val="P68B1DB1-TableParagraph14"/>
              <w:spacing w:before="108"/>
              <w:ind w:left="85"/>
              <w:jc w:val="both"/>
            </w:pPr>
            <w:r>
              <w:t>Сборът на нетните позиции в пасива, като се вземат предвид договорните нетиращи съвкупности, след корекции за оценка по пазарни цени, преди компенсиране за обезпечение</w:t>
            </w:r>
          </w:p>
          <w:p w14:paraId="43E2EAD9" w14:textId="77777777" w:rsidR="00FE5D64" w:rsidRDefault="00E40776">
            <w:pPr>
              <w:pStyle w:val="P68B1DB1-TableParagraph17"/>
              <w:spacing w:before="108"/>
              <w:ind w:left="85"/>
              <w:jc w:val="both"/>
            </w:pPr>
            <w:r>
              <w:t xml:space="preserve">По подразбиране сбора от всички нетни пазарни стойности на деривативни задължения за една договорна нетираща съвкупност. Дадена нетираща съвкупност се докладва само когато нейната нетна пазарна стойност е задължение. За тази цел дериватите, които не са предмет на споразумение за нетиране, се третират като един договор, т.е. все едно че са нетираща съвкупност само с един дериват. </w:t>
            </w:r>
          </w:p>
          <w:p w14:paraId="7FE1B588" w14:textId="07C2ADA5" w:rsidR="00FE5D64" w:rsidRDefault="00E40776">
            <w:pPr>
              <w:pStyle w:val="P68B1DB1-TableParagraph17"/>
              <w:spacing w:before="108"/>
              <w:ind w:left="85"/>
              <w:jc w:val="both"/>
              <w:rPr>
                <w:b/>
                <w:bCs/>
              </w:rPr>
            </w:pPr>
            <w:r>
              <w:t>Отчитат се само стойностите в полето „Непогасена сума“.</w:t>
            </w:r>
          </w:p>
        </w:tc>
      </w:tr>
      <w:tr w:rsidR="00FE5D64"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FE5D64" w:rsidRDefault="00E40776">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FE5D64" w:rsidRDefault="00E40776">
            <w:pPr>
              <w:pStyle w:val="P68B1DB1-TableParagraph14"/>
              <w:spacing w:before="108"/>
              <w:ind w:left="85"/>
              <w:jc w:val="both"/>
            </w:pPr>
            <w:r>
              <w:t>Сборът на нетните позиции в задължението, като се вземат предвид договорните нетиращи съвкупности, след корекции за оценка по пазарни цени, след отчитане на обезпечението</w:t>
            </w:r>
          </w:p>
          <w:p w14:paraId="5A26CA7C" w14:textId="1D9E4DD4" w:rsidR="00FE5D64" w:rsidRDefault="00E40776">
            <w:pPr>
              <w:pStyle w:val="P68B1DB1-TableParagraph17"/>
              <w:spacing w:before="108"/>
              <w:ind w:left="85"/>
              <w:jc w:val="both"/>
            </w:pPr>
            <w:r>
              <w:t xml:space="preserve">Установяването на стойността в ред 0331 може да се коригира за обезпечение, предоставено за гарантиране на тази експозиция, в резултат на което се получава сборът на тези нетни </w:t>
            </w:r>
            <w:r>
              <w:lastRenderedPageBreak/>
              <w:t xml:space="preserve">пазарни стойности след компенсиране на обезпечение при тази пазарна стойност. В този ред следва да се отчитат само онези договорни нетиращи съвкупности, за които позицията в пасива след корекции по пазарна стойност и след прихващане на обезпечението е положителна (т.е. само когато нетната пазарна стойност (c0120 от Z15.00) е по-висока от стойността на нетното предоставено обезпечение (c0130 от Z15.00). </w:t>
            </w:r>
          </w:p>
          <w:p w14:paraId="7FE1B58C" w14:textId="453C45AE" w:rsidR="00FE5D64" w:rsidRDefault="00E40776">
            <w:pPr>
              <w:pStyle w:val="P68B1DB1-TableParagraph17"/>
              <w:spacing w:before="108"/>
              <w:ind w:left="85"/>
              <w:jc w:val="both"/>
            </w:pPr>
            <w:r>
              <w:t>Отчитат се само стойностите в полето „Непогасена сума“.</w:t>
            </w:r>
          </w:p>
        </w:tc>
      </w:tr>
      <w:tr w:rsidR="00FE5D64"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FE5D64" w:rsidRDefault="00E40776">
            <w:pPr>
              <w:pStyle w:val="P68B1DB1-TableParagraph13"/>
              <w:spacing w:before="106"/>
              <w:ind w:left="-1"/>
            </w:pPr>
            <w:r>
              <w:lastRenderedPageBreak/>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FE5D64" w:rsidRDefault="00E40776">
            <w:pPr>
              <w:pStyle w:val="P68B1DB1-TableParagraph14"/>
              <w:spacing w:before="108"/>
              <w:ind w:left="85"/>
              <w:jc w:val="both"/>
            </w:pPr>
            <w:r>
              <w:t>Сборът на нетните позиции в пасива, като се вземат предвид договорните нетиращи съвкупности, след корекции за оценка по пазарни цени, след компенсиране за обезпечение, включително прогнозни суми на приключване</w:t>
            </w:r>
          </w:p>
          <w:p w14:paraId="7FE1B590" w14:textId="77777777" w:rsidR="00FE5D64" w:rsidRDefault="00E40776">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В съответствие с Делегиран регламент на Комисията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за оценяване на задълженията, произтичащи от деривати, допълнителна сума при приключване, покриваща размера на загубите или разходите, направени от контрагентите по деривати, или реализираните от тях печалби, в резултат на замяната или получаването на икономическия еквивалент на съществените условия по прекратените договори и правото на избор на страните във връзка с тези договори.</w:t>
            </w:r>
          </w:p>
          <w:p w14:paraId="00480641" w14:textId="2B7C2F6F" w:rsidR="00FE5D64" w:rsidRDefault="00E40776">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Приблизителната оценка за определяне на сумата при приключване в съответствие с горепосочения регламент може да се окаже доста трудна в отделни случаи. Затова вместо нея може да се използват заместващи стойности, които може да се базират на наличните данни, като например пруденциалните изисквания за пазарен риск. Ако се окаже невъзможно да се изчисли сумата при приключване за деривативните задължения, отчетената сума трябва да бъде равна на сумата, отчетена в ред 0332.</w:t>
            </w:r>
            <w:r>
              <w:t xml:space="preserve"> </w:t>
            </w:r>
            <w:r>
              <w:rPr>
                <w:rFonts w:ascii="Times New Roman" w:eastAsia="Cambria" w:hAnsi="Times New Roman" w:cs="Times New Roman"/>
                <w:color w:val="000000" w:themeColor="text1"/>
                <w:sz w:val="20"/>
                <w:szCs w:val="20"/>
              </w:rPr>
              <w:t>В този ред следва да се отчитат само онези договорни нетиращи съвкупности, за които позицията в пасива след корекции по пазарни цени, след прихващане на обезпечения и включваща приблизителни суми при приключване е положителна (т.е. само когато очакваната сума при ранно прекратяване (c0150 от Z15.00) е положителна).</w:t>
            </w:r>
          </w:p>
          <w:p w14:paraId="7FE1B591" w14:textId="3F2EA3D4" w:rsidR="00FE5D64" w:rsidRDefault="00E40776">
            <w:pPr>
              <w:pStyle w:val="P68B1DB1-TableParagraph17"/>
              <w:spacing w:before="108"/>
              <w:ind w:left="85"/>
              <w:jc w:val="both"/>
            </w:pPr>
            <w:r>
              <w:t>Отчитат се само стойностите в полето „Непогасена сума“.</w:t>
            </w:r>
          </w:p>
        </w:tc>
      </w:tr>
      <w:tr w:rsidR="00FE5D64"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FE5D64" w:rsidRDefault="00E40776">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FE5D64" w:rsidRDefault="00E40776">
            <w:pPr>
              <w:pStyle w:val="P68B1DB1-TableParagraph14"/>
              <w:spacing w:before="108"/>
              <w:ind w:left="85"/>
              <w:jc w:val="both"/>
              <w:rPr>
                <w:bCs/>
              </w:rPr>
            </w:pPr>
            <w:r>
              <w:t>Сборът на нетните позиции в задължението, като се вземат предвид правилата за пруденциално нетиране</w:t>
            </w:r>
          </w:p>
          <w:p w14:paraId="225BC2D2" w14:textId="5634735D" w:rsidR="00FE5D64" w:rsidRDefault="00E40776">
            <w:pPr>
              <w:pStyle w:val="P68B1DB1-TableParagraph17"/>
              <w:spacing w:before="108"/>
              <w:ind w:left="85"/>
              <w:jc w:val="both"/>
            </w:pPr>
            <w:r>
              <w:t>Отчитат се нетните позиции в пасива за деривати, като се вземат предвид пруденциалните правила за нетиране, посочени в член 429 от Регламент (ЕС) № 575/2013 (във връзка с изчисляването на мярката за обща експозиция при отношението на ливъридж).</w:t>
            </w:r>
          </w:p>
          <w:p w14:paraId="7FE1B595" w14:textId="1E8C2F86" w:rsidR="00FE5D64" w:rsidRDefault="00E40776">
            <w:pPr>
              <w:pStyle w:val="P68B1DB1-TableParagraph17"/>
              <w:spacing w:before="108"/>
              <w:ind w:left="85"/>
              <w:jc w:val="both"/>
              <w:rPr>
                <w:b/>
                <w:bCs/>
              </w:rPr>
            </w:pPr>
            <w:r>
              <w:t>Отчитат се само стойностите в полето „Непогасена сума“.</w:t>
            </w:r>
          </w:p>
        </w:tc>
      </w:tr>
      <w:tr w:rsidR="00FE5D64"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FE5D64" w:rsidRDefault="00E40776">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FE5D64" w:rsidRDefault="00E40776">
            <w:pPr>
              <w:pStyle w:val="P68B1DB1-TableParagraph14"/>
              <w:spacing w:before="108"/>
              <w:ind w:left="85"/>
              <w:jc w:val="both"/>
              <w:rPr>
                <w:bCs/>
              </w:rPr>
            </w:pPr>
            <w:r>
              <w:t>Негарантирани обезпечени задължения</w:t>
            </w:r>
          </w:p>
          <w:p w14:paraId="7FE1B599" w14:textId="77777777" w:rsidR="00FE5D64" w:rsidRDefault="00E40776">
            <w:pPr>
              <w:pStyle w:val="P68B1DB1-TableParagraph13"/>
              <w:spacing w:before="108"/>
              <w:ind w:left="85"/>
              <w:jc w:val="both"/>
              <w:rPr>
                <w:b/>
                <w:bCs/>
              </w:rPr>
            </w:pPr>
            <w:r>
              <w:t>Стойността на обезпечените задължения или задължения, за които е предоставена допълнителна гаранция, надхвърляща стойността на активите, залога, реалното обезпечение или гаранцията, с които са обезпечени. Това обхваща „негарантираната“ част от всяко обезпечено задължение, например недостатъчно обезпечената част от покрити облигации или операции за обратно изкупуване.</w:t>
            </w:r>
          </w:p>
        </w:tc>
      </w:tr>
      <w:tr w:rsidR="00FE5D64"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FE5D64" w:rsidRDefault="00E40776">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FE5D64" w:rsidRDefault="00E40776">
            <w:pPr>
              <w:pStyle w:val="P68B1DB1-TableParagraph14"/>
              <w:spacing w:before="108"/>
              <w:ind w:left="85"/>
              <w:jc w:val="both"/>
              <w:rPr>
                <w:bCs/>
              </w:rPr>
            </w:pPr>
            <w:r>
              <w:t>Структурирани облигации</w:t>
            </w:r>
          </w:p>
          <w:p w14:paraId="7FE1B59D" w14:textId="77777777" w:rsidR="00FE5D64" w:rsidRDefault="00E40776">
            <w:pPr>
              <w:pStyle w:val="P68B1DB1-TableParagraph17"/>
              <w:spacing w:before="108"/>
              <w:ind w:left="85"/>
              <w:jc w:val="both"/>
              <w:rPr>
                <w:b/>
                <w:bCs/>
              </w:rPr>
            </w:pPr>
            <w:r>
              <w:t xml:space="preserve">Структурираните облигации се определят за тази цел като дългови задължения, съдържащи компонент на внедрен дериватив, като печалбата е свързана с базова ценна книга или индекс (публичен или специално съставен, като например капиталови ценни книжа, облигации, фиксиран процент на доход или кредит, валута, стоки и др.). Структурираните облигации не включват дългови инструменти, включващи само опции за покупка или продажба, т.е. </w:t>
            </w:r>
            <w:r>
              <w:lastRenderedPageBreak/>
              <w:t>стойността на инструмента не зависи от компонент на внедрен дериват.</w:t>
            </w:r>
          </w:p>
        </w:tc>
      </w:tr>
      <w:tr w:rsidR="00FE5D64"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FE5D64" w:rsidRDefault="00E40776">
            <w:pPr>
              <w:pStyle w:val="P68B1DB1-TableParagraph13"/>
              <w:spacing w:before="106"/>
              <w:ind w:left="-1"/>
            </w:pPr>
            <w:r>
              <w:lastRenderedPageBreak/>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FE5D64" w:rsidRDefault="00E40776">
            <w:pPr>
              <w:pStyle w:val="P68B1DB1-TableParagraph14"/>
              <w:spacing w:before="108"/>
              <w:ind w:left="85"/>
              <w:jc w:val="both"/>
              <w:rPr>
                <w:bCs/>
              </w:rPr>
            </w:pPr>
            <w:r>
              <w:t>Първостепенни необезпечени задължения</w:t>
            </w:r>
          </w:p>
          <w:p w14:paraId="7FE1B5A1" w14:textId="2515816B" w:rsidR="00FE5D64" w:rsidRDefault="00E40776">
            <w:pPr>
              <w:pStyle w:val="P68B1DB1-TableParagraph17"/>
              <w:spacing w:before="108"/>
              <w:ind w:left="85"/>
              <w:jc w:val="both"/>
              <w:rPr>
                <w:b/>
                <w:bCs/>
              </w:rPr>
            </w:pPr>
            <w:r>
              <w:t>Това включва всички първостепенни необезпечени инструменти, които не са включени в други категории по-горе.</w:t>
            </w:r>
          </w:p>
        </w:tc>
      </w:tr>
      <w:tr w:rsidR="00FE5D64"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FE5D64" w:rsidRDefault="00E40776">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FE5D64" w:rsidRDefault="00E40776">
            <w:pPr>
              <w:pStyle w:val="P68B1DB1-TableParagraph14"/>
              <w:spacing w:before="108"/>
              <w:ind w:left="85"/>
              <w:jc w:val="both"/>
            </w:pPr>
            <w:r>
              <w:t>Първостепенни непривилегировани задължения</w:t>
            </w:r>
          </w:p>
          <w:p w14:paraId="7FE1B5A5" w14:textId="77777777" w:rsidR="00FE5D64" w:rsidRDefault="00E40776">
            <w:pPr>
              <w:pStyle w:val="P68B1DB1-TableParagraph13"/>
              <w:spacing w:before="108"/>
              <w:ind w:left="85"/>
              <w:jc w:val="both"/>
            </w:pPr>
            <w:r>
              <w:t>Сумата на което и да е от следните задължения:</w:t>
            </w:r>
          </w:p>
          <w:p w14:paraId="7FE1B5A6" w14:textId="51806099" w:rsidR="00FE5D64" w:rsidRDefault="00E40776">
            <w:pPr>
              <w:pStyle w:val="P68B1DB1-TableParagraph13"/>
              <w:numPr>
                <w:ilvl w:val="0"/>
                <w:numId w:val="69"/>
              </w:numPr>
              <w:spacing w:before="108"/>
              <w:jc w:val="both"/>
            </w:pPr>
            <w:r>
              <w:t xml:space="preserve">Необезпечени вземания, произтичащи от дългови инструменти, които отговарят на условията, определени в член 108 от Директива 2014/59/ЕС, параграф 2, букви а), б) и в) и параграф 3; </w:t>
            </w:r>
          </w:p>
          <w:p w14:paraId="7FE1B5A7" w14:textId="77777777" w:rsidR="00FE5D64" w:rsidRDefault="00E40776">
            <w:pPr>
              <w:pStyle w:val="P68B1DB1-TableParagraph13"/>
              <w:numPr>
                <w:ilvl w:val="0"/>
                <w:numId w:val="69"/>
              </w:numPr>
              <w:spacing w:before="108"/>
              <w:jc w:val="both"/>
            </w:pPr>
            <w:r>
              <w:t>Необезпечени вземания в резултат от дългови инструменти, посочени в член 108, параграф 5, първа алинея, буква б) от Директива 2014/59/ЕС; или</w:t>
            </w:r>
          </w:p>
          <w:p w14:paraId="7FE1B5A8" w14:textId="77777777" w:rsidR="00FE5D64" w:rsidRDefault="00E40776">
            <w:pPr>
              <w:pStyle w:val="P68B1DB1-TableParagraph13"/>
              <w:numPr>
                <w:ilvl w:val="0"/>
                <w:numId w:val="69"/>
              </w:numPr>
              <w:spacing w:before="108"/>
              <w:jc w:val="both"/>
            </w:pPr>
            <w:r>
              <w:t>Дългови инструменти с най-нисък ред измежду обикновените необезпечени вземания в резултат от дългови инструменти, посочени в член 108, параграф 7 от Директива 2014/59/ЕС, за които в съответствие със същия параграф държава членка е гарантирала, че имат същия ред като този на вземанията, отговарящи на условията, посочени в член 108, параграф 2, букви а), б) и в) и параграф 3 от Директива 2014/59/ЕС.</w:t>
            </w:r>
          </w:p>
        </w:tc>
      </w:tr>
      <w:tr w:rsidR="00FE5D64"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FE5D64" w:rsidRDefault="00E40776">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FE5D64" w:rsidRDefault="00E40776">
            <w:pPr>
              <w:pStyle w:val="P68B1DB1-TableParagraph14"/>
              <w:spacing w:before="108"/>
              <w:ind w:left="85"/>
              <w:jc w:val="both"/>
              <w:rPr>
                <w:bCs/>
              </w:rPr>
            </w:pPr>
            <w:r>
              <w:t>Непривилегировани задължения (които не са признати за собствени средства)</w:t>
            </w:r>
          </w:p>
          <w:p w14:paraId="7FE1B5AC" w14:textId="77777777" w:rsidR="00FE5D64" w:rsidRDefault="00E40776">
            <w:pPr>
              <w:pStyle w:val="P68B1DB1-TableParagraph17"/>
              <w:spacing w:before="108"/>
              <w:ind w:left="85"/>
              <w:jc w:val="both"/>
            </w:pPr>
            <w:r>
              <w:t>Задълженията, които съгласно националното право в областта на несъстоятелността ще бъдат изплатени едва след като бъдат изцяло погасени задълженията към всички класове обикновени и първостепенни непривилегировани кредитори. Тук спадат подчинените задължения, произтичащи от договорни клаузи и от нормативни изисквания. Холдингите могат да докладват в тази категория и неподчинените дългови ценни книжа (т.е. структурно подчинение).</w:t>
            </w:r>
          </w:p>
          <w:p w14:paraId="7FE1B5AD" w14:textId="77777777" w:rsidR="00FE5D64" w:rsidRDefault="00E40776">
            <w:pPr>
              <w:pStyle w:val="P68B1DB1-TableParagraph17"/>
              <w:spacing w:before="108"/>
              <w:ind w:left="85"/>
              <w:jc w:val="both"/>
            </w:pPr>
            <w:r>
              <w:t xml:space="preserve">В тази категория се включват само подчинените инструменти, които не се признават за собствени средства. </w:t>
            </w:r>
          </w:p>
          <w:p w14:paraId="7FE1B5AE" w14:textId="77777777" w:rsidR="00FE5D64" w:rsidRDefault="00E40776">
            <w:pPr>
              <w:pStyle w:val="P68B1DB1-TableParagraph17"/>
              <w:spacing w:before="108"/>
              <w:ind w:left="85"/>
              <w:jc w:val="both"/>
              <w:rPr>
                <w:b/>
                <w:bCs/>
              </w:rPr>
            </w:pPr>
            <w:r>
              <w:t xml:space="preserve">Този ред включва и онази част от подчинените задължения, която по принцип отговаря на изискванията за собствени средства, но не е включена в собствените средства поради преходни разпоредби като например член 64 от Регламент (ЕС) № 575/2013 (остатъчен матуритет) или част 10 от същия регламент (влияние на унаследяване). </w:t>
            </w:r>
          </w:p>
        </w:tc>
      </w:tr>
      <w:tr w:rsidR="00FE5D64"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FE5D64" w:rsidRDefault="00E40776">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FE5D64" w:rsidRDefault="00E40776">
            <w:pPr>
              <w:pStyle w:val="P68B1DB1-TableParagraph14"/>
              <w:spacing w:before="108"/>
              <w:ind w:left="85"/>
              <w:jc w:val="both"/>
              <w:rPr>
                <w:bCs/>
              </w:rPr>
            </w:pPr>
            <w:r>
              <w:t>Други приемливи задължения съгласно минималното изискване за собствен капитал и приемливи задължения (МИПЗ)</w:t>
            </w:r>
          </w:p>
          <w:p w14:paraId="7FE1B5B2" w14:textId="4506AA1E" w:rsidR="00FE5D64" w:rsidRDefault="00E40776">
            <w:pPr>
              <w:pStyle w:val="P68B1DB1-TableParagraph13"/>
              <w:spacing w:before="108"/>
              <w:ind w:left="85"/>
              <w:jc w:val="both"/>
              <w:rPr>
                <w:b/>
                <w:bCs/>
              </w:rPr>
            </w:pPr>
            <w:r>
              <w:t>Размерът на задълженията, който е приемлив за целите на изпълнението от страна на докладващия субект на изискването по член 45 от Директива 2014/59/ЕС в съответствие с членове 45д или 45е от нея, според случая, но не е обхванат в редове 0320 и 0340—0370.</w:t>
            </w:r>
          </w:p>
        </w:tc>
      </w:tr>
      <w:tr w:rsidR="00FE5D64"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FE5D64" w:rsidRDefault="00E40776">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FE5D64" w:rsidRDefault="00E40776">
            <w:pPr>
              <w:pStyle w:val="P68B1DB1-TableParagraph14"/>
              <w:spacing w:before="108"/>
              <w:ind w:left="85"/>
              <w:jc w:val="both"/>
              <w:rPr>
                <w:bCs/>
              </w:rPr>
            </w:pPr>
            <w:r>
              <w:t>Нефинансови задължения</w:t>
            </w:r>
          </w:p>
          <w:p w14:paraId="7FE1B5B6" w14:textId="2BB92741" w:rsidR="00FE5D64" w:rsidRDefault="00E40776">
            <w:pPr>
              <w:pStyle w:val="P68B1DB1-TableParagraph17"/>
              <w:spacing w:before="108"/>
              <w:ind w:left="85"/>
              <w:jc w:val="both"/>
              <w:rPr>
                <w:b/>
                <w:bCs/>
              </w:rPr>
            </w:pPr>
            <w:r>
              <w:t xml:space="preserve">Размерът на пасивите, които не се считат за финансови пасиви в съответствие с приложимата счетоводна рамка, като например провизии, свързани със съдебни спорове, на които предприятието е субект. </w:t>
            </w:r>
          </w:p>
        </w:tc>
      </w:tr>
      <w:tr w:rsidR="00FE5D64"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FE5D64" w:rsidRDefault="00E40776">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FE5D64" w:rsidRDefault="00E40776">
            <w:pPr>
              <w:pStyle w:val="P68B1DB1-TableParagraph14"/>
              <w:spacing w:before="108"/>
              <w:ind w:left="85"/>
              <w:jc w:val="both"/>
              <w:rPr>
                <w:bCs/>
              </w:rPr>
            </w:pPr>
            <w:r>
              <w:t>Остатъчни задължения</w:t>
            </w:r>
          </w:p>
          <w:p w14:paraId="7FE1B5BA" w14:textId="66DA2802" w:rsidR="00FE5D64" w:rsidRDefault="00E40776">
            <w:pPr>
              <w:pStyle w:val="P68B1DB1-TableParagraph17"/>
              <w:spacing w:before="108"/>
              <w:ind w:left="85"/>
              <w:jc w:val="both"/>
              <w:rPr>
                <w:b/>
                <w:bCs/>
              </w:rPr>
            </w:pPr>
            <w:r>
              <w:t xml:space="preserve">Размерът на пасивите, които не са отчетени в редове 0100—0390. </w:t>
            </w:r>
          </w:p>
        </w:tc>
      </w:tr>
      <w:tr w:rsidR="00FE5D64"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FE5D64" w:rsidRDefault="00E40776">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FE5D64" w:rsidRDefault="00E40776">
            <w:pPr>
              <w:pStyle w:val="P68B1DB1-TableParagraph14"/>
              <w:spacing w:before="108"/>
              <w:ind w:left="85"/>
              <w:jc w:val="both"/>
            </w:pPr>
            <w:r>
              <w:t>Собствен капитал</w:t>
            </w:r>
          </w:p>
          <w:p w14:paraId="7FE1B5BE" w14:textId="77777777" w:rsidR="00FE5D64" w:rsidRDefault="00E40776">
            <w:pPr>
              <w:pStyle w:val="P68B1DB1-TableParagraph17"/>
              <w:spacing w:before="108"/>
              <w:ind w:left="85"/>
              <w:jc w:val="both"/>
            </w:pPr>
            <w:r>
              <w:t>Член 4, параграф 1, точка 118 и член 72 от Регламент (ЕС) № 575/2013.</w:t>
            </w:r>
          </w:p>
          <w:p w14:paraId="7FE1B5BF" w14:textId="77777777" w:rsidR="00FE5D64" w:rsidRDefault="00E40776">
            <w:pPr>
              <w:pStyle w:val="P68B1DB1-TableParagraph17"/>
              <w:spacing w:before="108"/>
              <w:ind w:left="85"/>
              <w:jc w:val="both"/>
            </w:pPr>
            <w:r>
              <w:t>Същото определение като COREP (OF): [...] C 01.00; 010; 010 [...]</w:t>
            </w:r>
          </w:p>
        </w:tc>
      </w:tr>
      <w:tr w:rsidR="00FE5D64"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FE5D64" w:rsidRDefault="00E40776">
            <w:pPr>
              <w:pStyle w:val="P68B1DB1-TableParagraph13"/>
              <w:spacing w:before="106"/>
              <w:ind w:left="-1"/>
            </w:pPr>
            <w:r>
              <w:lastRenderedPageBreak/>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FE5D64" w:rsidRDefault="00E40776">
            <w:pPr>
              <w:pStyle w:val="P68B1DB1-TableParagraph14"/>
              <w:spacing w:before="108"/>
              <w:ind w:left="85"/>
              <w:jc w:val="both"/>
              <w:rPr>
                <w:bCs/>
              </w:rPr>
            </w:pPr>
            <w:r>
              <w:t>Базов собствен капитал от първи ред</w:t>
            </w:r>
          </w:p>
          <w:p w14:paraId="7FE1B5C3" w14:textId="77777777" w:rsidR="00FE5D64" w:rsidRDefault="00E40776">
            <w:pPr>
              <w:pStyle w:val="P68B1DB1-TableParagraph17"/>
              <w:spacing w:before="108"/>
              <w:ind w:left="85"/>
              <w:jc w:val="both"/>
            </w:pPr>
            <w:r>
              <w:t>Член 50 от Регламент (ЕС) № 575/2013.</w:t>
            </w:r>
          </w:p>
          <w:p w14:paraId="7FE1B5C4" w14:textId="77777777" w:rsidR="00FE5D64" w:rsidRDefault="00E40776">
            <w:pPr>
              <w:pStyle w:val="P68B1DB1-TableParagraph17"/>
              <w:spacing w:before="108"/>
              <w:ind w:left="85"/>
              <w:jc w:val="both"/>
              <w:rPr>
                <w:b/>
                <w:bCs/>
              </w:rPr>
            </w:pPr>
            <w:r>
              <w:t>Същото определение като COREP (OF): [...] C 01.00; 020; 010 [...]</w:t>
            </w:r>
          </w:p>
        </w:tc>
      </w:tr>
      <w:tr w:rsidR="00FE5D64"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FE5D64" w:rsidRDefault="00E40776">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FE5D64" w:rsidRDefault="00E40776">
            <w:pPr>
              <w:pStyle w:val="P68B1DB1-TableParagraph14"/>
              <w:spacing w:before="108"/>
              <w:ind w:left="85"/>
              <w:jc w:val="both"/>
              <w:rPr>
                <w:bCs/>
              </w:rPr>
            </w:pPr>
            <w:r>
              <w:t>От които: капиталови инструменти/акционерен капитал</w:t>
            </w:r>
          </w:p>
          <w:p w14:paraId="7FE1B5C8" w14:textId="77777777" w:rsidR="00FE5D64" w:rsidRDefault="00E40776">
            <w:pPr>
              <w:pStyle w:val="P68B1DB1-TableParagraph17"/>
              <w:spacing w:before="108"/>
              <w:ind w:left="85"/>
              <w:jc w:val="both"/>
            </w:pPr>
            <w:r>
              <w:t>Правните инструменти, съставляващи (част от) базовия собствен капитал от първи ред във вид на капиталови инструменти/акционерен капитал.</w:t>
            </w:r>
          </w:p>
          <w:p w14:paraId="7FE1B5C9" w14:textId="5A3DBB27" w:rsidR="00FE5D64" w:rsidRDefault="00E40776">
            <w:pPr>
              <w:pStyle w:val="P68B1DB1-TableParagraph13"/>
              <w:spacing w:before="108"/>
              <w:ind w:left="85"/>
              <w:jc w:val="both"/>
            </w:pPr>
            <w:r>
              <w:t>Балансовата стойност (FINREP F01.03—020—010 + F01.03—040—010) се разбира като номиналната стойност на инструментите, докато непогасената сума представлява остатъчното вземане на акции от общия отчетен собствен капитал, т.е. включително резервите на предприятието/групата.</w:t>
            </w:r>
          </w:p>
        </w:tc>
      </w:tr>
      <w:tr w:rsidR="00FE5D64"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FE5D64" w:rsidRDefault="00E40776">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FE5D64" w:rsidRDefault="00E40776">
            <w:pPr>
              <w:pStyle w:val="P68B1DB1-TableParagraph14"/>
              <w:spacing w:before="108"/>
              <w:ind w:left="85"/>
              <w:jc w:val="both"/>
              <w:rPr>
                <w:bCs/>
              </w:rPr>
            </w:pPr>
            <w:r>
              <w:t>От които: инструменти, категоризирани pari passu с обикновени акции</w:t>
            </w:r>
          </w:p>
          <w:p w14:paraId="7FE1B5CD" w14:textId="0D41ACA0" w:rsidR="00FE5D64" w:rsidRDefault="00E40776">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Правните инструменти, съставляващи (част от) базовия собствен капитал от първи ред във вид на инструменти, различни от капиталови инструменти/акционерен капитал, но категоризирани pari passu в тази категория.</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Неразпределената печалба и резервите не се отчитат в този ред.</w:t>
            </w:r>
            <w:bookmarkEnd w:id="57"/>
          </w:p>
        </w:tc>
      </w:tr>
      <w:tr w:rsidR="00FE5D64"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FE5D64" w:rsidRDefault="00E40776">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FE5D64" w:rsidRDefault="00E40776">
            <w:pPr>
              <w:pStyle w:val="P68B1DB1-TableParagraph14"/>
              <w:spacing w:before="108"/>
              <w:ind w:left="85"/>
              <w:jc w:val="both"/>
              <w:rPr>
                <w:bCs/>
              </w:rPr>
            </w:pPr>
            <w:r>
              <w:t>Допълнителен капитал от първи ред</w:t>
            </w:r>
          </w:p>
          <w:p w14:paraId="7FE1B5D1" w14:textId="77777777" w:rsidR="00FE5D64" w:rsidRDefault="00E40776">
            <w:pPr>
              <w:pStyle w:val="P68B1DB1-TableParagraph17"/>
              <w:spacing w:before="108"/>
              <w:ind w:left="85"/>
              <w:jc w:val="both"/>
            </w:pPr>
            <w:r>
              <w:t>Член 61 от Регламент (ЕС) № 575/2013.</w:t>
            </w:r>
          </w:p>
          <w:p w14:paraId="7FE1B5D2" w14:textId="77777777" w:rsidR="00FE5D64" w:rsidRDefault="00E40776">
            <w:pPr>
              <w:pStyle w:val="P68B1DB1-TableParagraph17"/>
              <w:spacing w:before="108"/>
              <w:ind w:left="85"/>
              <w:jc w:val="both"/>
              <w:rPr>
                <w:b/>
                <w:bCs/>
              </w:rPr>
            </w:pPr>
            <w:r>
              <w:t>Същото определение като COREP (OF): [...] C 01.00; 530; 010 [...]</w:t>
            </w:r>
          </w:p>
        </w:tc>
      </w:tr>
      <w:tr w:rsidR="00FE5D64"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FE5D64" w:rsidRDefault="00E40776">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FE5D64" w:rsidRDefault="00E40776">
            <w:pPr>
              <w:pStyle w:val="P68B1DB1-TableParagraph14"/>
              <w:spacing w:before="108"/>
              <w:ind w:left="85"/>
              <w:jc w:val="both"/>
              <w:rPr>
                <w:bCs/>
              </w:rPr>
            </w:pPr>
            <w:r>
              <w:t>От които: (част от) непривилегированите задължения, признати за собствени средства</w:t>
            </w:r>
          </w:p>
          <w:p w14:paraId="7FE1B5D6" w14:textId="77777777" w:rsidR="00FE5D64" w:rsidRDefault="00E40776">
            <w:pPr>
              <w:pStyle w:val="P68B1DB1-TableParagraph17"/>
              <w:spacing w:before="108"/>
              <w:ind w:left="85"/>
              <w:jc w:val="both"/>
              <w:rPr>
                <w:b/>
                <w:bCs/>
              </w:rPr>
            </w:pPr>
            <w:r>
              <w:t>Правните инструменти, съставляващи (част от) допълнителния капитал от първи ред.</w:t>
            </w:r>
          </w:p>
        </w:tc>
      </w:tr>
      <w:tr w:rsidR="00FE5D64"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FE5D64" w:rsidRDefault="00E40776">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FE5D64" w:rsidRDefault="00E40776">
            <w:pPr>
              <w:pStyle w:val="P68B1DB1-TableParagraph14"/>
              <w:spacing w:before="108"/>
              <w:ind w:left="85"/>
              <w:jc w:val="both"/>
              <w:rPr>
                <w:bCs/>
              </w:rPr>
            </w:pPr>
            <w:r>
              <w:t>Капитал от втори ред</w:t>
            </w:r>
          </w:p>
          <w:p w14:paraId="7FE1B5DA" w14:textId="77777777" w:rsidR="00FE5D64" w:rsidRDefault="00E40776">
            <w:pPr>
              <w:pStyle w:val="P68B1DB1-TableParagraph17"/>
              <w:spacing w:before="108"/>
              <w:ind w:left="85"/>
              <w:jc w:val="both"/>
            </w:pPr>
            <w:r>
              <w:t>Член 71 от Регламент (ЕС) № 575/2013.</w:t>
            </w:r>
          </w:p>
          <w:p w14:paraId="7FE1B5DB" w14:textId="77777777" w:rsidR="00FE5D64" w:rsidRDefault="00E40776">
            <w:pPr>
              <w:pStyle w:val="P68B1DB1-TableParagraph17"/>
              <w:spacing w:before="108"/>
              <w:ind w:left="85"/>
              <w:jc w:val="both"/>
              <w:rPr>
                <w:b/>
                <w:bCs/>
              </w:rPr>
            </w:pPr>
            <w:r>
              <w:t>Същото определение като COREP (OF): [...] C 01.00; 750; 010 [...]</w:t>
            </w:r>
          </w:p>
        </w:tc>
      </w:tr>
      <w:tr w:rsidR="00FE5D64"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FE5D64" w:rsidRDefault="00E40776">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FE5D64" w:rsidRDefault="00E40776">
            <w:pPr>
              <w:pStyle w:val="P68B1DB1-TableParagraph14"/>
              <w:spacing w:before="108"/>
              <w:ind w:left="85"/>
              <w:jc w:val="both"/>
              <w:rPr>
                <w:bCs/>
              </w:rPr>
            </w:pPr>
            <w:r>
              <w:t>От които: (част от) непривилегированите задължения, признати за собствени средства</w:t>
            </w:r>
          </w:p>
          <w:p w14:paraId="7FE1B5DF" w14:textId="77777777" w:rsidR="00FE5D64" w:rsidRDefault="00E40776">
            <w:pPr>
              <w:pStyle w:val="P68B1DB1-TableParagraph17"/>
              <w:spacing w:before="108"/>
              <w:ind w:left="85"/>
              <w:jc w:val="both"/>
              <w:rPr>
                <w:b/>
                <w:bCs/>
              </w:rPr>
            </w:pPr>
            <w:r>
              <w:t>Тази разбивка посочва правните инструменти, съставляващи (част от) капитала от втори ред.</w:t>
            </w:r>
          </w:p>
        </w:tc>
      </w:tr>
      <w:tr w:rsidR="00FE5D64"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FE5D64" w:rsidRDefault="00E40776">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FE5D64" w:rsidRDefault="00E40776">
            <w:pPr>
              <w:pStyle w:val="P68B1DB1-TableParagraph14"/>
              <w:spacing w:before="108"/>
              <w:ind w:left="85"/>
              <w:jc w:val="both"/>
              <w:rPr>
                <w:bCs/>
              </w:rPr>
            </w:pPr>
            <w:r>
              <w:t>Общо задължения и собствени средства, в т.ч. задължения по деривати</w:t>
            </w:r>
          </w:p>
          <w:p w14:paraId="7FE1B5E3" w14:textId="77777777" w:rsidR="00FE5D64" w:rsidRDefault="00E40776">
            <w:pPr>
              <w:pStyle w:val="P68B1DB1-TableParagraph17"/>
              <w:spacing w:before="108"/>
              <w:ind w:left="85"/>
              <w:jc w:val="both"/>
              <w:rPr>
                <w:b/>
                <w:bCs/>
              </w:rPr>
            </w:pPr>
            <w:r>
              <w:t>Сборът на всички задължения, докладвани в настоящия образец, и размерът на изискуемите собствени средства. За целта се сумират всички стойности от по-горните редове. За дериватите стойността, която трябва да се използва, е ред 0334 „Сбор на нетните позиции в задължението, като се вземат предвид правилата за пруденциално нетиране“.</w:t>
            </w:r>
          </w:p>
        </w:tc>
      </w:tr>
      <w:tr w:rsidR="00FE5D64"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FE5D64" w:rsidRDefault="00E40776">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FE5D64" w:rsidRDefault="00E40776">
            <w:pPr>
              <w:pStyle w:val="P68B1DB1-TableParagraph14"/>
              <w:jc w:val="both"/>
              <w:rPr>
                <w:bCs/>
              </w:rPr>
            </w:pPr>
            <w:r>
              <w:t>Общо собствен капитал</w:t>
            </w:r>
          </w:p>
          <w:p w14:paraId="7FE1B604" w14:textId="77777777" w:rsidR="00FE5D64" w:rsidRDefault="00E40776">
            <w:pPr>
              <w:pStyle w:val="P68B1DB1-Normal21"/>
              <w:spacing w:line="276" w:lineRule="auto"/>
              <w:jc w:val="both"/>
            </w:pPr>
            <w:r>
              <w:t>(FINREP F01.03—300—010) за балансовата стойност.</w:t>
            </w:r>
          </w:p>
          <w:p w14:paraId="7FE1B605" w14:textId="44D71F77" w:rsidR="00FE5D64" w:rsidRDefault="00E40776">
            <w:pPr>
              <w:pStyle w:val="P68B1DB1-Normal21"/>
              <w:spacing w:line="276" w:lineRule="auto"/>
              <w:jc w:val="both"/>
            </w:pPr>
            <w:r>
              <w:t>Тази обща сума е равна на общия размер на собствения капитал в счетоводния баланс.</w:t>
            </w:r>
          </w:p>
          <w:p w14:paraId="7FE1B606" w14:textId="77777777" w:rsidR="00FE5D64" w:rsidRDefault="00FE5D64">
            <w:pPr>
              <w:pStyle w:val="TableParagraph"/>
              <w:jc w:val="both"/>
              <w:rPr>
                <w:rFonts w:ascii="Times New Roman" w:hAnsi="Times New Roman" w:cs="Times New Roman"/>
                <w:b/>
                <w:bCs/>
                <w:color w:val="000000" w:themeColor="text1"/>
                <w:sz w:val="20"/>
                <w:szCs w:val="20"/>
              </w:rPr>
            </w:pPr>
          </w:p>
        </w:tc>
      </w:tr>
    </w:tbl>
    <w:p w14:paraId="7FE1B60E" w14:textId="77777777" w:rsidR="00FE5D64" w:rsidRDefault="00FE5D64">
      <w:pPr>
        <w:rPr>
          <w:rFonts w:ascii="Times New Roman" w:hAnsi="Times New Roman" w:cs="Times New Roman"/>
        </w:rPr>
      </w:pPr>
    </w:p>
    <w:p w14:paraId="7FE1B60F" w14:textId="1DD0504B" w:rsidR="00FE5D64" w:rsidRDefault="00E40776">
      <w:pPr>
        <w:pStyle w:val="P68B1DB1-Instructionsberschrift25"/>
        <w:numPr>
          <w:ilvl w:val="1"/>
          <w:numId w:val="49"/>
        </w:numPr>
        <w:ind w:left="357" w:hanging="357"/>
      </w:pPr>
      <w:bookmarkStart w:id="58" w:name="_Toc492542323"/>
      <w:bookmarkStart w:id="59" w:name="_Toc81454181"/>
      <w:bookmarkStart w:id="60" w:name="_Toc208244454"/>
      <w:r>
        <w:t>Z 03.01 — Капиталови изисквания — Кредитни институции (LIAB 2)</w:t>
      </w:r>
      <w:bookmarkEnd w:id="58"/>
      <w:bookmarkEnd w:id="59"/>
      <w:bookmarkEnd w:id="60"/>
    </w:p>
    <w:p w14:paraId="7FE1B610" w14:textId="77777777" w:rsidR="00FE5D64" w:rsidRDefault="00E40776">
      <w:pPr>
        <w:pStyle w:val="Instructionsberschrift3"/>
      </w:pPr>
      <w:r>
        <w:t>Общи бележки</w:t>
      </w:r>
    </w:p>
    <w:p w14:paraId="7FE1B611" w14:textId="77777777" w:rsidR="00FE5D64" w:rsidRDefault="00E40776">
      <w:pPr>
        <w:pStyle w:val="P68B1DB1-InstructionsText26"/>
        <w:numPr>
          <w:ilvl w:val="0"/>
          <w:numId w:val="232"/>
        </w:numPr>
        <w:spacing w:before="0"/>
      </w:pPr>
      <w:r>
        <w:t>Този образец събира информация във връзка с капиталовите изисквания за даден субект или група.</w:t>
      </w:r>
    </w:p>
    <w:p w14:paraId="7FE1B612" w14:textId="77777777" w:rsidR="00FE5D64" w:rsidRDefault="00E40776">
      <w:pPr>
        <w:pStyle w:val="P68B1DB1-InstructionsText26"/>
        <w:numPr>
          <w:ilvl w:val="0"/>
          <w:numId w:val="232"/>
        </w:numPr>
        <w:spacing w:before="0"/>
      </w:pPr>
      <w:r>
        <w:lastRenderedPageBreak/>
        <w:t>Цялата отчетена информация трябва да отразява капиталовите изисквания, приложими към референтната дата на отчитане.</w:t>
      </w:r>
    </w:p>
    <w:p w14:paraId="7FE1B613" w14:textId="1B7809D4" w:rsidR="00FE5D64" w:rsidRDefault="00E40776">
      <w:pPr>
        <w:pStyle w:val="P68B1DB1-InstructionsText26"/>
        <w:numPr>
          <w:ilvl w:val="0"/>
          <w:numId w:val="232"/>
        </w:numPr>
        <w:spacing w:before="0"/>
      </w:pPr>
      <w:r>
        <w:t>По изключение информацията за отношението на капиталовото изискване по ПНПО за 0300 г., отчетена в настоящия образец, се основава на последното налично официално решение по ПНПО, съобщено от компетентния орган до датата на подаване на този доклад.</w:t>
      </w:r>
    </w:p>
    <w:p w14:paraId="7FE1B614" w14:textId="77777777" w:rsidR="00FE5D64" w:rsidRDefault="00E40776">
      <w:pPr>
        <w:pStyle w:val="P68B1DB1-InstructionsText26"/>
        <w:numPr>
          <w:ilvl w:val="0"/>
          <w:numId w:val="232"/>
        </w:numPr>
        <w:spacing w:before="0"/>
      </w:pPr>
      <w:r>
        <w:t>За докладване на консолидирана или индивидуална основа, ако тези данни вече са били докладвани от субекта във FINREP или COREP за същата референтна дата и обхват на докладване (вж. позоваванията на COREP/FINREP в указанията), докладващият субект не е длъжен да докладва тези данни втори път. Данните трябва да се докладват, например когато отчитащото се дружество е било освободено от финансови или пруденциални задължения за докладване, като в този случай единственият източник на данни за органите за преструкт</w:t>
      </w:r>
      <w:r>
        <w:t>уриране за тези данни е настоящият доклад.</w:t>
      </w:r>
    </w:p>
    <w:p w14:paraId="7FE1B615" w14:textId="77777777" w:rsidR="00FE5D64" w:rsidRDefault="00FE5D64">
      <w:pPr>
        <w:pStyle w:val="InstructionsText2"/>
        <w:numPr>
          <w:ilvl w:val="0"/>
          <w:numId w:val="0"/>
        </w:numPr>
        <w:spacing w:before="0"/>
        <w:ind w:left="1440"/>
        <w:rPr>
          <w:rFonts w:ascii="Times New Roman" w:hAnsi="Times New Roman" w:cs="Times New Roman"/>
          <w:sz w:val="20"/>
          <w:szCs w:val="20"/>
        </w:rPr>
      </w:pPr>
    </w:p>
    <w:p w14:paraId="7FE1B61B" w14:textId="77777777" w:rsidR="00FE5D64" w:rsidRDefault="00E40776">
      <w:pPr>
        <w:pStyle w:val="Instructionsberschrift3"/>
      </w:pPr>
      <w:r>
        <w:t>Указания относно определени позиции</w:t>
      </w:r>
    </w:p>
    <w:p w14:paraId="7FE1B61C" w14:textId="77777777" w:rsidR="00FE5D64" w:rsidRDefault="00FE5D64">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E5D64"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FE5D64" w:rsidRDefault="00E40776">
            <w:pPr>
              <w:pStyle w:val="P68B1DB1-TableParagraph13"/>
              <w:spacing w:before="66"/>
              <w:rPr>
                <w:rFonts w:eastAsia="Cambria"/>
              </w:rPr>
            </w:pPr>
            <w:r>
              <w:t>Редове</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FE5D64" w:rsidRDefault="00E40776">
            <w:pPr>
              <w:pStyle w:val="P68B1DB1-TableParagraph13"/>
              <w:spacing w:before="66"/>
              <w:ind w:right="1"/>
              <w:jc w:val="center"/>
              <w:rPr>
                <w:rFonts w:eastAsia="Cambria"/>
              </w:rPr>
            </w:pPr>
            <w:r>
              <w:t>Указания</w:t>
            </w:r>
          </w:p>
        </w:tc>
      </w:tr>
      <w:tr w:rsidR="00FE5D64"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FE5D64" w:rsidRDefault="00E40776">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FE5D64" w:rsidRDefault="00E40776">
            <w:pPr>
              <w:pStyle w:val="P68B1DB1-TableParagraph14"/>
              <w:spacing w:before="108"/>
              <w:rPr>
                <w:bCs/>
              </w:rPr>
            </w:pPr>
            <w:r>
              <w:t>Обща рискова експозиция</w:t>
            </w:r>
          </w:p>
          <w:p w14:paraId="7FE1B622" w14:textId="77777777" w:rsidR="00FE5D64" w:rsidRDefault="00E40776">
            <w:pPr>
              <w:pStyle w:val="P68B1DB1-TableParagraph17"/>
              <w:spacing w:before="108"/>
            </w:pPr>
            <w:r>
              <w:t>Сумата, отнасяща се към член 45, параграф 2, буква а) от Директива 2014/59/ЕС, изчислена в съответствие с член 92, параграф 3 от Регламент (ЕС) № 575/2013.</w:t>
            </w:r>
          </w:p>
        </w:tc>
      </w:tr>
      <w:tr w:rsidR="00FE5D64"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FE5D64" w:rsidRDefault="00E40776">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FE5D64" w:rsidRDefault="00E40776">
            <w:pPr>
              <w:pStyle w:val="P68B1DB1-TableParagraph14"/>
              <w:spacing w:before="108"/>
              <w:jc w:val="both"/>
              <w:rPr>
                <w:bCs/>
              </w:rPr>
            </w:pPr>
            <w:r>
              <w:t>Мярка за общата експозиция</w:t>
            </w:r>
          </w:p>
          <w:p w14:paraId="7FE1B626" w14:textId="77777777" w:rsidR="00FE5D64" w:rsidRDefault="00E40776">
            <w:pPr>
              <w:pStyle w:val="P68B1DB1-TableParagraph17"/>
              <w:spacing w:before="108"/>
              <w:jc w:val="both"/>
              <w:rPr>
                <w:b/>
                <w:bCs/>
              </w:rPr>
            </w:pPr>
            <w:r>
              <w:t>Сумата, отнасяща се към член 45, параграф 2, буква б) от Директива 2014/59/ЕС, изчислена в съответствие с член 429, параграф 4 и член 429а от Регламент (ЕС) № 575/2013.</w:t>
            </w:r>
          </w:p>
        </w:tc>
      </w:tr>
      <w:tr w:rsidR="00FE5D64"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FE5D64" w:rsidRDefault="00E40776">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FE5D64" w:rsidRDefault="00E40776">
            <w:pPr>
              <w:pStyle w:val="P68B1DB1-TableParagraph14"/>
              <w:spacing w:before="108"/>
              <w:jc w:val="both"/>
              <w:rPr>
                <w:bCs/>
              </w:rPr>
            </w:pPr>
            <w:r>
              <w:t>Начален капитал и изисквания за отношението на ливъридж</w:t>
            </w:r>
          </w:p>
        </w:tc>
      </w:tr>
      <w:tr w:rsidR="00FE5D64"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FE5D64" w:rsidRDefault="00E40776">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FE5D64" w:rsidRDefault="00E40776">
            <w:pPr>
              <w:pStyle w:val="P68B1DB1-TableParagraph14"/>
              <w:spacing w:before="108"/>
              <w:jc w:val="both"/>
              <w:rPr>
                <w:bCs/>
              </w:rPr>
            </w:pPr>
            <w:r>
              <w:t>Първоначален капитал</w:t>
            </w:r>
          </w:p>
          <w:p w14:paraId="7FE1B62D" w14:textId="77777777" w:rsidR="00FE5D64" w:rsidRDefault="00E40776">
            <w:pPr>
              <w:pStyle w:val="P68B1DB1-TableParagraph17"/>
              <w:spacing w:before="108"/>
              <w:jc w:val="both"/>
            </w:pPr>
            <w:r>
              <w:t>Сумата, посочена в член 12 от Директива 2013/36/ЕС, член 93 от Регламент (ЕС) № 575/2013.</w:t>
            </w:r>
          </w:p>
          <w:p w14:paraId="7FE1B62E" w14:textId="77777777" w:rsidR="00FE5D64" w:rsidRDefault="00E40776">
            <w:pPr>
              <w:pStyle w:val="P68B1DB1-TableParagraph17"/>
              <w:spacing w:before="108"/>
              <w:jc w:val="both"/>
              <w:rPr>
                <w:b/>
                <w:bCs/>
              </w:rPr>
            </w:pPr>
            <w:r>
              <w:t>Размерът на начален капитал, изискван като предварително условие за започване на дейност от дадена институция.</w:t>
            </w:r>
          </w:p>
        </w:tc>
      </w:tr>
      <w:tr w:rsidR="00FE5D64"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FE5D64" w:rsidRDefault="00E40776">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FE5D64" w:rsidRDefault="00E40776">
            <w:pPr>
              <w:pStyle w:val="P68B1DB1-TableParagraph14"/>
              <w:spacing w:before="108"/>
              <w:jc w:val="both"/>
              <w:rPr>
                <w:bCs/>
              </w:rPr>
            </w:pPr>
            <w:r>
              <w:t>Изискване за отношението на ливъридж</w:t>
            </w:r>
          </w:p>
          <w:p w14:paraId="7FE1B632" w14:textId="77777777" w:rsidR="00FE5D64" w:rsidRDefault="00E40776">
            <w:pPr>
              <w:pStyle w:val="P68B1DB1-TableParagraph13"/>
              <w:spacing w:before="108"/>
              <w:jc w:val="both"/>
            </w:pPr>
            <w:r>
              <w:t>Изискването за отношението на ливъридж, изключително изискването, специфицирано в член 92, параграф 1а) от Регламент (ЕС) № 575/2013, приложимо за субекта или групата, изразено като процент от мярката за общата експозиция. Ако няма официално изискване, субектите оставят това поле празно.</w:t>
            </w:r>
          </w:p>
        </w:tc>
      </w:tr>
      <w:tr w:rsidR="00FE5D64"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FE5D64" w:rsidRDefault="00E40776">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FE5D64" w:rsidRDefault="00E40776">
            <w:pPr>
              <w:pStyle w:val="P68B1DB1-TableParagraph14"/>
              <w:spacing w:before="108"/>
              <w:jc w:val="both"/>
              <w:rPr>
                <w:bCs/>
              </w:rPr>
            </w:pPr>
            <w:r>
              <w:t xml:space="preserve">13 Отношение на общото капиталово изискване въз основа на процеса на надзорен преглед и оценка (ОКИПНПО) </w:t>
            </w:r>
          </w:p>
          <w:p w14:paraId="7FE1B636" w14:textId="77777777" w:rsidR="00FE5D64" w:rsidRDefault="00E40776">
            <w:pPr>
              <w:pStyle w:val="P68B1DB1-TableParagraph13"/>
              <w:spacing w:before="108"/>
              <w:jc w:val="both"/>
            </w:pPr>
            <w:r>
              <w:t>COREP (OF): [...] C 03.00; 130; 010 [...]</w:t>
            </w:r>
          </w:p>
          <w:p w14:paraId="7FE1B637" w14:textId="77777777" w:rsidR="00FE5D64" w:rsidRDefault="00E40776">
            <w:pPr>
              <w:pStyle w:val="P68B1DB1-InstructionsText22"/>
              <w:ind w:firstLine="0"/>
            </w:pPr>
            <w:r>
              <w:t>Сборът от i) и ii), както следва:</w:t>
            </w:r>
          </w:p>
          <w:p w14:paraId="7FE1B638" w14:textId="77777777" w:rsidR="00FE5D64" w:rsidRDefault="00E40776">
            <w:pPr>
              <w:pStyle w:val="P68B1DB1-InstructionsText22"/>
              <w:numPr>
                <w:ilvl w:val="3"/>
                <w:numId w:val="49"/>
              </w:numPr>
            </w:pPr>
            <w:r>
              <w:t xml:space="preserve">съотношението на обща капиталова адекватност (8 %), посочено в член 92, параграф 1, буква в) от Регламент (ЕС) № 575/2013; </w:t>
            </w:r>
          </w:p>
          <w:p w14:paraId="7FE1B639" w14:textId="77777777" w:rsidR="00FE5D64" w:rsidRDefault="00E40776">
            <w:pPr>
              <w:pStyle w:val="P68B1DB1-InstructionsText22"/>
              <w:numPr>
                <w:ilvl w:val="3"/>
                <w:numId w:val="49"/>
              </w:numPr>
            </w:pPr>
            <w:r>
              <w:lastRenderedPageBreak/>
              <w:t xml:space="preserve">отношението на допълнителното капиталово изискване (изисквания по стълб 2 — P2R), определено според критериите, посочени в </w:t>
            </w:r>
            <w:r>
              <w:rPr>
                <w:i/>
              </w:rPr>
              <w:t xml:space="preserve">Насоките на ЕБО относно общите процедури и методики за процеса на надзорен преглед и оценка, както и за тестовете за устойчивост за надзорни </w:t>
            </w:r>
            <w:r>
              <w:t>цели (EBA SREP GL).</w:t>
            </w:r>
          </w:p>
          <w:p w14:paraId="7FE1B63A" w14:textId="77777777" w:rsidR="00FE5D64" w:rsidRDefault="00E40776">
            <w:pPr>
              <w:pStyle w:val="P68B1DB1-InstructionsText22"/>
              <w:ind w:firstLine="0"/>
            </w:pPr>
            <w:r>
              <w:t>Тази позиция отразява най-късното към датата на подаване на информацията отношение на общото капиталово изискване по ПНПО, както е съобщено на институцията от компетентния орган, т.е. за подаване с референтна дата 31 декември на дадена година се отчита P2R, приложим през следващата година. ОКИПНПО е определено в раздел 1.2. от EBA SREP GL.</w:t>
            </w:r>
          </w:p>
          <w:p w14:paraId="7FE1B63B" w14:textId="77777777" w:rsidR="00FE5D64" w:rsidRDefault="00E40776">
            <w:pPr>
              <w:pStyle w:val="P68B1DB1-InstructionsText22"/>
              <w:ind w:firstLine="0"/>
            </w:pPr>
            <w:r>
              <w:t>Когато докладващият субект е субект за преструктуриране, за който не се прилага допълнително капиталово изискване, както е посочено в член 104а от Директива 2013/36/ЕС, на консолидираното равнище на групата за преструктуриране, докладваната стойност за ii) по-горе се очаква да бъде резултат от оценката, посочена в член 1 от делегиран регламент (ЕС) 2021/1118 на Комисията, но извършена предварително от докладващия субект.</w:t>
            </w:r>
          </w:p>
          <w:p w14:paraId="7FE1B63C" w14:textId="77777777" w:rsidR="00FE5D64" w:rsidRDefault="00E40776">
            <w:pPr>
              <w:pStyle w:val="P68B1DB1-TableParagraph13"/>
              <w:spacing w:before="108"/>
              <w:jc w:val="both"/>
              <w:rPr>
                <w:b/>
                <w:bCs/>
              </w:rPr>
            </w:pPr>
            <w:r>
              <w:t>Ако компетентният орган не е посочил допълнителни капиталови изисквания и горния параграф не се прилага, се отчита само точка i).</w:t>
            </w:r>
          </w:p>
        </w:tc>
      </w:tr>
      <w:tr w:rsidR="00FE5D64"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FE5D64" w:rsidRDefault="00E40776">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FE5D64" w:rsidRDefault="00E40776">
            <w:pPr>
              <w:pStyle w:val="P68B1DB1-TableParagraph14"/>
              <w:spacing w:before="108"/>
              <w:jc w:val="both"/>
              <w:rPr>
                <w:bCs/>
              </w:rPr>
            </w:pPr>
            <w:r>
              <w:t>Комбинирано изискване за буфер</w:t>
            </w:r>
          </w:p>
          <w:p w14:paraId="7FE1B640" w14:textId="7A5205D6" w:rsidR="00FE5D64" w:rsidRDefault="00E40776">
            <w:pPr>
              <w:pStyle w:val="P68B1DB1-TableParagraph13"/>
              <w:spacing w:before="108"/>
              <w:jc w:val="both"/>
            </w:pPr>
            <w:r>
              <w:t>COREP (OF): [...] C 04.00; 740; 010]).</w:t>
            </w:r>
          </w:p>
          <w:p w14:paraId="7FE1B641" w14:textId="77777777" w:rsidR="00FE5D64" w:rsidRDefault="00E40776">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Изискването, посочено в</w:t>
            </w:r>
            <w:r>
              <w:rPr>
                <w:rStyle w:val="InstructionsTabelleberschrift"/>
                <w:rFonts w:ascii="Times New Roman" w:hAnsi="Times New Roman"/>
                <w:b w:val="0"/>
                <w:color w:val="000000" w:themeColor="text1"/>
                <w:szCs w:val="20"/>
                <w:u w:val="none"/>
              </w:rPr>
              <w:t xml:space="preserve"> член 128, първа алинея, буква</w:t>
            </w:r>
            <w:r>
              <w:rPr>
                <w:rFonts w:ascii="Times New Roman" w:eastAsia="Cambria" w:hAnsi="Times New Roman" w:cs="Times New Roman"/>
                <w:color w:val="000000" w:themeColor="text1"/>
                <w:sz w:val="20"/>
                <w:szCs w:val="20"/>
              </w:rPr>
              <w:t>п) (6) от Директива 2013/36/ЕС.</w:t>
            </w:r>
          </w:p>
          <w:p w14:paraId="7FE1B642" w14:textId="37B6D097" w:rsidR="00FE5D64" w:rsidRDefault="00E40776">
            <w:pPr>
              <w:pStyle w:val="P68B1DB1-TableParagraph13"/>
              <w:spacing w:before="108"/>
              <w:jc w:val="both"/>
            </w:pPr>
            <w:r>
              <w:t xml:space="preserve">В случай че периметърът на преструктуриране се различава от пруденциалния, оценката на елементите, съставляващи комбинираното изискване за буфер на субекта за преструктуриране на консолидираното равнище на групата за преструктуриране, следва член 3, параграф 1 от делегиран регламент (ЕС) 2021/1118 на Комисията, но следва да се извърши предварително от докладващия субект. </w:t>
            </w:r>
          </w:p>
        </w:tc>
      </w:tr>
      <w:tr w:rsidR="00FE5D64"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FE5D64" w:rsidRDefault="00E40776">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FE5D64" w:rsidRDefault="00E40776">
            <w:pPr>
              <w:pStyle w:val="P68B1DB1-TableParagraph14"/>
              <w:spacing w:before="108"/>
              <w:jc w:val="both"/>
              <w:rPr>
                <w:bCs/>
              </w:rPr>
            </w:pPr>
            <w:r>
              <w:t>Предпазен капиталов буфер</w:t>
            </w:r>
          </w:p>
          <w:p w14:paraId="7FE1B646" w14:textId="7B6CEF6B" w:rsidR="00FE5D64" w:rsidRDefault="00E40776">
            <w:pPr>
              <w:pStyle w:val="P68B1DB1-TableParagraph13"/>
              <w:spacing w:before="108"/>
              <w:jc w:val="both"/>
            </w:pPr>
            <w:r>
              <w:t>COREP (OF): [...] C 04.00; 750; 010]).</w:t>
            </w:r>
          </w:p>
          <w:p w14:paraId="7FE1B647" w14:textId="77777777" w:rsidR="00FE5D64" w:rsidRDefault="00E40776">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Изискването, посочено в</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член 128, точка 1 и член 129 от Директива 2013/36/ЕС.</w:t>
            </w:r>
          </w:p>
          <w:p w14:paraId="7FE1B648" w14:textId="77777777" w:rsidR="00FE5D64" w:rsidRDefault="00E40776">
            <w:pPr>
              <w:pStyle w:val="P68B1DB1-TableParagraph13"/>
              <w:spacing w:before="108"/>
              <w:jc w:val="both"/>
              <w:rPr>
                <w:rFonts w:eastAsia="Cambria"/>
              </w:rPr>
            </w:pPr>
            <w:r>
              <w:t>В случай че периметърът на преструктуриране се различава от пруденциалния, оценката на това изискване за буфер за субекта за преструктуриране на консолидираното равнище на групата за преструктуриране следва член 3, параграф 2 от делегиран регламент (ЕС) 2021/1118 на Комисията, но следва да се извърши предварително от докладващия субект.</w:t>
            </w:r>
          </w:p>
        </w:tc>
      </w:tr>
      <w:tr w:rsidR="00FE5D64"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FE5D64" w:rsidRDefault="00E40776">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FE5D64" w:rsidRDefault="00E40776">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Предпазен буфер за установен на равнище държава членка макропруденциален или системен риск</w:t>
            </w:r>
          </w:p>
          <w:p w14:paraId="7FE1B64C" w14:textId="77777777" w:rsidR="00FE5D64" w:rsidRDefault="00E40776">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 C 04.00; 760; 010]).</w:t>
            </w:r>
          </w:p>
          <w:p w14:paraId="7FE1B64D" w14:textId="1D29CF6A" w:rsidR="00FE5D64" w:rsidRDefault="00E40776">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Изискване, посочено в</w:t>
            </w:r>
            <w:r>
              <w:rPr>
                <w:rStyle w:val="InstructionsTabelleberschrift"/>
                <w:rFonts w:ascii="Times New Roman" w:hAnsi="Times New Roman"/>
                <w:b w:val="0"/>
                <w:color w:val="000000" w:themeColor="text1"/>
                <w:szCs w:val="20"/>
                <w:u w:val="none"/>
              </w:rPr>
              <w:t xml:space="preserve"> член 458, параграф 2, буква г), подточка</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vi) от Регламент (ЕС) No</w:t>
            </w:r>
            <w:r>
              <w:rPr>
                <w:rStyle w:val="FootnoteReference"/>
                <w:rFonts w:cs="Times New Roman"/>
                <w:color w:val="000000" w:themeColor="text1"/>
              </w:rPr>
              <w:t xml:space="preserve"> 575/2013</w:t>
            </w:r>
          </w:p>
          <w:p w14:paraId="7FE1B64E" w14:textId="77777777" w:rsidR="00FE5D64" w:rsidRDefault="00E40776">
            <w:pPr>
              <w:pStyle w:val="P68B1DB1-TableParagraph13"/>
              <w:spacing w:before="108"/>
              <w:jc w:val="both"/>
              <w:rPr>
                <w:rFonts w:eastAsia="Cambria"/>
              </w:rPr>
            </w:pPr>
            <w:r>
              <w:t>В случай че периметърът на преструктурирането се различава от пруденциалния, докладваната сума съответства на буфера, приложим за експозициите на групата за преструктуриране.</w:t>
            </w:r>
          </w:p>
        </w:tc>
      </w:tr>
      <w:tr w:rsidR="00FE5D64"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FE5D64" w:rsidRDefault="00E40776">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FE5D64" w:rsidRDefault="00E40776">
            <w:pPr>
              <w:pStyle w:val="P68B1DB1-TableParagraph14"/>
              <w:spacing w:before="108"/>
              <w:jc w:val="both"/>
              <w:rPr>
                <w:bCs/>
              </w:rPr>
            </w:pPr>
            <w:r>
              <w:t xml:space="preserve">Специфично за институцията равнище на антицикличния капиталов буфер </w:t>
            </w:r>
          </w:p>
          <w:p w14:paraId="7FE1B652" w14:textId="77777777" w:rsidR="00FE5D64" w:rsidRDefault="00E40776">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(виж COREP (OF): [...] C 04.00; 770; 010]).</w:t>
            </w:r>
          </w:p>
          <w:p w14:paraId="7FE1B653" w14:textId="77777777" w:rsidR="00FE5D64" w:rsidRDefault="00E40776">
            <w:pPr>
              <w:pStyle w:val="P68B1DB1-TableParagraph17"/>
              <w:spacing w:before="108"/>
              <w:jc w:val="both"/>
            </w:pPr>
            <w:r>
              <w:t>Трябва да се изпълни изискването, на което се отнасят член 128, точка 2, член 130 и членове 135—140 от Директива 2013/36/ЕС.</w:t>
            </w:r>
          </w:p>
          <w:p w14:paraId="7FE1B654" w14:textId="77777777" w:rsidR="00FE5D64" w:rsidRDefault="00E40776">
            <w:pPr>
              <w:pStyle w:val="P68B1DB1-TableParagraph13"/>
              <w:spacing w:before="108"/>
              <w:jc w:val="both"/>
              <w:rPr>
                <w:rFonts w:eastAsia="Cambria"/>
              </w:rPr>
            </w:pPr>
            <w:r>
              <w:t>В случай че периметърът на преструктурирането се различава от пруденциалния, докладваната сума съответства на изискването за буфер, приложимо за експозициите на групата за преструктуриране.</w:t>
            </w:r>
          </w:p>
        </w:tc>
      </w:tr>
      <w:tr w:rsidR="00FE5D64"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FE5D64" w:rsidRDefault="00E40776">
            <w:pPr>
              <w:pStyle w:val="P68B1DB1-TableParagraph13"/>
              <w:spacing w:before="106"/>
              <w:ind w:left="-1"/>
            </w:pPr>
            <w:r>
              <w:lastRenderedPageBreak/>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FE5D64" w:rsidRDefault="00E40776">
            <w:pPr>
              <w:pStyle w:val="P68B1DB1-TableParagraph14"/>
              <w:spacing w:before="108"/>
              <w:jc w:val="both"/>
              <w:rPr>
                <w:bCs/>
              </w:rPr>
            </w:pPr>
            <w:r>
              <w:t>Буфер за системен риск</w:t>
            </w:r>
          </w:p>
          <w:p w14:paraId="7FE1B658" w14:textId="77777777" w:rsidR="00FE5D64" w:rsidRDefault="00E40776">
            <w:pPr>
              <w:pStyle w:val="P68B1DB1-TableParagraph13"/>
              <w:spacing w:before="108"/>
              <w:jc w:val="both"/>
            </w:pPr>
            <w:r>
              <w:t>(виж COREP (OF): ОБ. 04.00; 780; 010“)</w:t>
            </w:r>
          </w:p>
          <w:p w14:paraId="7FE1B659" w14:textId="77777777" w:rsidR="00FE5D64" w:rsidRDefault="00E40776">
            <w:pPr>
              <w:pStyle w:val="P68B1DB1-TableParagraph17"/>
              <w:spacing w:before="108"/>
              <w:jc w:val="both"/>
            </w:pPr>
            <w:r>
              <w:t>Трябва да се изпълни изискването, на което се отнасят член 128, точка 5, членове 133 и 134 от Директива 2013/36/ЕС.</w:t>
            </w:r>
          </w:p>
          <w:p w14:paraId="7FE1B65A" w14:textId="77777777" w:rsidR="00FE5D64" w:rsidRDefault="00E40776">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 случай че периметърът на преструктуриране се различава от пруденциалния, оценката на това изискване за буфер за субекта за преструктуриране на консолидираното равнище на групата за преструктуриране следва член 3, параграф 5 от делегиран регламент (ЕС) 2021/1118 на Комисията, но следва да се извърши предварително от докладващия субект</w:t>
            </w:r>
            <w:r>
              <w:t>.</w:t>
            </w:r>
          </w:p>
        </w:tc>
      </w:tr>
      <w:tr w:rsidR="00FE5D64"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FE5D64" w:rsidRDefault="00E40776">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FE5D64" w:rsidRDefault="00E40776">
            <w:pPr>
              <w:pStyle w:val="P68B1DB1-TableParagraph14"/>
              <w:spacing w:before="108"/>
              <w:jc w:val="both"/>
              <w:rPr>
                <w:bCs/>
              </w:rPr>
            </w:pPr>
            <w:r>
              <w:t>Буфер за глобалните институции със системно значение</w:t>
            </w:r>
          </w:p>
          <w:p w14:paraId="7FE1B65E" w14:textId="77777777" w:rsidR="00FE5D64" w:rsidRDefault="00E40776">
            <w:pPr>
              <w:pStyle w:val="P68B1DB1-TableParagraph17"/>
              <w:spacing w:before="108"/>
              <w:jc w:val="both"/>
            </w:pPr>
            <w:r>
              <w:t>COREP (OF): [...] C 04.00; 800; 010 [...]</w:t>
            </w:r>
          </w:p>
          <w:p w14:paraId="7FE1B65F" w14:textId="77777777" w:rsidR="00FE5D64" w:rsidRDefault="00E40776">
            <w:pPr>
              <w:pStyle w:val="P68B1DB1-TableParagraph17"/>
              <w:spacing w:before="108"/>
              <w:jc w:val="both"/>
            </w:pPr>
            <w:r>
              <w:t>Изискването, посочено в член 128, точка 3 и член 131 от Директива 2013/36/ЕС.</w:t>
            </w:r>
          </w:p>
          <w:p w14:paraId="7FE1B660" w14:textId="77777777" w:rsidR="00FE5D64" w:rsidRDefault="00E40776">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В случай че периметърът на преструктуриране се различава от пруденциалния, оценката на това изискване за буфер за субекта за преструктуриране на консолидираното равнище на групата за преструктуриране следва член 3, параграф 3 от делегиран регламент (ЕС) 2021/1118 на Комисията, но следва да се извърши предварително от докладващия субект</w:t>
            </w:r>
            <w:r>
              <w:t>.</w:t>
            </w:r>
          </w:p>
        </w:tc>
      </w:tr>
      <w:tr w:rsidR="00FE5D64"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FE5D64" w:rsidRDefault="00E40776">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FE5D64" w:rsidRDefault="00E40776">
            <w:pPr>
              <w:pStyle w:val="P68B1DB1-TableParagraph13"/>
              <w:spacing w:before="108"/>
              <w:jc w:val="both"/>
            </w:pPr>
            <w:r>
              <w:rPr>
                <w:b/>
              </w:rPr>
              <w:t>Буфер за други системно значими институции</w:t>
            </w:r>
            <w:r>
              <w:t xml:space="preserve">член 128, точка (4) и член 131 от Директива 2013/36/ЕС </w:t>
            </w:r>
          </w:p>
          <w:p w14:paraId="7FE1B665" w14:textId="77777777" w:rsidR="00FE5D64" w:rsidRDefault="00E40776">
            <w:pPr>
              <w:pStyle w:val="P68B1DB1-TableParagraph13"/>
              <w:spacing w:before="108"/>
              <w:jc w:val="both"/>
            </w:pPr>
            <w:r>
              <w:t xml:space="preserve">COREP (OF): [...] C 04.00; 810; 010 [...] </w:t>
            </w:r>
          </w:p>
          <w:p w14:paraId="7FE1B666" w14:textId="77777777" w:rsidR="00FE5D64" w:rsidRDefault="00E40776">
            <w:pPr>
              <w:pStyle w:val="P68B1DB1-TableParagraph13"/>
              <w:spacing w:before="108"/>
              <w:jc w:val="both"/>
              <w:rPr>
                <w:b/>
                <w:bCs/>
              </w:rPr>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FE5D64"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FE5D64" w:rsidRDefault="00E40776">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FE5D64" w:rsidRDefault="00E40776">
            <w:pPr>
              <w:pStyle w:val="P68B1DB1-TableParagraph14"/>
              <w:spacing w:before="108"/>
              <w:jc w:val="both"/>
              <w:rPr>
                <w:bCs/>
              </w:rPr>
            </w:pPr>
            <w:r>
              <w:t xml:space="preserve">Отношение на съвкупното капиталово изискване (СКИ) </w:t>
            </w:r>
          </w:p>
          <w:p w14:paraId="7FE1B66A" w14:textId="77777777" w:rsidR="00FE5D64" w:rsidRDefault="00E40776">
            <w:pPr>
              <w:pStyle w:val="P68B1DB1-TableParagraph13"/>
              <w:spacing w:before="108"/>
              <w:jc w:val="both"/>
            </w:pPr>
            <w:r>
              <w:t xml:space="preserve">COREP (OF): [...] C 03.00; 160; 010 [...] </w:t>
            </w:r>
          </w:p>
          <w:p w14:paraId="7FE1B66B" w14:textId="77777777" w:rsidR="00FE5D64" w:rsidRDefault="00E40776">
            <w:pPr>
              <w:pStyle w:val="P68B1DB1-TableParagraph13"/>
              <w:spacing w:before="108"/>
              <w:jc w:val="both"/>
            </w:pPr>
            <w:r>
              <w:t xml:space="preserve">Сборът от i) и ii), както следва: </w:t>
            </w:r>
          </w:p>
          <w:p w14:paraId="7FE1B66C" w14:textId="77777777" w:rsidR="00FE5D64" w:rsidRDefault="00E40776">
            <w:pPr>
              <w:pStyle w:val="P68B1DB1-TableParagraph13"/>
              <w:numPr>
                <w:ilvl w:val="3"/>
                <w:numId w:val="211"/>
              </w:numPr>
              <w:spacing w:before="108"/>
              <w:ind w:left="931" w:hanging="567"/>
              <w:jc w:val="both"/>
            </w:pPr>
            <w:r>
              <w:t xml:space="preserve">отношението на ОКИПНПО, посочено в ред 0300; </w:t>
            </w:r>
          </w:p>
          <w:p w14:paraId="7FE1B66D" w14:textId="77777777" w:rsidR="00FE5D64" w:rsidRDefault="00E40776">
            <w:pPr>
              <w:pStyle w:val="P68B1DB1-TableParagraph13"/>
              <w:numPr>
                <w:ilvl w:val="3"/>
                <w:numId w:val="211"/>
              </w:numPr>
              <w:spacing w:before="108"/>
              <w:ind w:left="931" w:hanging="567"/>
              <w:jc w:val="both"/>
            </w:pPr>
            <w:r>
              <w:t xml:space="preserve">доколкото е правно приложимо — съотношението на комбинирано изискване за буфер, посочено в член 128, точка 6 от Директива 2013/36/ЕС. </w:t>
            </w:r>
          </w:p>
          <w:p w14:paraId="7FE1B66E" w14:textId="77777777" w:rsidR="00FE5D64" w:rsidRDefault="00E40776">
            <w:pPr>
              <w:pStyle w:val="P68B1DB1-TableParagraph13"/>
              <w:spacing w:before="108"/>
              <w:jc w:val="both"/>
            </w:pPr>
            <w:r>
              <w:t xml:space="preserve">Тази позиция отразява съотношението на съвкупното капиталово изискване (OCR), определено в раздел 1.2 от насоките на ЕБО за ПТПО. </w:t>
            </w:r>
          </w:p>
          <w:p w14:paraId="7FE1B66F" w14:textId="77777777" w:rsidR="00FE5D64" w:rsidRDefault="00E40776">
            <w:pPr>
              <w:pStyle w:val="P68B1DB1-TableParagraph13"/>
              <w:spacing w:before="108"/>
              <w:jc w:val="both"/>
              <w:rPr>
                <w:b/>
                <w:bCs/>
              </w:rPr>
            </w:pPr>
            <w:r>
              <w:t>Ако няма приложимо изискване за буфер, се докладва само компонент i).</w:t>
            </w:r>
          </w:p>
        </w:tc>
      </w:tr>
    </w:tbl>
    <w:p w14:paraId="7FE1B712" w14:textId="77777777" w:rsidR="00FE5D64" w:rsidRDefault="00FE5D64">
      <w:pPr>
        <w:rPr>
          <w:rFonts w:ascii="Times New Roman" w:hAnsi="Times New Roman" w:cs="Times New Roman"/>
        </w:rPr>
      </w:pPr>
    </w:p>
    <w:p w14:paraId="7FE1B713" w14:textId="77777777" w:rsidR="00FE5D64" w:rsidRDefault="00FE5D64">
      <w:pPr>
        <w:rPr>
          <w:rFonts w:ascii="Times New Roman" w:hAnsi="Times New Roman" w:cs="Times New Roman"/>
        </w:rPr>
      </w:pPr>
    </w:p>
    <w:p w14:paraId="7FE1B714" w14:textId="77777777" w:rsidR="00FE5D64" w:rsidRDefault="00E40776">
      <w:pPr>
        <w:pStyle w:val="P68B1DB1-Instructionsberschrift25"/>
        <w:numPr>
          <w:ilvl w:val="1"/>
          <w:numId w:val="49"/>
        </w:numPr>
        <w:ind w:left="357" w:hanging="357"/>
      </w:pPr>
      <w:bookmarkStart w:id="61" w:name="_Toc208244455"/>
      <w:r>
        <w:t>Z 03.02 — Капиталови изисквания — Инвестиционни посредници (LIAB 3)</w:t>
      </w:r>
      <w:bookmarkEnd w:id="61"/>
    </w:p>
    <w:p w14:paraId="7FE1B715" w14:textId="77777777" w:rsidR="00FE5D64" w:rsidRDefault="00E40776">
      <w:pPr>
        <w:pStyle w:val="Instructionsberschrift3"/>
      </w:pPr>
      <w:r>
        <w:t>Общи бележки</w:t>
      </w:r>
    </w:p>
    <w:p w14:paraId="7FE1B716" w14:textId="77777777" w:rsidR="00FE5D64" w:rsidRDefault="00E40776">
      <w:pPr>
        <w:pStyle w:val="Instructionsberschrift3"/>
        <w:numPr>
          <w:ilvl w:val="4"/>
          <w:numId w:val="260"/>
        </w:numPr>
      </w:pPr>
      <w:r>
        <w:t>Този образец събира информация във връзка с капиталовите изисквания за даден субект или група.</w:t>
      </w:r>
    </w:p>
    <w:p w14:paraId="7FE1B717" w14:textId="1213D388" w:rsidR="00FE5D64" w:rsidRDefault="00E40776">
      <w:pPr>
        <w:pStyle w:val="Instructionsberschrift3"/>
        <w:numPr>
          <w:ilvl w:val="4"/>
          <w:numId w:val="260"/>
        </w:numPr>
      </w:pPr>
      <w:r>
        <w:t>Цялата отчетена информация трябва да отразява капиталовите изисквания, приложими към референтната дата на отчитане.</w:t>
      </w:r>
    </w:p>
    <w:p w14:paraId="666AF7EE" w14:textId="2B6DCE12" w:rsidR="00FE5D64" w:rsidRDefault="00E40776">
      <w:pPr>
        <w:pStyle w:val="P68B1DB1-ListParagraph23"/>
        <w:numPr>
          <w:ilvl w:val="4"/>
          <w:numId w:val="260"/>
        </w:numPr>
      </w:pPr>
      <w:r>
        <w:t xml:space="preserve">За отчитане на консолидирана или индивидуална основа, ако тези данни вече са били отчетени от предприятието във ФОПП за същата референтна дата и същия обхват на отчитане (вж. препратките към IFREP в указанията), отчитащото се предприятие не е длъжно да отчита тези данни втори път. Данните трябва да се докладват, например когато </w:t>
      </w:r>
      <w:r>
        <w:lastRenderedPageBreak/>
        <w:t>отчитащото се дружество е било освободено от финансови или пруденциални задължения за докладване, като в този случай единственият източник на данни за органите за преструктуриране за тези данни е настоящият доклад.</w:t>
      </w:r>
    </w:p>
    <w:p w14:paraId="1DA6CBB2" w14:textId="77777777" w:rsidR="00FE5D64" w:rsidRDefault="00FE5D64">
      <w:pPr>
        <w:pStyle w:val="Instructionsberschrift3"/>
        <w:numPr>
          <w:ilvl w:val="4"/>
          <w:numId w:val="260"/>
        </w:numPr>
      </w:pPr>
    </w:p>
    <w:p w14:paraId="7FE1B718" w14:textId="4C8CE473" w:rsidR="00FE5D64" w:rsidRDefault="00FE5D64">
      <w:pPr>
        <w:pStyle w:val="InstructionsText2"/>
        <w:numPr>
          <w:ilvl w:val="0"/>
          <w:numId w:val="0"/>
        </w:numPr>
        <w:spacing w:before="0"/>
        <w:ind w:left="1440"/>
        <w:rPr>
          <w:rFonts w:ascii="Times New Roman" w:hAnsi="Times New Roman" w:cs="Times New Roman"/>
          <w:sz w:val="20"/>
          <w:szCs w:val="20"/>
        </w:rPr>
      </w:pPr>
    </w:p>
    <w:p w14:paraId="7FE1B719" w14:textId="77777777" w:rsidR="00FE5D64" w:rsidRDefault="00E40776">
      <w:pPr>
        <w:pStyle w:val="Instructionsberschrift3"/>
      </w:pPr>
      <w:r>
        <w:t>Указания относно определени позиции</w:t>
      </w:r>
    </w:p>
    <w:p w14:paraId="7FE1B71A" w14:textId="77777777" w:rsidR="00FE5D64" w:rsidRDefault="00FE5D64">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E5D64"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FE5D64" w:rsidRDefault="00E40776">
            <w:pPr>
              <w:pStyle w:val="P68B1DB1-TableParagraph13"/>
              <w:spacing w:before="66"/>
              <w:rPr>
                <w:rFonts w:eastAsia="Cambria"/>
              </w:rPr>
            </w:pPr>
            <w:r>
              <w:t>Редове</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FE5D64" w:rsidRDefault="00E40776">
            <w:pPr>
              <w:pStyle w:val="P68B1DB1-TableParagraph13"/>
              <w:spacing w:before="66"/>
              <w:ind w:right="1"/>
              <w:jc w:val="center"/>
              <w:rPr>
                <w:rFonts w:eastAsia="Cambria"/>
              </w:rPr>
            </w:pPr>
            <w:r>
              <w:t>Указания</w:t>
            </w:r>
          </w:p>
        </w:tc>
      </w:tr>
      <w:tr w:rsidR="00FE5D64"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FE5D64" w:rsidRDefault="00E40776">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FE5D64" w:rsidRDefault="00E40776">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Общо капиталово изискване </w:t>
            </w:r>
            <w:r>
              <w:rPr>
                <w:rStyle w:val="InstructionsTabelleberschrift"/>
                <w:rFonts w:ascii="Times New Roman" w:hAnsi="Times New Roman"/>
                <w:color w:val="000000" w:themeColor="text1"/>
                <w:szCs w:val="20"/>
              </w:rPr>
              <w:t>(IFREP I 02.01 r0130)</w:t>
            </w:r>
          </w:p>
          <w:p w14:paraId="29B1A135" w14:textId="77777777" w:rsidR="00FE5D64" w:rsidRDefault="00FE5D64">
            <w:pPr>
              <w:rPr>
                <w:rStyle w:val="InstructionsTabelleberschrift"/>
                <w:rFonts w:ascii="Times New Roman" w:hAnsi="Times New Roman"/>
                <w:color w:val="000000" w:themeColor="text1"/>
                <w:szCs w:val="20"/>
                <w:u w:val="none"/>
              </w:rPr>
            </w:pPr>
          </w:p>
          <w:p w14:paraId="4F8C79FA" w14:textId="210F9E6A" w:rsidR="00FE5D64" w:rsidRDefault="00E40776">
            <w:pPr>
              <w:pStyle w:val="P68B1DB1-TableParagraph17"/>
              <w:spacing w:before="108"/>
            </w:pPr>
            <w:r>
              <w:t>Общият размер на капиталовите изисквания за даден инвестиционен посредник се състои от сбора от неговите капиталови изисквания, приложими към референтната дата, допълнителното капиталово изискване, докладвано в ред 0120, и препоръката за допълнителен собствен капитал, докладвана в ред 0130.</w:t>
            </w:r>
          </w:p>
          <w:p w14:paraId="7FE1B721" w14:textId="77777777" w:rsidR="00FE5D64" w:rsidRDefault="00FE5D64">
            <w:pPr>
              <w:pStyle w:val="TableParagraph"/>
              <w:spacing w:before="108"/>
              <w:rPr>
                <w:rFonts w:ascii="Times New Roman" w:hAnsi="Times New Roman" w:cs="Times New Roman"/>
                <w:color w:val="000000" w:themeColor="text1"/>
                <w:sz w:val="20"/>
                <w:szCs w:val="20"/>
              </w:rPr>
            </w:pPr>
          </w:p>
        </w:tc>
      </w:tr>
      <w:tr w:rsidR="00FE5D64"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FE5D64" w:rsidRDefault="00E40776">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FE5D64" w:rsidRDefault="00E40776">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Капиталово изискване </w:t>
            </w:r>
            <w:r>
              <w:rPr>
                <w:rStyle w:val="InstructionsTabelleberschrift"/>
                <w:rFonts w:ascii="Times New Roman" w:hAnsi="Times New Roman"/>
                <w:color w:val="000000" w:themeColor="text1"/>
                <w:szCs w:val="20"/>
              </w:rPr>
              <w:t>(IFREP I 02.01 r0010)</w:t>
            </w:r>
          </w:p>
          <w:p w14:paraId="74086713" w14:textId="7F827C2E" w:rsidR="00FE5D64" w:rsidRDefault="00E40776">
            <w:pPr>
              <w:pStyle w:val="P68B1DB1-TableParagraph17"/>
              <w:spacing w:before="108"/>
            </w:pPr>
            <w:r>
              <w:t>Член 11, параграф 1 от Регламент (ЕС) 2019/2033.</w:t>
            </w:r>
          </w:p>
          <w:p w14:paraId="016729EC" w14:textId="77777777" w:rsidR="00FE5D64" w:rsidRDefault="00E40776">
            <w:pPr>
              <w:pStyle w:val="P68B1DB1-TableParagraph17"/>
              <w:spacing w:before="108"/>
            </w:pPr>
            <w:r>
              <w:t>Стойността се докладва, без да се прилага член 57, параграфи 3, 4 или 6 от Регламент (ЕС) 2019/2033.</w:t>
            </w:r>
          </w:p>
          <w:p w14:paraId="7FE1B727" w14:textId="77777777" w:rsidR="00FE5D64" w:rsidRDefault="00FE5D64">
            <w:pPr>
              <w:pStyle w:val="TableParagraph"/>
              <w:spacing w:before="108"/>
              <w:jc w:val="both"/>
              <w:rPr>
                <w:rFonts w:ascii="Times New Roman" w:eastAsia="Cambria" w:hAnsi="Times New Roman" w:cs="Times New Roman"/>
                <w:color w:val="000000" w:themeColor="text1"/>
                <w:sz w:val="20"/>
                <w:szCs w:val="20"/>
              </w:rPr>
            </w:pPr>
          </w:p>
        </w:tc>
      </w:tr>
      <w:tr w:rsidR="00FE5D64"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FE5D64" w:rsidRDefault="00E40776">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FE5D64" w:rsidRDefault="00E40776">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Допълнително капиталово изискване </w:t>
            </w:r>
            <w:r>
              <w:rPr>
                <w:rStyle w:val="InstructionsTabelleberschrift"/>
                <w:rFonts w:ascii="Times New Roman" w:hAnsi="Times New Roman"/>
                <w:color w:val="000000" w:themeColor="text1"/>
                <w:szCs w:val="20"/>
              </w:rPr>
              <w:t>(IFREP I 02.01 r0110)</w:t>
            </w:r>
          </w:p>
          <w:p w14:paraId="05BFD23E" w14:textId="06165C78" w:rsidR="00FE5D64" w:rsidRDefault="00E40776">
            <w:pPr>
              <w:pStyle w:val="P68B1DB1-TableParagraph17"/>
              <w:spacing w:before="108"/>
              <w:jc w:val="both"/>
            </w:pPr>
            <w:r>
              <w:t>Член 40 от Директива (ЕС) 2019/2034.</w:t>
            </w:r>
          </w:p>
          <w:p w14:paraId="2AF15530" w14:textId="77777777" w:rsidR="00FE5D64" w:rsidRDefault="00E40776">
            <w:pPr>
              <w:pStyle w:val="P68B1DB1-TableParagraph13"/>
              <w:spacing w:before="108"/>
              <w:jc w:val="both"/>
            </w:pPr>
            <w:r>
              <w:t xml:space="preserve">Допълнително капиталово изискване съгласно ПНПО </w:t>
            </w:r>
          </w:p>
          <w:p w14:paraId="7FE1B72E" w14:textId="77777777" w:rsidR="00FE5D64" w:rsidRDefault="00FE5D64">
            <w:pPr>
              <w:pStyle w:val="TableParagraph"/>
              <w:spacing w:before="108"/>
              <w:rPr>
                <w:rFonts w:ascii="Times New Roman" w:eastAsia="Cambria" w:hAnsi="Times New Roman" w:cs="Times New Roman"/>
                <w:color w:val="000000" w:themeColor="text1"/>
                <w:sz w:val="20"/>
                <w:szCs w:val="20"/>
              </w:rPr>
            </w:pPr>
          </w:p>
        </w:tc>
      </w:tr>
      <w:tr w:rsidR="00FE5D64"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FE5D64" w:rsidRDefault="00E40776">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FE5D64" w:rsidRDefault="00E40776">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Допълнителни насоки за собствените средства </w:t>
            </w:r>
            <w:r>
              <w:rPr>
                <w:rStyle w:val="InstructionsTabelleberschrift"/>
                <w:rFonts w:ascii="Times New Roman" w:hAnsi="Times New Roman"/>
                <w:color w:val="000000" w:themeColor="text1"/>
                <w:szCs w:val="20"/>
              </w:rPr>
              <w:t>(IFREP I 02.01 r0120)</w:t>
            </w:r>
          </w:p>
          <w:p w14:paraId="4094919F" w14:textId="67C4E4FA" w:rsidR="00FE5D64" w:rsidRDefault="00E40776">
            <w:pPr>
              <w:pStyle w:val="P68B1DB1-TableParagraph17"/>
              <w:spacing w:before="108"/>
            </w:pPr>
            <w:r>
              <w:t>Член 41 от Директива (ЕС) 2019/2034.</w:t>
            </w:r>
          </w:p>
          <w:p w14:paraId="1EA34579" w14:textId="77777777" w:rsidR="00FE5D64" w:rsidRDefault="00E40776">
            <w:pPr>
              <w:pStyle w:val="P68B1DB1-TableParagraph17"/>
              <w:spacing w:before="108"/>
            </w:pPr>
            <w:r>
              <w:t>Допълнителен собствен капитал, изискван като препоръка.</w:t>
            </w:r>
          </w:p>
          <w:p w14:paraId="7FE1B736" w14:textId="77777777" w:rsidR="00FE5D64" w:rsidRDefault="00FE5D64">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FE5D64" w:rsidRDefault="00FE5D64">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FE5D64" w:rsidRDefault="00FE5D64">
      <w:pPr>
        <w:pStyle w:val="Instructionsberschrift3"/>
        <w:numPr>
          <w:ilvl w:val="0"/>
          <w:numId w:val="0"/>
        </w:numPr>
        <w:ind w:left="720" w:hanging="432"/>
      </w:pPr>
    </w:p>
    <w:p w14:paraId="7FE1B742" w14:textId="77777777" w:rsidR="00FE5D64" w:rsidRDefault="00FE5D64">
      <w:pPr>
        <w:pStyle w:val="Instructionsberschrift3"/>
        <w:numPr>
          <w:ilvl w:val="0"/>
          <w:numId w:val="0"/>
        </w:numPr>
        <w:ind w:left="720" w:hanging="432"/>
      </w:pPr>
    </w:p>
    <w:p w14:paraId="7FE1B743" w14:textId="77777777" w:rsidR="00FE5D64" w:rsidRDefault="00FE5D64">
      <w:pPr>
        <w:pStyle w:val="Instructionsberschrift3"/>
        <w:numPr>
          <w:ilvl w:val="0"/>
          <w:numId w:val="0"/>
        </w:numPr>
        <w:ind w:left="720" w:hanging="432"/>
      </w:pPr>
    </w:p>
    <w:p w14:paraId="7FE1B744" w14:textId="49BA0C03" w:rsidR="00FE5D64" w:rsidRDefault="00FE5D64">
      <w:pPr>
        <w:rPr>
          <w:rFonts w:ascii="Times New Roman" w:hAnsi="Times New Roman" w:cs="Times New Roman"/>
          <w:color w:val="000000" w:themeColor="text1"/>
          <w:sz w:val="20"/>
          <w:szCs w:val="20"/>
        </w:rPr>
      </w:pPr>
    </w:p>
    <w:p w14:paraId="7FE1B745" w14:textId="016BA1E4" w:rsidR="00FE5D64" w:rsidRDefault="00E40776">
      <w:pPr>
        <w:pStyle w:val="P68B1DB1-Instructionsberschrift25"/>
        <w:numPr>
          <w:ilvl w:val="1"/>
          <w:numId w:val="49"/>
        </w:numPr>
        <w:ind w:left="357" w:hanging="357"/>
      </w:pPr>
      <w:bookmarkStart w:id="62" w:name="_Toc492542324"/>
      <w:bookmarkStart w:id="63" w:name="_Toc81454182"/>
      <w:bookmarkStart w:id="64" w:name="_Toc208244456"/>
      <w:r>
        <w:t>Z 04.00 — Финансови взаимовръзки в групата (IFC)</w:t>
      </w:r>
      <w:bookmarkEnd w:id="62"/>
      <w:bookmarkEnd w:id="63"/>
      <w:bookmarkEnd w:id="64"/>
    </w:p>
    <w:p w14:paraId="7FE1B746" w14:textId="77777777" w:rsidR="00FE5D64" w:rsidRDefault="00E40776">
      <w:pPr>
        <w:pStyle w:val="Instructionsberschrift3"/>
      </w:pPr>
      <w:r>
        <w:t>Общи бележки</w:t>
      </w:r>
    </w:p>
    <w:p w14:paraId="7FE1B747" w14:textId="3BB98E0B" w:rsidR="00FE5D64" w:rsidRDefault="00E40776">
      <w:pPr>
        <w:pStyle w:val="P68B1DB1-InstructionsText26"/>
        <w:numPr>
          <w:ilvl w:val="0"/>
          <w:numId w:val="232"/>
        </w:numPr>
        <w:spacing w:before="0"/>
      </w:pPr>
      <w:r>
        <w:t xml:space="preserve">В този образец се изисква информация за вътрешногруповите задължения, капиталовите инструменти и гаранциите. </w:t>
      </w:r>
    </w:p>
    <w:p w14:paraId="7FE1B748" w14:textId="588B1EC0" w:rsidR="00FE5D64" w:rsidRDefault="00E40776">
      <w:pPr>
        <w:pStyle w:val="P68B1DB1-InstructionsText26"/>
        <w:numPr>
          <w:ilvl w:val="0"/>
          <w:numId w:val="232"/>
        </w:numPr>
        <w:spacing w:before="0"/>
      </w:pPr>
      <w:r>
        <w:lastRenderedPageBreak/>
        <w:t>Докладват се всички финансови взаимовръзки между съответните правни субекти, включени в консолидираните финансови отчети. Докладваните стойности се събират, когато се отнасят за едни и същи контрагенти (както емитент и гарантиран субект, така и кредитор, титуляр и предоставящ гаранцията) и един и същи вид задължения, капиталови инструменти или гаранции.</w:t>
      </w:r>
    </w:p>
    <w:p w14:paraId="7FE1B749" w14:textId="77777777" w:rsidR="00FE5D64" w:rsidRDefault="00E40776">
      <w:pPr>
        <w:pStyle w:val="P68B1DB1-InstructionsText26"/>
        <w:numPr>
          <w:ilvl w:val="0"/>
          <w:numId w:val="232"/>
        </w:numPr>
        <w:spacing w:before="0"/>
      </w:pPr>
      <w:r>
        <w:t>Комбинацията на стойностите, докладвани в колони 0020, 0040 и 0050 на настоящия образец, формира първичен код, който трябва да е собствен за всеки ред от образеца.</w:t>
      </w:r>
    </w:p>
    <w:p w14:paraId="7FE1B74A" w14:textId="77777777" w:rsidR="00FE5D64" w:rsidRDefault="00E40776">
      <w:pPr>
        <w:pStyle w:val="P68B1DB1-Instructionsberschrift312"/>
      </w:pPr>
      <w:r>
        <w:t>Указания относно определени позиции</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E5D64"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FE5D64" w:rsidRDefault="00E40776">
            <w:pPr>
              <w:pStyle w:val="P68B1DB1-TableParagraph13"/>
              <w:spacing w:before="66"/>
              <w:rPr>
                <w:rFonts w:eastAsia="Cambria"/>
              </w:rPr>
            </w:pPr>
            <w:r>
              <w:t>Колони</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FE5D64" w:rsidRDefault="00E40776">
            <w:pPr>
              <w:pStyle w:val="P68B1DB1-TableParagraph13"/>
              <w:spacing w:before="66"/>
              <w:ind w:right="1"/>
              <w:jc w:val="center"/>
              <w:rPr>
                <w:rFonts w:eastAsia="Cambria"/>
              </w:rPr>
            </w:pPr>
            <w:r>
              <w:t>Указания</w:t>
            </w:r>
          </w:p>
        </w:tc>
      </w:tr>
      <w:tr w:rsidR="00FE5D64"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FE5D64" w:rsidRDefault="00E40776">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FE5D64" w:rsidRDefault="00E40776">
            <w:pPr>
              <w:pStyle w:val="P68B1DB1-TableParagraph14"/>
              <w:spacing w:before="108"/>
              <w:ind w:left="85"/>
              <w:jc w:val="both"/>
              <w:rPr>
                <w:bCs/>
              </w:rPr>
            </w:pPr>
            <w:r>
              <w:t>Емитент или гарантиран субект</w:t>
            </w:r>
          </w:p>
          <w:p w14:paraId="7FE1B750" w14:textId="77777777" w:rsidR="00FE5D64" w:rsidRDefault="00E40776">
            <w:pPr>
              <w:pStyle w:val="P68B1DB1-TableParagraph17"/>
              <w:spacing w:before="108"/>
              <w:ind w:left="85"/>
              <w:jc w:val="both"/>
            </w:pPr>
            <w:r>
              <w:t>Правен субект, който емитира задълженията или капиталовия инструмент или е гарантираният субект.</w:t>
            </w:r>
          </w:p>
        </w:tc>
      </w:tr>
      <w:tr w:rsidR="00FE5D64"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FE5D64" w:rsidRDefault="00E40776">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FE5D64" w:rsidRDefault="00E40776">
            <w:pPr>
              <w:pStyle w:val="P68B1DB1-TableParagraph14"/>
              <w:spacing w:before="108"/>
              <w:ind w:left="85"/>
              <w:jc w:val="both"/>
              <w:rPr>
                <w:bCs/>
              </w:rPr>
            </w:pPr>
            <w:r>
              <w:t xml:space="preserve">Наименование на субекта </w:t>
            </w:r>
          </w:p>
          <w:p w14:paraId="7FE1B754" w14:textId="77777777" w:rsidR="00FE5D64" w:rsidRDefault="00E40776">
            <w:pPr>
              <w:pStyle w:val="P68B1DB1-TableParagraph17"/>
              <w:spacing w:before="108"/>
              <w:ind w:left="85"/>
              <w:jc w:val="both"/>
            </w:pPr>
            <w:r>
              <w:t xml:space="preserve">Трябва да се различава от наименованието на субекта, посочено в колона 0030. </w:t>
            </w:r>
          </w:p>
        </w:tc>
      </w:tr>
      <w:tr w:rsidR="00FE5D64"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FE5D64" w:rsidRDefault="00E40776">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FE5D64" w:rsidRDefault="00E40776">
            <w:pPr>
              <w:pStyle w:val="P68B1DB1-TableParagraph14"/>
              <w:spacing w:before="108"/>
              <w:ind w:left="85"/>
              <w:jc w:val="both"/>
              <w:rPr>
                <w:bCs/>
              </w:rPr>
            </w:pPr>
            <w:r>
              <w:t>Осемцифров код по ХС</w:t>
            </w:r>
          </w:p>
          <w:p w14:paraId="22E99FB3" w14:textId="77777777" w:rsidR="00FE5D64" w:rsidRDefault="00E40776">
            <w:pPr>
              <w:pStyle w:val="P68B1DB1-TableParagraph17"/>
              <w:spacing w:before="108"/>
              <w:ind w:left="85"/>
              <w:jc w:val="both"/>
            </w:pPr>
            <w:r>
              <w:t xml:space="preserve">Кодът на емитента или получателя на гаранцията. </w:t>
            </w:r>
          </w:p>
          <w:p w14:paraId="4BE5BA2E" w14:textId="5E7AE5A4" w:rsidR="00FE5D64" w:rsidRDefault="00E40776">
            <w:pPr>
              <w:pStyle w:val="P68B1DB1-TableParagraph17"/>
              <w:spacing w:before="108"/>
              <w:ind w:left="85"/>
              <w:jc w:val="both"/>
            </w:pPr>
            <w:r>
              <w:t>За институции с идентификационен код на правния субект (ИКПС) — 20-цифреният буквено-цифров ИКПС;</w:t>
            </w:r>
          </w:p>
          <w:p w14:paraId="7FE1B758" w14:textId="458CE8E3" w:rsidR="00FE5D64" w:rsidRDefault="00E40776">
            <w:pPr>
              <w:pStyle w:val="P68B1DB1-TableParagraph17"/>
              <w:spacing w:before="108"/>
              <w:ind w:left="85"/>
              <w:jc w:val="both"/>
            </w:pPr>
            <w:r>
              <w:t>Ако няма такъв, се използва кодът на ПФИ или код по единна кодификация, приложима в Съюза.</w:t>
            </w:r>
          </w:p>
          <w:p w14:paraId="7FE1B759" w14:textId="77777777" w:rsidR="00FE5D64" w:rsidRDefault="00E40776">
            <w:pPr>
              <w:pStyle w:val="P68B1DB1-TableParagraph17"/>
              <w:spacing w:before="108"/>
              <w:ind w:left="85"/>
              <w:jc w:val="both"/>
            </w:pPr>
            <w:r>
              <w:t>Кодът е собствен и се използва последователно във всички образци.</w:t>
            </w:r>
          </w:p>
          <w:p w14:paraId="7FE1B75A" w14:textId="77777777" w:rsidR="00FE5D64" w:rsidRDefault="00E40776">
            <w:pPr>
              <w:pStyle w:val="P68B1DB1-TableParagraph17"/>
              <w:spacing w:before="108"/>
              <w:ind w:left="85"/>
              <w:jc w:val="both"/>
            </w:pPr>
            <w:r>
              <w:t>Кодът трябва да се различава от кода, посочен в колона 0040.</w:t>
            </w:r>
          </w:p>
          <w:p w14:paraId="7FE1B75B" w14:textId="77777777" w:rsidR="00FE5D64" w:rsidRDefault="00FE5D64">
            <w:pPr>
              <w:pStyle w:val="TableParagraph"/>
              <w:spacing w:before="108"/>
              <w:ind w:left="85"/>
              <w:jc w:val="both"/>
              <w:rPr>
                <w:rFonts w:ascii="Times New Roman" w:eastAsia="Cambria" w:hAnsi="Times New Roman" w:cs="Times New Roman"/>
                <w:color w:val="000000" w:themeColor="text1"/>
                <w:sz w:val="20"/>
                <w:szCs w:val="20"/>
              </w:rPr>
            </w:pPr>
          </w:p>
        </w:tc>
      </w:tr>
      <w:tr w:rsidR="00FE5D64"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FE5D64" w:rsidRDefault="00E40776">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FE5D64" w:rsidRDefault="00E40776">
            <w:pPr>
              <w:pStyle w:val="P68B1DB1-TableParagraph14"/>
              <w:spacing w:before="108"/>
              <w:ind w:left="85"/>
              <w:jc w:val="both"/>
              <w:rPr>
                <w:bCs/>
              </w:rPr>
            </w:pPr>
            <w:r>
              <w:t>Вид код</w:t>
            </w:r>
          </w:p>
          <w:p w14:paraId="7FE1B75F" w14:textId="2A2E5952" w:rsidR="00FE5D64" w:rsidRDefault="00E40776">
            <w:pPr>
              <w:pStyle w:val="P68B1DB1-TableParagraph13"/>
              <w:spacing w:before="108"/>
              <w:ind w:left="85"/>
              <w:jc w:val="both"/>
              <w:rPr>
                <w:bCs/>
              </w:rPr>
            </w:pPr>
            <w:r>
              <w:t xml:space="preserve">Кодът е същият като посочения в образец Z 01.01 (ORG 1). </w:t>
            </w:r>
          </w:p>
          <w:p w14:paraId="7FE1B761" w14:textId="635A8A91" w:rsidR="00FE5D64" w:rsidRDefault="00E40776">
            <w:pPr>
              <w:pStyle w:val="P68B1DB1-TableParagraph13"/>
              <w:spacing w:before="108"/>
              <w:ind w:left="85"/>
              <w:jc w:val="both"/>
              <w:rPr>
                <w:bCs/>
              </w:rPr>
            </w:pPr>
            <w:r>
              <w:t>Избира се измежду следните варианти: „ИКПС „, „Код на ПФИ“ или „Вид идентификатор, различен от ИКПС или код на ПФИ.</w:t>
            </w:r>
          </w:p>
          <w:p w14:paraId="7FE1B762" w14:textId="77777777" w:rsidR="00FE5D64" w:rsidRDefault="00E40776">
            <w:pPr>
              <w:pStyle w:val="P68B1DB1-TableParagraph13"/>
              <w:spacing w:before="108"/>
              <w:ind w:left="85"/>
              <w:jc w:val="both"/>
              <w:rPr>
                <w:b/>
                <w:bCs/>
              </w:rPr>
            </w:pPr>
            <w:r>
              <w:t>За идентифициране на субектите или предприятията, в които е инвестирано, двойката кодове и видове се използва последователно в образците.</w:t>
            </w:r>
          </w:p>
        </w:tc>
      </w:tr>
      <w:tr w:rsidR="00FE5D64"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FE5D64" w:rsidRDefault="00E40776">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FE5D64" w:rsidRDefault="00E40776">
            <w:pPr>
              <w:pStyle w:val="P68B1DB1-TableParagraph14"/>
              <w:spacing w:before="108"/>
              <w:ind w:left="85"/>
              <w:jc w:val="both"/>
              <w:rPr>
                <w:bCs/>
              </w:rPr>
            </w:pPr>
            <w:r>
              <w:t>Кредитор, титуляр или предоставящ гаранцията</w:t>
            </w:r>
          </w:p>
          <w:p w14:paraId="7FE1B766" w14:textId="77777777" w:rsidR="00FE5D64" w:rsidRDefault="00E40776">
            <w:pPr>
              <w:pStyle w:val="P68B1DB1-TableParagraph17"/>
              <w:spacing w:before="108"/>
              <w:ind w:left="85"/>
              <w:jc w:val="both"/>
            </w:pPr>
            <w:r>
              <w:t>Правен субект, който е кредиторът на задължението, притежава капиталовия инструмент или предоставя гаранцията.</w:t>
            </w:r>
          </w:p>
        </w:tc>
      </w:tr>
      <w:tr w:rsidR="00FE5D64"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FE5D64" w:rsidRDefault="00E40776">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FE5D64" w:rsidRDefault="00E40776">
            <w:pPr>
              <w:pStyle w:val="P68B1DB1-TableParagraph14"/>
              <w:spacing w:before="108"/>
              <w:ind w:left="85"/>
              <w:jc w:val="both"/>
              <w:rPr>
                <w:bCs/>
              </w:rPr>
            </w:pPr>
            <w:r>
              <w:t xml:space="preserve">Наименование на субекта </w:t>
            </w:r>
          </w:p>
          <w:p w14:paraId="7FE1B76A" w14:textId="77777777" w:rsidR="00FE5D64" w:rsidRDefault="00E40776">
            <w:pPr>
              <w:pStyle w:val="P68B1DB1-TableParagraph17"/>
              <w:spacing w:before="108"/>
              <w:ind w:left="85"/>
              <w:jc w:val="both"/>
            </w:pPr>
            <w:r>
              <w:t xml:space="preserve">Трябва да се различава от наименованието на субекта, посочено в колона 0010. </w:t>
            </w:r>
          </w:p>
        </w:tc>
      </w:tr>
      <w:tr w:rsidR="00FE5D64"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FE5D64" w:rsidRDefault="00E40776">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FE5D64" w:rsidRDefault="00E40776">
            <w:pPr>
              <w:pStyle w:val="P68B1DB1-TableParagraph14"/>
              <w:spacing w:before="108"/>
              <w:ind w:left="85"/>
              <w:jc w:val="both"/>
              <w:rPr>
                <w:bCs/>
              </w:rPr>
            </w:pPr>
            <w:r>
              <w:t>Осемцифров код по ХС</w:t>
            </w:r>
          </w:p>
          <w:p w14:paraId="07AEB6DE" w14:textId="77777777" w:rsidR="00FE5D64" w:rsidRDefault="00E40776">
            <w:pPr>
              <w:pStyle w:val="P68B1DB1-TableParagraph17"/>
              <w:spacing w:before="108"/>
              <w:ind w:left="85"/>
              <w:jc w:val="both"/>
            </w:pPr>
            <w:r>
              <w:t xml:space="preserve">Кодът на кредитора, титуляря или предоставящия гаранцията. </w:t>
            </w:r>
          </w:p>
          <w:p w14:paraId="706B20DB" w14:textId="77777777" w:rsidR="00FE5D64" w:rsidRDefault="00E40776">
            <w:pPr>
              <w:pStyle w:val="P68B1DB1-TableParagraph17"/>
              <w:spacing w:before="108"/>
              <w:ind w:left="85"/>
              <w:jc w:val="both"/>
            </w:pPr>
            <w:r>
              <w:t>За институции с идентификационен код на правния субект (ИКПС) — 20-цифреният буквено-цифров ИКПС;</w:t>
            </w:r>
          </w:p>
          <w:p w14:paraId="69DCA339" w14:textId="67781040" w:rsidR="00FE5D64" w:rsidRDefault="00E40776">
            <w:pPr>
              <w:pStyle w:val="P68B1DB1-TableParagraph17"/>
              <w:spacing w:before="108"/>
              <w:ind w:left="85"/>
              <w:jc w:val="both"/>
            </w:pPr>
            <w:r>
              <w:t>Ако няма такъв, се използва кодът на ПФИ или код по единна кодификация, приложима в Съюза.</w:t>
            </w:r>
          </w:p>
          <w:p w14:paraId="7FE1B76F" w14:textId="02D6147D" w:rsidR="00FE5D64" w:rsidRDefault="00E40776">
            <w:pPr>
              <w:pStyle w:val="P68B1DB1-TableParagraph17"/>
              <w:spacing w:before="108"/>
              <w:ind w:left="85"/>
              <w:jc w:val="both"/>
            </w:pPr>
            <w:r>
              <w:lastRenderedPageBreak/>
              <w:t>Кодът е собствен и се използва последователно във всички образци.</w:t>
            </w:r>
          </w:p>
          <w:p w14:paraId="1E86BFA0" w14:textId="77777777" w:rsidR="00FE5D64" w:rsidRDefault="00E40776">
            <w:pPr>
              <w:pStyle w:val="P68B1DB1-TableParagraph17"/>
              <w:spacing w:before="108"/>
              <w:ind w:left="85"/>
              <w:jc w:val="both"/>
            </w:pPr>
            <w:r>
              <w:t>Трябва да се различава от кода, посочен в колона 0020.</w:t>
            </w:r>
          </w:p>
          <w:p w14:paraId="7FE1B770" w14:textId="276B100A" w:rsidR="00FE5D64" w:rsidRDefault="00E40776">
            <w:pPr>
              <w:pStyle w:val="P68B1DB1-TableParagraph13"/>
              <w:spacing w:before="108"/>
              <w:ind w:left="85"/>
              <w:jc w:val="both"/>
              <w:rPr>
                <w:rFonts w:eastAsia="Cambria"/>
              </w:rPr>
            </w:pPr>
            <w:r>
              <w:t>Когато кредиторът, собственик или гарантиращ е субект от групата, кодът е същият като посоченият в образец Z 01.01 (ORG 1). За идентифициране на субектите или предприятията, в които е инвестирано, двойката кодове и видове се използва последователно в образците.</w:t>
            </w:r>
          </w:p>
        </w:tc>
      </w:tr>
      <w:tr w:rsidR="00FE5D64"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FE5D64" w:rsidRDefault="00E40776">
            <w:pPr>
              <w:pStyle w:val="P68B1DB1-TableParagraph13"/>
              <w:spacing w:before="106"/>
              <w:ind w:left="-1"/>
            </w:pPr>
            <w:r>
              <w:lastRenderedPageBreak/>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FE5D64" w:rsidRDefault="00E40776">
            <w:pPr>
              <w:pStyle w:val="P68B1DB1-TableParagraph14"/>
              <w:spacing w:before="108"/>
              <w:ind w:left="85"/>
              <w:jc w:val="both"/>
              <w:rPr>
                <w:bCs/>
              </w:rPr>
            </w:pPr>
            <w:r>
              <w:t>Вид код</w:t>
            </w:r>
          </w:p>
          <w:p w14:paraId="00DFF190" w14:textId="04144C55" w:rsidR="00FE5D64" w:rsidRDefault="00FE5D64">
            <w:pPr>
              <w:pStyle w:val="TableParagraph"/>
              <w:spacing w:before="108"/>
              <w:ind w:left="85"/>
              <w:jc w:val="both"/>
              <w:rPr>
                <w:rFonts w:ascii="Times New Roman" w:hAnsi="Times New Roman" w:cs="Times New Roman"/>
                <w:bCs/>
                <w:color w:val="000000" w:themeColor="text1"/>
                <w:sz w:val="20"/>
                <w:szCs w:val="20"/>
              </w:rPr>
            </w:pPr>
          </w:p>
          <w:p w14:paraId="1CBCA0DC" w14:textId="04764F45" w:rsidR="00FE5D64" w:rsidRDefault="00E40776">
            <w:pPr>
              <w:pStyle w:val="P68B1DB1-TableParagraph13"/>
              <w:spacing w:before="108" w:line="276" w:lineRule="auto"/>
              <w:ind w:left="85"/>
              <w:jc w:val="both"/>
              <w:rPr>
                <w:color w:val="000000"/>
              </w:rPr>
            </w:pPr>
            <w:bookmarkStart w:id="65" w:name="_Hlk191377037"/>
            <w:r>
              <w:t>Избира се измежду следните варианти: „ИКПС „, „Код на ПФИ„или „Вид идентификатор, различен от ИКПС или код на ПФИ“.</w:t>
            </w:r>
            <w:bookmarkEnd w:id="65"/>
          </w:p>
          <w:p w14:paraId="072CFC22" w14:textId="7B94F65F" w:rsidR="00FE5D64" w:rsidRDefault="00E40776">
            <w:pPr>
              <w:pStyle w:val="P68B1DB1-TableParagraph13"/>
              <w:spacing w:before="108" w:line="276" w:lineRule="auto"/>
              <w:ind w:left="85"/>
              <w:jc w:val="both"/>
              <w:rPr>
                <w:color w:val="000000"/>
              </w:rPr>
            </w:pPr>
            <w:r>
              <w:t>Видът на кода винаги се посочва.</w:t>
            </w:r>
          </w:p>
          <w:p w14:paraId="63D16443" w14:textId="77777777" w:rsidR="00FE5D64" w:rsidRDefault="00E40776">
            <w:pPr>
              <w:pStyle w:val="P68B1DB1-TableParagraph13"/>
              <w:spacing w:before="108" w:line="276" w:lineRule="auto"/>
              <w:ind w:left="85"/>
              <w:jc w:val="both"/>
              <w:rPr>
                <w:color w:val="000000"/>
              </w:rPr>
            </w:pPr>
            <w:r>
              <w:t>Когато кредиторът, титулярят или доставчикът на гаранцията не е субект от групата, видът на кода е за предпочитане ИКПС.</w:t>
            </w:r>
          </w:p>
          <w:p w14:paraId="7FE1B777" w14:textId="69660BC3" w:rsidR="00FE5D64" w:rsidRDefault="00FE5D64">
            <w:pPr>
              <w:pStyle w:val="TableParagraph"/>
              <w:spacing w:before="108"/>
              <w:ind w:left="85"/>
              <w:jc w:val="both"/>
              <w:rPr>
                <w:rFonts w:ascii="Times New Roman" w:hAnsi="Times New Roman" w:cs="Times New Roman"/>
                <w:b/>
                <w:bCs/>
                <w:color w:val="000000" w:themeColor="text1"/>
                <w:sz w:val="20"/>
                <w:szCs w:val="20"/>
              </w:rPr>
            </w:pPr>
          </w:p>
        </w:tc>
      </w:tr>
      <w:tr w:rsidR="00FE5D64"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FE5D64" w:rsidRDefault="00E40776">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FE5D64" w:rsidRDefault="00E40776">
            <w:pPr>
              <w:pStyle w:val="P68B1DB1-TableParagraph14"/>
              <w:spacing w:before="108"/>
              <w:ind w:left="85"/>
              <w:jc w:val="both"/>
              <w:rPr>
                <w:bCs/>
              </w:rPr>
            </w:pPr>
            <w:r>
              <w:t>Финансова взаимовръзка</w:t>
            </w:r>
          </w:p>
          <w:p w14:paraId="7FE1B77B" w14:textId="079D8C41" w:rsidR="00FE5D64" w:rsidRDefault="00E40776">
            <w:pPr>
              <w:pStyle w:val="P68B1DB1-TableParagraph17"/>
              <w:spacing w:before="108"/>
              <w:ind w:left="85"/>
              <w:jc w:val="both"/>
            </w:pPr>
            <w:r>
              <w:t>В това поле се описват финансовите взаимовръзки между всички правни субекти.</w:t>
            </w:r>
          </w:p>
        </w:tc>
      </w:tr>
      <w:tr w:rsidR="00FE5D64"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FE5D64" w:rsidRDefault="00E40776">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FE5D64" w:rsidRDefault="00E40776">
            <w:pPr>
              <w:pStyle w:val="P68B1DB1-TableParagraph14"/>
              <w:spacing w:before="108"/>
              <w:ind w:left="85"/>
              <w:jc w:val="both"/>
              <w:rPr>
                <w:bCs/>
              </w:rPr>
            </w:pPr>
            <w:r>
              <w:t>Вид</w:t>
            </w:r>
          </w:p>
          <w:p w14:paraId="7FE1B77F" w14:textId="77777777" w:rsidR="00FE5D64" w:rsidRDefault="00E40776">
            <w:pPr>
              <w:pStyle w:val="P68B1DB1-TableParagraph17"/>
              <w:spacing w:before="108"/>
              <w:ind w:left="85"/>
              <w:jc w:val="both"/>
            </w:pPr>
            <w:r>
              <w:t>Избира се от следния списък:</w:t>
            </w:r>
          </w:p>
          <w:p w14:paraId="7FE1B780" w14:textId="77777777" w:rsidR="00FE5D64" w:rsidRDefault="00E40776">
            <w:pPr>
              <w:pStyle w:val="P68B1DB1-TableParagraph24"/>
              <w:spacing w:before="108"/>
              <w:ind w:left="85"/>
              <w:jc w:val="both"/>
            </w:pPr>
            <w:r>
              <w:t>Вътрешногрупови задължения</w:t>
            </w:r>
          </w:p>
          <w:p w14:paraId="7FE1B781" w14:textId="77777777" w:rsidR="00FE5D64" w:rsidRDefault="00FE5D64">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FE5D64" w:rsidRDefault="00E40776">
            <w:pPr>
              <w:pStyle w:val="P68B1DB1-ListParagraph25"/>
              <w:numPr>
                <w:ilvl w:val="0"/>
                <w:numId w:val="54"/>
              </w:numPr>
              <w:autoSpaceDE w:val="0"/>
              <w:autoSpaceDN w:val="0"/>
              <w:adjustRightInd w:val="0"/>
              <w:ind w:left="539" w:hanging="454"/>
              <w:contextualSpacing/>
              <w:jc w:val="both"/>
            </w:pPr>
            <w:r>
              <w:t xml:space="preserve">Задължения, изключени от споделянето на загуби </w:t>
            </w:r>
          </w:p>
          <w:p w14:paraId="7FE1B783" w14:textId="047CAF02" w:rsidR="00FE5D64" w:rsidRDefault="00E40776">
            <w:pPr>
              <w:pStyle w:val="P68B1DB1-ListParagraph25"/>
              <w:autoSpaceDE w:val="0"/>
              <w:autoSpaceDN w:val="0"/>
              <w:adjustRightInd w:val="0"/>
              <w:ind w:left="539"/>
              <w:contextualSpacing/>
              <w:jc w:val="both"/>
            </w:pPr>
            <w:r>
              <w:t>Същото определение както Z 02.00 (LIAB 1), ред 0100</w:t>
            </w:r>
          </w:p>
          <w:p w14:paraId="7FE1B784" w14:textId="77777777" w:rsidR="00FE5D64" w:rsidRDefault="00E40776">
            <w:pPr>
              <w:pStyle w:val="P68B1DB1-ListParagraph25"/>
              <w:numPr>
                <w:ilvl w:val="0"/>
                <w:numId w:val="54"/>
              </w:numPr>
              <w:autoSpaceDE w:val="0"/>
              <w:autoSpaceDN w:val="0"/>
              <w:adjustRightInd w:val="0"/>
              <w:ind w:left="539" w:hanging="454"/>
              <w:contextualSpacing/>
              <w:jc w:val="both"/>
            </w:pPr>
            <w:r>
              <w:t>Депозити, които не са гарантирани, но са привилегировани</w:t>
            </w:r>
          </w:p>
          <w:p w14:paraId="7FE1B785" w14:textId="69E9007C" w:rsidR="00FE5D64" w:rsidRDefault="00E40776">
            <w:pPr>
              <w:pStyle w:val="P68B1DB1-ListParagraph25"/>
              <w:autoSpaceDE w:val="0"/>
              <w:autoSpaceDN w:val="0"/>
              <w:adjustRightInd w:val="0"/>
              <w:ind w:left="539"/>
              <w:jc w:val="both"/>
            </w:pPr>
            <w:r>
              <w:t>Същото определение както Z 02.00 (LIAB 1), ред 0310</w:t>
            </w:r>
          </w:p>
          <w:p w14:paraId="7FE1B786" w14:textId="77777777" w:rsidR="00FE5D64" w:rsidRDefault="00E40776">
            <w:pPr>
              <w:pStyle w:val="P68B1DB1-ListParagraph25"/>
              <w:numPr>
                <w:ilvl w:val="0"/>
                <w:numId w:val="54"/>
              </w:numPr>
              <w:autoSpaceDE w:val="0"/>
              <w:autoSpaceDN w:val="0"/>
              <w:adjustRightInd w:val="0"/>
              <w:ind w:left="539" w:hanging="454"/>
              <w:contextualSpacing/>
              <w:jc w:val="both"/>
            </w:pPr>
            <w:r>
              <w:t>Депозити, които не са гарантирани и не са привилегировани</w:t>
            </w:r>
          </w:p>
          <w:p w14:paraId="7FE1B787" w14:textId="4FA7AC10" w:rsidR="00FE5D64" w:rsidRDefault="00E40776">
            <w:pPr>
              <w:pStyle w:val="P68B1DB1-ListParagraph25"/>
              <w:autoSpaceDE w:val="0"/>
              <w:autoSpaceDN w:val="0"/>
              <w:adjustRightInd w:val="0"/>
              <w:ind w:left="539"/>
              <w:jc w:val="both"/>
            </w:pPr>
            <w:r>
              <w:t>Същото определение както Z 02.00 (LIAB 1), ред 0320</w:t>
            </w:r>
          </w:p>
          <w:p w14:paraId="7FE1B788" w14:textId="77777777" w:rsidR="00FE5D64" w:rsidRDefault="00E40776">
            <w:pPr>
              <w:pStyle w:val="P68B1DB1-ListParagraph25"/>
              <w:numPr>
                <w:ilvl w:val="0"/>
                <w:numId w:val="54"/>
              </w:numPr>
              <w:autoSpaceDE w:val="0"/>
              <w:autoSpaceDN w:val="0"/>
              <w:adjustRightInd w:val="0"/>
              <w:ind w:left="539" w:hanging="454"/>
              <w:contextualSpacing/>
              <w:jc w:val="both"/>
            </w:pPr>
            <w:r>
              <w:t>Задължения, произтичащи от деривати (суми при приключване)</w:t>
            </w:r>
          </w:p>
          <w:p w14:paraId="7FE1B789" w14:textId="5DAB7051" w:rsidR="00FE5D64" w:rsidRDefault="00E40776">
            <w:pPr>
              <w:pStyle w:val="P68B1DB1-ListParagraph25"/>
              <w:autoSpaceDE w:val="0"/>
              <w:autoSpaceDN w:val="0"/>
              <w:adjustRightInd w:val="0"/>
              <w:ind w:left="539"/>
              <w:jc w:val="both"/>
            </w:pPr>
            <w:r>
              <w:t>Същото определение както Z 02.00 (LIAB 1), ред 0330</w:t>
            </w:r>
          </w:p>
          <w:p w14:paraId="7FE1B78A" w14:textId="77777777" w:rsidR="00FE5D64" w:rsidRDefault="00E40776">
            <w:pPr>
              <w:pStyle w:val="P68B1DB1-ListParagraph25"/>
              <w:numPr>
                <w:ilvl w:val="0"/>
                <w:numId w:val="54"/>
              </w:numPr>
              <w:autoSpaceDE w:val="0"/>
              <w:autoSpaceDN w:val="0"/>
              <w:adjustRightInd w:val="0"/>
              <w:ind w:left="539" w:hanging="454"/>
              <w:contextualSpacing/>
              <w:jc w:val="both"/>
            </w:pPr>
            <w:r>
              <w:t>Негарантирани обезпечени задължения</w:t>
            </w:r>
          </w:p>
          <w:p w14:paraId="7FE1B78B" w14:textId="5B0021F4" w:rsidR="00FE5D64" w:rsidRDefault="00E40776">
            <w:pPr>
              <w:pStyle w:val="P68B1DB1-ListParagraph25"/>
              <w:autoSpaceDE w:val="0"/>
              <w:autoSpaceDN w:val="0"/>
              <w:adjustRightInd w:val="0"/>
              <w:ind w:left="539"/>
              <w:jc w:val="both"/>
            </w:pPr>
            <w:r>
              <w:t>Същото определение както Z 02.00 (LIAB 1), ред 0340</w:t>
            </w:r>
          </w:p>
          <w:p w14:paraId="7FE1B78C" w14:textId="77777777" w:rsidR="00FE5D64" w:rsidRDefault="00E40776">
            <w:pPr>
              <w:pStyle w:val="P68B1DB1-ListParagraph25"/>
              <w:numPr>
                <w:ilvl w:val="0"/>
                <w:numId w:val="54"/>
              </w:numPr>
              <w:autoSpaceDE w:val="0"/>
              <w:autoSpaceDN w:val="0"/>
              <w:adjustRightInd w:val="0"/>
              <w:ind w:left="539" w:hanging="454"/>
              <w:contextualSpacing/>
              <w:jc w:val="both"/>
            </w:pPr>
            <w:r>
              <w:t>Структурирани облигации</w:t>
            </w:r>
          </w:p>
          <w:p w14:paraId="7FE1B78D" w14:textId="7DF4D7F4" w:rsidR="00FE5D64" w:rsidRDefault="00E40776">
            <w:pPr>
              <w:pStyle w:val="P68B1DB1-ListParagraph25"/>
              <w:autoSpaceDE w:val="0"/>
              <w:autoSpaceDN w:val="0"/>
              <w:adjustRightInd w:val="0"/>
              <w:ind w:left="539"/>
              <w:jc w:val="both"/>
            </w:pPr>
            <w:r>
              <w:t>Същото определение както Z 02.00 (LIAB 1), ред 0350</w:t>
            </w:r>
          </w:p>
          <w:p w14:paraId="7FE1B78E" w14:textId="77777777" w:rsidR="00FE5D64" w:rsidRDefault="00E40776">
            <w:pPr>
              <w:pStyle w:val="P68B1DB1-ListParagraph25"/>
              <w:numPr>
                <w:ilvl w:val="0"/>
                <w:numId w:val="54"/>
              </w:numPr>
              <w:autoSpaceDE w:val="0"/>
              <w:autoSpaceDN w:val="0"/>
              <w:adjustRightInd w:val="0"/>
              <w:ind w:left="539" w:hanging="454"/>
              <w:contextualSpacing/>
              <w:jc w:val="both"/>
            </w:pPr>
            <w:r>
              <w:t>Първостепенни необезпечени задължения</w:t>
            </w:r>
          </w:p>
          <w:p w14:paraId="7FE1B78F" w14:textId="67CE577E" w:rsidR="00FE5D64" w:rsidRDefault="00E40776">
            <w:pPr>
              <w:pStyle w:val="P68B1DB1-ListParagraph25"/>
              <w:autoSpaceDE w:val="0"/>
              <w:autoSpaceDN w:val="0"/>
              <w:adjustRightInd w:val="0"/>
              <w:ind w:left="539"/>
              <w:jc w:val="both"/>
            </w:pPr>
            <w:r>
              <w:t>Същото определение както Z 02.00 (LIAB 1), ред 0360</w:t>
            </w:r>
          </w:p>
          <w:p w14:paraId="7FE1B790" w14:textId="77777777" w:rsidR="00FE5D64" w:rsidRDefault="00E40776">
            <w:pPr>
              <w:pStyle w:val="P68B1DB1-ListParagraph25"/>
              <w:numPr>
                <w:ilvl w:val="0"/>
                <w:numId w:val="54"/>
              </w:numPr>
              <w:autoSpaceDE w:val="0"/>
              <w:autoSpaceDN w:val="0"/>
              <w:adjustRightInd w:val="0"/>
              <w:ind w:left="539" w:hanging="454"/>
              <w:contextualSpacing/>
              <w:jc w:val="both"/>
            </w:pPr>
            <w:r>
              <w:t>Първостепенни непривилегировани задължения</w:t>
            </w:r>
          </w:p>
          <w:p w14:paraId="7FE1B791" w14:textId="6BECB3BB" w:rsidR="00FE5D64" w:rsidRDefault="00E40776">
            <w:pPr>
              <w:pStyle w:val="P68B1DB1-ListParagraph25"/>
              <w:autoSpaceDE w:val="0"/>
              <w:autoSpaceDN w:val="0"/>
              <w:adjustRightInd w:val="0"/>
              <w:ind w:left="539"/>
              <w:contextualSpacing/>
              <w:jc w:val="both"/>
            </w:pPr>
            <w:r>
              <w:t>Същото определение както Z 02.00 (LIAB 1), ред 0365</w:t>
            </w:r>
          </w:p>
          <w:p w14:paraId="7FE1B792" w14:textId="77777777" w:rsidR="00FE5D64" w:rsidRDefault="00E40776">
            <w:pPr>
              <w:pStyle w:val="P68B1DB1-ListParagraph25"/>
              <w:numPr>
                <w:ilvl w:val="0"/>
                <w:numId w:val="54"/>
              </w:numPr>
              <w:autoSpaceDE w:val="0"/>
              <w:autoSpaceDN w:val="0"/>
              <w:adjustRightInd w:val="0"/>
              <w:ind w:left="539" w:hanging="454"/>
              <w:contextualSpacing/>
              <w:jc w:val="both"/>
            </w:pPr>
            <w:r>
              <w:t>Подчинени пасиви</w:t>
            </w:r>
          </w:p>
          <w:p w14:paraId="7FE1B793" w14:textId="1719A947" w:rsidR="00FE5D64" w:rsidRDefault="00E40776">
            <w:pPr>
              <w:pStyle w:val="P68B1DB1-ListParagraph25"/>
              <w:autoSpaceDE w:val="0"/>
              <w:autoSpaceDN w:val="0"/>
              <w:adjustRightInd w:val="0"/>
              <w:ind w:left="539"/>
              <w:jc w:val="both"/>
            </w:pPr>
            <w:r>
              <w:t>Същото определение както Z 02.00 (LIAB 1), ред 0370</w:t>
            </w:r>
          </w:p>
          <w:p w14:paraId="7FE1B794" w14:textId="77777777" w:rsidR="00FE5D64" w:rsidRDefault="00E40776">
            <w:pPr>
              <w:pStyle w:val="P68B1DB1-ListParagraph25"/>
              <w:numPr>
                <w:ilvl w:val="0"/>
                <w:numId w:val="54"/>
              </w:numPr>
              <w:autoSpaceDE w:val="0"/>
              <w:autoSpaceDN w:val="0"/>
              <w:adjustRightInd w:val="0"/>
              <w:ind w:left="539" w:hanging="454"/>
              <w:contextualSpacing/>
              <w:jc w:val="both"/>
            </w:pPr>
            <w:r>
              <w:t>Други приемливи задължения съгласно минималното изискване за собствен капитал и приемливи задължения (МИПЗ)</w:t>
            </w:r>
          </w:p>
          <w:p w14:paraId="7FE1B795" w14:textId="18D60D2B" w:rsidR="00FE5D64" w:rsidRDefault="00E40776">
            <w:pPr>
              <w:pStyle w:val="P68B1DB1-ListParagraph25"/>
              <w:autoSpaceDE w:val="0"/>
              <w:autoSpaceDN w:val="0"/>
              <w:adjustRightInd w:val="0"/>
              <w:ind w:left="539"/>
              <w:jc w:val="both"/>
            </w:pPr>
            <w:r>
              <w:t>Същото определение както Z 02.00 (LIAB 1), ред 0380</w:t>
            </w:r>
          </w:p>
          <w:p w14:paraId="7FE1B796" w14:textId="77777777" w:rsidR="00FE5D64" w:rsidRDefault="00E40776">
            <w:pPr>
              <w:pStyle w:val="P68B1DB1-ListParagraph25"/>
              <w:numPr>
                <w:ilvl w:val="0"/>
                <w:numId w:val="54"/>
              </w:numPr>
              <w:autoSpaceDE w:val="0"/>
              <w:autoSpaceDN w:val="0"/>
              <w:adjustRightInd w:val="0"/>
              <w:ind w:left="539" w:hanging="454"/>
              <w:contextualSpacing/>
              <w:jc w:val="both"/>
            </w:pPr>
            <w:r>
              <w:t>Нефинансови задължения</w:t>
            </w:r>
          </w:p>
          <w:p w14:paraId="7FE1B797" w14:textId="03D8AF00" w:rsidR="00FE5D64" w:rsidRDefault="00E40776">
            <w:pPr>
              <w:pStyle w:val="P68B1DB1-ListParagraph25"/>
              <w:autoSpaceDE w:val="0"/>
              <w:autoSpaceDN w:val="0"/>
              <w:adjustRightInd w:val="0"/>
              <w:ind w:left="539"/>
              <w:jc w:val="both"/>
            </w:pPr>
            <w:r>
              <w:t>Същото определение както Z 02.00 (LIAB 1), ред 0390</w:t>
            </w:r>
          </w:p>
          <w:p w14:paraId="7FE1B798" w14:textId="77777777" w:rsidR="00FE5D64" w:rsidRDefault="00E40776">
            <w:pPr>
              <w:pStyle w:val="P68B1DB1-ListParagraph25"/>
              <w:numPr>
                <w:ilvl w:val="0"/>
                <w:numId w:val="54"/>
              </w:numPr>
              <w:autoSpaceDE w:val="0"/>
              <w:autoSpaceDN w:val="0"/>
              <w:adjustRightInd w:val="0"/>
              <w:ind w:left="539" w:hanging="454"/>
              <w:contextualSpacing/>
              <w:jc w:val="both"/>
            </w:pPr>
            <w:r>
              <w:t>Остатъчни задължения</w:t>
            </w:r>
          </w:p>
          <w:p w14:paraId="7FE1B799" w14:textId="5E01E641" w:rsidR="00FE5D64" w:rsidRDefault="00E40776">
            <w:pPr>
              <w:pStyle w:val="P68B1DB1-ListParagraph25"/>
              <w:autoSpaceDE w:val="0"/>
              <w:autoSpaceDN w:val="0"/>
              <w:adjustRightInd w:val="0"/>
              <w:ind w:left="539"/>
              <w:jc w:val="both"/>
            </w:pPr>
            <w:r>
              <w:t>Същото определение както Z 02.00 (LIAB 1), ред 0400 Всички задължения, необхванати от никоя от предишните позиции.</w:t>
            </w:r>
          </w:p>
          <w:p w14:paraId="7FE1B79A" w14:textId="77777777" w:rsidR="00FE5D64" w:rsidRDefault="00E40776">
            <w:pPr>
              <w:pStyle w:val="P68B1DB1-ListParagraph25"/>
              <w:numPr>
                <w:ilvl w:val="0"/>
                <w:numId w:val="54"/>
              </w:numPr>
              <w:autoSpaceDE w:val="0"/>
              <w:autoSpaceDN w:val="0"/>
              <w:adjustRightInd w:val="0"/>
              <w:ind w:left="539" w:hanging="454"/>
              <w:contextualSpacing/>
              <w:jc w:val="both"/>
            </w:pPr>
            <w:r>
              <w:t>Капитал от втори ред</w:t>
            </w:r>
          </w:p>
          <w:p w14:paraId="7FE1B79B" w14:textId="1DC09C8A" w:rsidR="00FE5D64" w:rsidRDefault="00E40776">
            <w:pPr>
              <w:pStyle w:val="P68B1DB1-ListParagraph25"/>
              <w:autoSpaceDE w:val="0"/>
              <w:autoSpaceDN w:val="0"/>
              <w:adjustRightInd w:val="0"/>
              <w:ind w:left="539"/>
              <w:jc w:val="both"/>
            </w:pPr>
            <w:r>
              <w:t>Същото определение както Z 02.00 (LIAB 1), ред 0530</w:t>
            </w:r>
          </w:p>
          <w:p w14:paraId="7FE1B79C" w14:textId="77777777" w:rsidR="00FE5D64" w:rsidRDefault="00E40776">
            <w:pPr>
              <w:pStyle w:val="P68B1DB1-ListParagraph25"/>
              <w:numPr>
                <w:ilvl w:val="0"/>
                <w:numId w:val="54"/>
              </w:numPr>
              <w:autoSpaceDE w:val="0"/>
              <w:autoSpaceDN w:val="0"/>
              <w:adjustRightInd w:val="0"/>
              <w:ind w:left="539" w:hanging="454"/>
              <w:contextualSpacing/>
              <w:jc w:val="both"/>
            </w:pPr>
            <w:r>
              <w:lastRenderedPageBreak/>
              <w:t>Допълнителен капитал от първи ред</w:t>
            </w:r>
          </w:p>
          <w:p w14:paraId="7FE1B79D" w14:textId="5EB7A3D7" w:rsidR="00FE5D64" w:rsidRDefault="00E40776">
            <w:pPr>
              <w:pStyle w:val="P68B1DB1-ListParagraph25"/>
              <w:autoSpaceDE w:val="0"/>
              <w:autoSpaceDN w:val="0"/>
              <w:adjustRightInd w:val="0"/>
              <w:ind w:left="539"/>
              <w:jc w:val="both"/>
            </w:pPr>
            <w:r>
              <w:t>Същото определение както Z 02.00 (LIAB 1), ред 0520</w:t>
            </w:r>
          </w:p>
          <w:p w14:paraId="7FE1B79E" w14:textId="77777777" w:rsidR="00FE5D64" w:rsidRDefault="00E40776">
            <w:pPr>
              <w:pStyle w:val="P68B1DB1-ListParagraph25"/>
              <w:numPr>
                <w:ilvl w:val="0"/>
                <w:numId w:val="54"/>
              </w:numPr>
              <w:autoSpaceDE w:val="0"/>
              <w:autoSpaceDN w:val="0"/>
              <w:adjustRightInd w:val="0"/>
              <w:ind w:left="539" w:hanging="454"/>
              <w:contextualSpacing/>
              <w:jc w:val="both"/>
            </w:pPr>
            <w:r>
              <w:t>Базов собствен капитал от първи ред</w:t>
            </w:r>
          </w:p>
          <w:p w14:paraId="7FE1B79F" w14:textId="3DF796DF" w:rsidR="00FE5D64" w:rsidRDefault="00E40776">
            <w:pPr>
              <w:pStyle w:val="P68B1DB1-ListParagraph25"/>
              <w:autoSpaceDE w:val="0"/>
              <w:autoSpaceDN w:val="0"/>
              <w:adjustRightInd w:val="0"/>
              <w:ind w:left="539"/>
              <w:jc w:val="both"/>
            </w:pPr>
            <w:r>
              <w:t>Същото определение както Z 02.00 (LIAB 1), ред 0510</w:t>
            </w:r>
          </w:p>
          <w:p w14:paraId="7FE1B7A0" w14:textId="77777777" w:rsidR="00FE5D64" w:rsidRDefault="00E40776">
            <w:pPr>
              <w:pStyle w:val="P68B1DB1-TableParagraph24"/>
              <w:spacing w:before="108"/>
              <w:ind w:left="85"/>
              <w:jc w:val="both"/>
            </w:pPr>
            <w:r>
              <w:t>Вътрешногрупови гаранции</w:t>
            </w:r>
          </w:p>
          <w:p w14:paraId="7FE1B7A1" w14:textId="426DD2CE" w:rsidR="00FE5D64" w:rsidRDefault="00E40776">
            <w:pPr>
              <w:pStyle w:val="P68B1DB1-ListParagraph25"/>
              <w:numPr>
                <w:ilvl w:val="0"/>
                <w:numId w:val="55"/>
              </w:numPr>
              <w:autoSpaceDE w:val="0"/>
              <w:autoSpaceDN w:val="0"/>
              <w:adjustRightInd w:val="0"/>
              <w:ind w:left="539" w:hanging="454"/>
              <w:contextualSpacing/>
              <w:jc w:val="both"/>
            </w:pPr>
            <w:r>
              <w:t>Гаранции за емитиране</w:t>
            </w:r>
          </w:p>
          <w:p w14:paraId="7FE1B7A2" w14:textId="77777777" w:rsidR="00FE5D64" w:rsidRDefault="00E40776">
            <w:pPr>
              <w:pStyle w:val="P68B1DB1-ListParagraph25"/>
              <w:autoSpaceDE w:val="0"/>
              <w:autoSpaceDN w:val="0"/>
              <w:adjustRightInd w:val="0"/>
              <w:ind w:left="539"/>
              <w:jc w:val="both"/>
            </w:pPr>
            <w:r>
              <w:t>Гаранции за определени инструменти/задължения, които са емитирани</w:t>
            </w:r>
          </w:p>
          <w:p w14:paraId="7FE1B7A3" w14:textId="71CD6004" w:rsidR="00FE5D64" w:rsidRDefault="00E40776">
            <w:pPr>
              <w:pStyle w:val="P68B1DB1-ListParagraph25"/>
              <w:numPr>
                <w:ilvl w:val="0"/>
                <w:numId w:val="55"/>
              </w:numPr>
              <w:autoSpaceDE w:val="0"/>
              <w:autoSpaceDN w:val="0"/>
              <w:adjustRightInd w:val="0"/>
              <w:ind w:left="539" w:hanging="454"/>
              <w:contextualSpacing/>
              <w:jc w:val="both"/>
            </w:pPr>
            <w:r>
              <w:t>Гаранции от контрагента</w:t>
            </w:r>
          </w:p>
          <w:p w14:paraId="7FE1B7A4" w14:textId="77777777" w:rsidR="00FE5D64" w:rsidRDefault="00E40776">
            <w:pPr>
              <w:pStyle w:val="P68B1DB1-ListParagraph25"/>
              <w:autoSpaceDE w:val="0"/>
              <w:autoSpaceDN w:val="0"/>
              <w:adjustRightInd w:val="0"/>
              <w:ind w:left="539"/>
              <w:jc w:val="both"/>
            </w:pPr>
            <w:r>
              <w:t>Гаранции, дадени на определен контрагент на институцията</w:t>
            </w:r>
          </w:p>
          <w:p w14:paraId="7FE1B7A5" w14:textId="50A984E1" w:rsidR="00FE5D64" w:rsidRDefault="00E40776">
            <w:pPr>
              <w:pStyle w:val="P68B1DB1-ListParagraph25"/>
              <w:numPr>
                <w:ilvl w:val="0"/>
                <w:numId w:val="55"/>
              </w:numPr>
              <w:autoSpaceDE w:val="0"/>
              <w:autoSpaceDN w:val="0"/>
              <w:adjustRightInd w:val="0"/>
              <w:ind w:left="539" w:hanging="454"/>
              <w:contextualSpacing/>
              <w:jc w:val="both"/>
            </w:pPr>
            <w:r>
              <w:t>Неограничени гаранции</w:t>
            </w:r>
          </w:p>
          <w:p w14:paraId="7FE1B7A6" w14:textId="77777777" w:rsidR="00FE5D64" w:rsidRDefault="00E40776">
            <w:pPr>
              <w:pStyle w:val="P68B1DB1-ListParagraph25"/>
              <w:autoSpaceDE w:val="0"/>
              <w:autoSpaceDN w:val="0"/>
              <w:adjustRightInd w:val="0"/>
              <w:ind w:left="539"/>
              <w:jc w:val="both"/>
            </w:pPr>
            <w:r>
              <w:t xml:space="preserve">Общи гаранции, които не са ограничени до фиксирана сума </w:t>
            </w:r>
          </w:p>
          <w:p w14:paraId="7FE1B7A7" w14:textId="391BAF8D" w:rsidR="00FE5D64" w:rsidRDefault="00E40776">
            <w:pPr>
              <w:pStyle w:val="P68B1DB1-ListParagraph25"/>
              <w:numPr>
                <w:ilvl w:val="0"/>
                <w:numId w:val="55"/>
              </w:numPr>
              <w:autoSpaceDE w:val="0"/>
              <w:autoSpaceDN w:val="0"/>
              <w:adjustRightInd w:val="0"/>
              <w:ind w:left="539" w:hanging="454"/>
              <w:contextualSpacing/>
              <w:jc w:val="both"/>
            </w:pPr>
            <w:r>
              <w:t>Други гаранции</w:t>
            </w:r>
          </w:p>
          <w:p w14:paraId="7FE1B7A8" w14:textId="77777777" w:rsidR="00FE5D64" w:rsidRDefault="00E40776">
            <w:pPr>
              <w:pStyle w:val="P68B1DB1-ListParagraph25"/>
              <w:autoSpaceDE w:val="0"/>
              <w:autoSpaceDN w:val="0"/>
              <w:adjustRightInd w:val="0"/>
              <w:ind w:left="539"/>
              <w:jc w:val="both"/>
            </w:pPr>
            <w:r>
              <w:t xml:space="preserve">Всеки вид гаранция, който не спада към предходните видове </w:t>
            </w:r>
          </w:p>
        </w:tc>
      </w:tr>
      <w:tr w:rsidR="00FE5D64"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FE5D64" w:rsidRDefault="00E40776">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FE5D64" w:rsidRDefault="00E40776">
            <w:pPr>
              <w:pStyle w:val="P68B1DB1-TableParagraph14"/>
              <w:spacing w:before="108"/>
              <w:ind w:left="85"/>
              <w:jc w:val="both"/>
              <w:rPr>
                <w:bCs/>
              </w:rPr>
            </w:pPr>
            <w:r>
              <w:t>Непогасена сума</w:t>
            </w:r>
          </w:p>
          <w:p w14:paraId="7FE1B7AC" w14:textId="0BB5F57D" w:rsidR="00FE5D64" w:rsidRDefault="00E40776">
            <w:pPr>
              <w:pStyle w:val="P68B1DB1-TableParagraph17"/>
              <w:spacing w:before="108"/>
              <w:ind w:left="85"/>
              <w:jc w:val="both"/>
            </w:pPr>
            <w:r>
              <w:t>За задълженията в колона 0050 — непогасената сума на вътрешногруповите задължения; за задълженията, произтичащи от деривати — сумите при приключване, определени за целите на образец Z 02.00 (LIAB 1), ред 0333.</w:t>
            </w:r>
          </w:p>
          <w:p w14:paraId="7FE1B7AD" w14:textId="75442B42" w:rsidR="00FE5D64" w:rsidRDefault="00E40776">
            <w:pPr>
              <w:pStyle w:val="P68B1DB1-TableParagraph17"/>
              <w:spacing w:before="108"/>
              <w:ind w:left="85"/>
              <w:jc w:val="both"/>
            </w:pPr>
            <w:r>
              <w:t xml:space="preserve">За гаранциите в колона 0050 — максималният потенциален размер на бъдещите плащания по гаранцията </w:t>
            </w:r>
          </w:p>
        </w:tc>
      </w:tr>
      <w:tr w:rsidR="00FE5D64"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FE5D64" w:rsidRDefault="00E40776">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FE5D64" w:rsidRDefault="00E40776">
            <w:pPr>
              <w:pStyle w:val="P68B1DB1-TableParagraph14"/>
              <w:spacing w:before="108"/>
              <w:ind w:left="85"/>
              <w:jc w:val="both"/>
              <w:rPr>
                <w:bCs/>
              </w:rPr>
            </w:pPr>
            <w:r>
              <w:t>от която емитирана съгласно правото на трета държава</w:t>
            </w:r>
          </w:p>
          <w:p w14:paraId="7FE1B7B1" w14:textId="77777777" w:rsidR="00FE5D64" w:rsidRDefault="00E40776">
            <w:pPr>
              <w:pStyle w:val="P68B1DB1-TableParagraph13"/>
              <w:spacing w:before="108"/>
              <w:ind w:left="85"/>
              <w:jc w:val="both"/>
              <w:rPr>
                <w:bCs/>
              </w:rPr>
            </w:pPr>
            <w:r>
              <w:t>Делът в парично изражение на непогасената сума, уреждана от правото на трета държава.</w:t>
            </w:r>
          </w:p>
        </w:tc>
      </w:tr>
      <w:tr w:rsidR="00FE5D64"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FE5D64" w:rsidRDefault="00E40776">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FE5D64" w:rsidRDefault="00E40776">
            <w:pPr>
              <w:pStyle w:val="P68B1DB1-TableParagraph14"/>
              <w:spacing w:before="108"/>
              <w:ind w:left="85"/>
              <w:jc w:val="both"/>
              <w:rPr>
                <w:rFonts w:eastAsia="Cambria"/>
              </w:rPr>
            </w:pPr>
            <w:r>
              <w:t>От които: Приемливи съгласно минималното изискване за собствен капитал и приемливи задължения (МИПЗ)</w:t>
            </w:r>
          </w:p>
          <w:p w14:paraId="7FE1B7B5" w14:textId="77777777" w:rsidR="00FE5D64" w:rsidRDefault="00E40776">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Размера на собствените средства и задълженията, приемливи за изпълнение на изискването по член 45 от Директива 2014/59/ЕС в съответствие с член 45д или 45е от посочената директива, според случая.</w:t>
            </w:r>
            <w:r>
              <w:rPr>
                <w:rFonts w:ascii="Times New Roman" w:hAnsi="Times New Roman" w:cs="Times New Roman"/>
              </w:rPr>
              <w:t xml:space="preserve"> </w:t>
            </w:r>
            <w:r>
              <w:rPr>
                <w:rFonts w:ascii="Times New Roman" w:eastAsia="Cambria" w:hAnsi="Times New Roman" w:cs="Times New Roman"/>
                <w:color w:val="000000" w:themeColor="text1"/>
                <w:sz w:val="20"/>
                <w:szCs w:val="20"/>
              </w:rPr>
              <w:t>Докладват се само тези собствени средства и задължения, които отговарят на критериите по член 45б или член 45е, параграф 2 от Директива 2014/59/ЕС, според случая, като се вземат предвид, когато е приложимо, член 89, параграф 2 от ДВПБ и член 55 от ДВПБ.</w:t>
            </w:r>
          </w:p>
        </w:tc>
      </w:tr>
    </w:tbl>
    <w:p w14:paraId="7FE1B7B7" w14:textId="77777777" w:rsidR="00FE5D64" w:rsidRDefault="00FE5D64">
      <w:pPr>
        <w:jc w:val="both"/>
        <w:rPr>
          <w:rFonts w:ascii="Times New Roman" w:hAnsi="Times New Roman" w:cs="Times New Roman"/>
          <w:color w:val="000000" w:themeColor="text1"/>
          <w:sz w:val="20"/>
          <w:szCs w:val="20"/>
        </w:rPr>
      </w:pPr>
    </w:p>
    <w:p w14:paraId="7FE1B7B8" w14:textId="548121DF" w:rsidR="00FE5D64" w:rsidRDefault="00E40776">
      <w:pPr>
        <w:pStyle w:val="P68B1DB1-Instructionsberschrift25"/>
        <w:numPr>
          <w:ilvl w:val="1"/>
          <w:numId w:val="49"/>
        </w:numPr>
        <w:ind w:left="357" w:hanging="357"/>
      </w:pPr>
      <w:bookmarkStart w:id="66" w:name="_Toc492542325"/>
      <w:bookmarkStart w:id="67" w:name="_Toc81454183"/>
      <w:bookmarkStart w:id="68" w:name="_Toc208244457"/>
      <w:r>
        <w:t>Основни контрагенти (LIAB 5—6)</w:t>
      </w:r>
      <w:bookmarkEnd w:id="66"/>
      <w:bookmarkEnd w:id="67"/>
      <w:bookmarkEnd w:id="68"/>
    </w:p>
    <w:p w14:paraId="7FE1B7B9" w14:textId="77777777" w:rsidR="00FE5D64" w:rsidRDefault="00E40776">
      <w:pPr>
        <w:pStyle w:val="Instructionsberschrift3"/>
      </w:pPr>
      <w:r>
        <w:t>Общи бележки</w:t>
      </w:r>
    </w:p>
    <w:p w14:paraId="7FE1B7BA" w14:textId="77777777" w:rsidR="00FE5D64" w:rsidRDefault="00E40776">
      <w:pPr>
        <w:pStyle w:val="P68B1DB1-InstructionsText26"/>
        <w:numPr>
          <w:ilvl w:val="0"/>
          <w:numId w:val="232"/>
        </w:numPr>
        <w:spacing w:before="0"/>
      </w:pPr>
      <w:r>
        <w:t>С тези образци се събира информация за задълженията към основните контрагенти (Z 05.01) и за задбалансовите позиции, получени от основни контрагенти (Z 05.02). Докладваните стойности се агрегират, когато принадлежат към един и същ контрагент и към един и същ вид задължения или задбалансови позиции.</w:t>
      </w:r>
    </w:p>
    <w:p w14:paraId="7FE1B7BB" w14:textId="77777777" w:rsidR="00FE5D64" w:rsidRDefault="00E40776">
      <w:pPr>
        <w:pStyle w:val="P68B1DB1-InstructionsText26"/>
        <w:numPr>
          <w:ilvl w:val="0"/>
          <w:numId w:val="232"/>
        </w:numPr>
        <w:spacing w:before="0"/>
      </w:pPr>
      <w:r>
        <w:t>Задълженията и задбалансовите позиции, за които контрагентът не може да се установи, не се докладват в тези образци. Задължения и задбалансови позиции, за които контрагентът е субект, включен в консолидираните финансови отчети, не се отчитат.</w:t>
      </w:r>
    </w:p>
    <w:p w14:paraId="7FE1B7BC" w14:textId="04BE316A" w:rsidR="00FE5D64" w:rsidRDefault="00FE5D64">
      <w:pPr>
        <w:pStyle w:val="InstructionsText2"/>
        <w:numPr>
          <w:ilvl w:val="0"/>
          <w:numId w:val="0"/>
        </w:numPr>
        <w:spacing w:before="0"/>
        <w:ind w:left="753" w:hanging="720"/>
        <w:rPr>
          <w:rFonts w:ascii="Times New Roman" w:hAnsi="Times New Roman" w:cs="Times New Roman"/>
          <w:sz w:val="20"/>
          <w:szCs w:val="20"/>
        </w:rPr>
      </w:pPr>
    </w:p>
    <w:p w14:paraId="7FE1B7BD" w14:textId="77777777" w:rsidR="00FE5D64" w:rsidRDefault="00E40776">
      <w:pPr>
        <w:pStyle w:val="P68B1DB1-Instructionsberschrift25"/>
        <w:numPr>
          <w:ilvl w:val="1"/>
          <w:numId w:val="49"/>
        </w:numPr>
        <w:ind w:left="357" w:hanging="357"/>
      </w:pPr>
      <w:bookmarkStart w:id="69" w:name="_Toc81454184"/>
      <w:bookmarkStart w:id="70" w:name="_Toc208244458"/>
      <w:r>
        <w:t>Z 05.01 — Задължения към основни контрагенти (LIAB 5)</w:t>
      </w:r>
      <w:bookmarkEnd w:id="70"/>
    </w:p>
    <w:p w14:paraId="7FE1B7BE" w14:textId="0F7A6C34" w:rsidR="00FE5D64" w:rsidRDefault="00E40776">
      <w:pPr>
        <w:pStyle w:val="P68B1DB1-body26"/>
      </w:pPr>
      <w:r>
        <w:t>Указания относно определени позиции</w:t>
      </w:r>
      <w:bookmarkEnd w:id="69"/>
    </w:p>
    <w:p w14:paraId="7FE1B7BF" w14:textId="77777777" w:rsidR="00FE5D64" w:rsidRDefault="00E40776">
      <w:pPr>
        <w:pStyle w:val="P68B1DB1-InstructionsText26"/>
        <w:numPr>
          <w:ilvl w:val="0"/>
          <w:numId w:val="232"/>
        </w:numPr>
        <w:spacing w:before="0"/>
      </w:pPr>
      <w:r>
        <w:lastRenderedPageBreak/>
        <w:t>Комбинацията на стойностите, докладвани в колони 0020 и 0060 от настоящия образец, формира първичен код, който трябва да е собствен за всеки ред от образеца.</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FE5D64"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FE5D64" w:rsidRDefault="00E40776">
            <w:pPr>
              <w:pStyle w:val="P68B1DB1-TableParagraph13"/>
              <w:spacing w:before="66"/>
              <w:rPr>
                <w:rFonts w:eastAsia="Cambria"/>
              </w:rPr>
            </w:pPr>
            <w:r>
              <w:t>Колони</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FE5D64" w:rsidRDefault="00E40776">
            <w:pPr>
              <w:pStyle w:val="P68B1DB1-TableParagraph13"/>
              <w:spacing w:before="66"/>
              <w:ind w:right="1"/>
              <w:jc w:val="center"/>
              <w:rPr>
                <w:rFonts w:eastAsia="Cambria"/>
              </w:rPr>
            </w:pPr>
            <w:r>
              <w:t>Указания</w:t>
            </w:r>
          </w:p>
        </w:tc>
      </w:tr>
      <w:tr w:rsidR="00FE5D64"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FE5D64" w:rsidRDefault="00E40776">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FE5D64" w:rsidRDefault="00E40776">
            <w:pPr>
              <w:pStyle w:val="P68B1DB1-TableParagraph14"/>
              <w:spacing w:before="108"/>
              <w:ind w:left="85"/>
              <w:jc w:val="both"/>
              <w:rPr>
                <w:bCs/>
              </w:rPr>
            </w:pPr>
            <w:r>
              <w:t>Контрагент</w:t>
            </w:r>
          </w:p>
          <w:p w14:paraId="7FE1B7C5" w14:textId="77777777" w:rsidR="00FE5D64" w:rsidRDefault="00E40776">
            <w:pPr>
              <w:pStyle w:val="P68B1DB1-TableParagraph17"/>
              <w:spacing w:before="108"/>
              <w:ind w:left="85"/>
              <w:jc w:val="both"/>
            </w:pPr>
            <w:r>
              <w:t xml:space="preserve">Информация относно основния контрагент, по отношение на когото възниква задължението </w:t>
            </w:r>
          </w:p>
          <w:p w14:paraId="7FE1B7C6" w14:textId="77777777" w:rsidR="00FE5D64" w:rsidRDefault="00E40776">
            <w:pPr>
              <w:pStyle w:val="P68B1DB1-TableParagraph17"/>
              <w:spacing w:before="108"/>
              <w:ind w:left="85"/>
              <w:jc w:val="both"/>
            </w:pPr>
            <w:r>
              <w:t>Основните контрагенти се определят, като се сумират непогасените суми от всички задължения на субекта или групата, за която е отчетът в този образец, към всеки контрагент или група от свързани клиенти, изключвайки задълженията към субекти, включени в консолидираните финансови отчети.</w:t>
            </w:r>
          </w:p>
          <w:p w14:paraId="7FE1B7C7" w14:textId="77777777" w:rsidR="00FE5D64" w:rsidRDefault="00E40776">
            <w:pPr>
              <w:pStyle w:val="P68B1DB1-TableParagraph17"/>
              <w:spacing w:before="108"/>
              <w:ind w:left="85"/>
              <w:jc w:val="both"/>
            </w:pPr>
            <w:r>
              <w:t>След това контрагентите и групите свързани контрагенти се подреждат по размера на общата неизплатена сума, за да се установят 10-те най-големи основни контрагенти, информация за които се предоставя с този образец.</w:t>
            </w:r>
          </w:p>
          <w:p w14:paraId="7FE1B7CB" w14:textId="1879B990" w:rsidR="00FE5D64" w:rsidRDefault="00E40776">
            <w:pPr>
              <w:pStyle w:val="P68B1DB1-TableParagraph17"/>
              <w:spacing w:before="108"/>
              <w:ind w:left="85"/>
              <w:jc w:val="both"/>
              <w:rPr>
                <w:b/>
                <w:bCs/>
              </w:rPr>
            </w:pPr>
            <w:r>
              <w:t xml:space="preserve">Определението за „група от свързани контрагенти„следва определението за „група от свързани клиенти“, посочено в член 4, параграф 1, точка 39 от Регламент (ЕС) № 575/2013. </w:t>
            </w:r>
          </w:p>
        </w:tc>
      </w:tr>
      <w:tr w:rsidR="00FE5D64"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FE5D64" w:rsidRDefault="00E40776">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FE5D64" w:rsidRDefault="00E40776">
            <w:pPr>
              <w:pStyle w:val="P68B1DB1-TableParagraph14"/>
              <w:spacing w:before="108"/>
              <w:ind w:left="85"/>
              <w:jc w:val="both"/>
              <w:rPr>
                <w:bCs/>
              </w:rPr>
            </w:pPr>
            <w:r>
              <w:t>Наименование на субекта</w:t>
            </w:r>
          </w:p>
          <w:p w14:paraId="7FE1B7CF" w14:textId="77777777" w:rsidR="00FE5D64" w:rsidRDefault="00E40776">
            <w:pPr>
              <w:pStyle w:val="P68B1DB1-Normal18"/>
              <w:spacing w:before="108"/>
              <w:ind w:left="85"/>
              <w:jc w:val="both"/>
            </w:pPr>
            <w:r>
              <w:t>Наименование на основния контрагент или където е приложимо — наименование на група свързани клиенти.</w:t>
            </w:r>
          </w:p>
          <w:p w14:paraId="7FE1B7D0" w14:textId="77777777" w:rsidR="00FE5D64" w:rsidRDefault="00E40776">
            <w:pPr>
              <w:pStyle w:val="P68B1DB1-TableParagraph17"/>
              <w:spacing w:before="108"/>
              <w:ind w:left="85"/>
              <w:jc w:val="both"/>
            </w:pPr>
            <w:r>
              <w:t>Наименованието на група свързани клиенти е наименованието на дружеството майка или когато групата свързани клиенти няма дружество майка — търговското наименование на групата.</w:t>
            </w:r>
          </w:p>
        </w:tc>
      </w:tr>
      <w:tr w:rsidR="00FE5D64"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FE5D64" w:rsidRDefault="00E40776">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FE5D64" w:rsidRDefault="00E40776">
            <w:pPr>
              <w:pStyle w:val="P68B1DB1-TableParagraph14"/>
              <w:spacing w:before="108"/>
              <w:ind w:left="85"/>
              <w:jc w:val="both"/>
              <w:rPr>
                <w:bCs/>
              </w:rPr>
            </w:pPr>
            <w:r>
              <w:t>Осемцифров код по ХС</w:t>
            </w:r>
          </w:p>
          <w:p w14:paraId="188AB748" w14:textId="77777777" w:rsidR="00FE5D64" w:rsidRDefault="00E40776">
            <w:pPr>
              <w:pStyle w:val="P68B1DB1-TableParagraph17"/>
              <w:spacing w:before="108"/>
            </w:pPr>
            <w:r>
              <w:t xml:space="preserve">Кодът на основния контрагент или на групата свързани клиенти. </w:t>
            </w:r>
          </w:p>
          <w:p w14:paraId="0DD02B7A" w14:textId="4FE17D24" w:rsidR="00FE5D64" w:rsidRDefault="00E40776">
            <w:pPr>
              <w:pStyle w:val="P68B1DB1-TableParagraph13"/>
              <w:spacing w:before="108"/>
              <w:rPr>
                <w:bCs/>
              </w:rPr>
            </w:pPr>
            <w:r>
              <w:t>За институции с идентификационен код на правния субект (ИКПС) — 20-цифреният буквено-цифров ИКПС;</w:t>
            </w:r>
          </w:p>
          <w:p w14:paraId="7FE1B7D4" w14:textId="10D08A5A" w:rsidR="00FE5D64" w:rsidRDefault="00E40776">
            <w:pPr>
              <w:pStyle w:val="P68B1DB1-TableParagraph13"/>
              <w:spacing w:before="108"/>
              <w:jc w:val="both"/>
              <w:rPr>
                <w:rFonts w:eastAsia="Cambria"/>
              </w:rPr>
            </w:pPr>
            <w:r>
              <w:t>Ако не е наличен, се използва кодът на ПФИ или код по единна кодификация, приложима в Съюза.</w:t>
            </w:r>
          </w:p>
          <w:p w14:paraId="7FE1B7D5" w14:textId="77777777" w:rsidR="00FE5D64" w:rsidRDefault="00E40776">
            <w:pPr>
              <w:pStyle w:val="P68B1DB1-TableParagraph17"/>
              <w:spacing w:before="108"/>
              <w:ind w:left="85"/>
              <w:jc w:val="both"/>
            </w:pPr>
            <w:r>
              <w:t>Кодът е собствен и се използва последователно във всички образци.</w:t>
            </w:r>
          </w:p>
        </w:tc>
      </w:tr>
      <w:tr w:rsidR="00FE5D64"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FE5D64" w:rsidRDefault="00E40776">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FE5D64" w:rsidRDefault="00E40776">
            <w:pPr>
              <w:pStyle w:val="P68B1DB1-TableParagraph14"/>
              <w:spacing w:before="108"/>
              <w:ind w:left="85"/>
              <w:jc w:val="both"/>
              <w:rPr>
                <w:bCs/>
              </w:rPr>
            </w:pPr>
            <w:r>
              <w:t>Вид код</w:t>
            </w:r>
          </w:p>
          <w:p w14:paraId="2BEBBD8E" w14:textId="55A001F3" w:rsidR="00FE5D64" w:rsidRDefault="00E40776">
            <w:pPr>
              <w:pStyle w:val="P68B1DB1-TableParagraph13"/>
              <w:spacing w:before="108"/>
              <w:rPr>
                <w:bCs/>
              </w:rPr>
            </w:pPr>
            <w:r>
              <w:t>Избира се измежду следните варианти: „ИКПС „, „Код на ПФИ„или „Вид идентификатор, различен от ИКПС или код на ПФИ“.</w:t>
            </w:r>
          </w:p>
          <w:p w14:paraId="5CA49443" w14:textId="30D8A3AF" w:rsidR="00FE5D64" w:rsidRDefault="00E40776">
            <w:pPr>
              <w:pStyle w:val="P68B1DB1-TableParagraph13"/>
              <w:spacing w:before="108" w:line="276" w:lineRule="auto"/>
              <w:ind w:left="85"/>
              <w:jc w:val="both"/>
              <w:rPr>
                <w:color w:val="000000"/>
              </w:rPr>
            </w:pPr>
            <w:r>
              <w:t>Идентифицирането на субектите се извършва по последователен начин във всички образци.</w:t>
            </w:r>
          </w:p>
          <w:p w14:paraId="7FE1B7DA" w14:textId="4204707F" w:rsidR="00FE5D64" w:rsidRDefault="00FE5D64">
            <w:pPr>
              <w:pStyle w:val="TableParagraph"/>
              <w:spacing w:before="108"/>
              <w:rPr>
                <w:rFonts w:ascii="Times New Roman" w:hAnsi="Times New Roman" w:cs="Times New Roman"/>
                <w:color w:val="000000" w:themeColor="text1"/>
                <w:sz w:val="20"/>
                <w:szCs w:val="20"/>
              </w:rPr>
            </w:pPr>
          </w:p>
        </w:tc>
      </w:tr>
      <w:tr w:rsidR="00FE5D64"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FE5D64" w:rsidRDefault="00E40776">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FE5D64" w:rsidRDefault="00E40776">
            <w:pPr>
              <w:pStyle w:val="P68B1DB1-TableParagraph14"/>
              <w:spacing w:before="108"/>
              <w:ind w:left="85"/>
              <w:jc w:val="both"/>
              <w:rPr>
                <w:bCs/>
              </w:rPr>
            </w:pPr>
            <w:r>
              <w:t>Група или отделен клиент</w:t>
            </w:r>
          </w:p>
          <w:p w14:paraId="4E4D0057" w14:textId="77777777" w:rsidR="00FE5D64" w:rsidRDefault="00E40776">
            <w:pPr>
              <w:pStyle w:val="P68B1DB1-Normal18"/>
              <w:ind w:left="85"/>
            </w:pPr>
            <w:r>
              <w:t>Институцията докладва:</w:t>
            </w:r>
          </w:p>
          <w:p w14:paraId="0242F822" w14:textId="5242FFA2" w:rsidR="00FE5D64" w:rsidRDefault="00E40776">
            <w:pPr>
              <w:pStyle w:val="P68B1DB1-ListParagraph25"/>
              <w:numPr>
                <w:ilvl w:val="0"/>
                <w:numId w:val="297"/>
              </w:numPr>
            </w:pPr>
            <w:r>
              <w:t>Отделни контрагенти</w:t>
            </w:r>
          </w:p>
          <w:p w14:paraId="7FE1B7DE" w14:textId="6F55D54C" w:rsidR="00FE5D64" w:rsidRDefault="00E40776">
            <w:pPr>
              <w:pStyle w:val="P68B1DB1-ListParagraph25"/>
              <w:numPr>
                <w:ilvl w:val="0"/>
                <w:numId w:val="297"/>
              </w:numPr>
            </w:pPr>
            <w:r>
              <w:t>Групи от свързани клиенти.</w:t>
            </w:r>
          </w:p>
        </w:tc>
      </w:tr>
      <w:tr w:rsidR="00FE5D64"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FE5D64" w:rsidRDefault="00E40776">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FE5D64" w:rsidRDefault="00E40776">
            <w:pPr>
              <w:pStyle w:val="P68B1DB1-TableParagraph14"/>
              <w:spacing w:before="108"/>
              <w:ind w:left="85"/>
              <w:jc w:val="both"/>
              <w:rPr>
                <w:bCs/>
              </w:rPr>
            </w:pPr>
            <w:r>
              <w:t>Държава</w:t>
            </w:r>
          </w:p>
          <w:p w14:paraId="7FE1B7E2" w14:textId="77777777" w:rsidR="00FE5D64" w:rsidRDefault="00E40776">
            <w:pPr>
              <w:pStyle w:val="P68B1DB1-Normal18"/>
              <w:spacing w:before="108"/>
              <w:ind w:left="85"/>
              <w:contextualSpacing/>
              <w:jc w:val="both"/>
            </w:pPr>
            <w:r>
              <w:t xml:space="preserve">Кодът на държавата (по ISO 3166—1-alpha-2) на учредяване на контрагента. Това включва псевдокодовете по ISO за международните организации, публикувани в последното издание на наръчника на Евростат относно платежния баланс. </w:t>
            </w:r>
          </w:p>
          <w:p w14:paraId="7FE1B7E3" w14:textId="77777777" w:rsidR="00FE5D64" w:rsidRDefault="00E40776">
            <w:pPr>
              <w:pStyle w:val="P68B1DB1-TableParagraph17"/>
              <w:spacing w:before="108"/>
              <w:ind w:left="85"/>
              <w:jc w:val="both"/>
            </w:pPr>
            <w:r>
              <w:t xml:space="preserve">Държавата се определя според местоположението на седалището на контрагента. За групите свързани клиенти това е държавата на учредяване на дружеството майка. </w:t>
            </w:r>
          </w:p>
        </w:tc>
      </w:tr>
      <w:tr w:rsidR="00FE5D64"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FE5D64" w:rsidRDefault="00E40776">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FE5D64" w:rsidRDefault="00E40776">
            <w:pPr>
              <w:pStyle w:val="P68B1DB1-TableParagraph14"/>
              <w:spacing w:before="108"/>
              <w:ind w:left="85"/>
              <w:jc w:val="both"/>
              <w:rPr>
                <w:bCs/>
              </w:rPr>
            </w:pPr>
            <w:r>
              <w:t>Сектор</w:t>
            </w:r>
          </w:p>
          <w:p w14:paraId="7FE1B7E7" w14:textId="77777777" w:rsidR="00FE5D64" w:rsidRDefault="00E40776">
            <w:pPr>
              <w:pStyle w:val="P68B1DB1-TableParagraph17"/>
              <w:spacing w:before="108"/>
              <w:ind w:left="85"/>
              <w:jc w:val="both"/>
            </w:pPr>
            <w:r>
              <w:lastRenderedPageBreak/>
              <w:t>Всеки контрагент се разпределя в отделен икономически сектор според класовете икономически сектори съгласно FINREP (FINREP, приложение V, част 1, глава 6):</w:t>
            </w:r>
          </w:p>
          <w:p w14:paraId="7FE1B7E8" w14:textId="77777777" w:rsidR="00FE5D64" w:rsidRDefault="00E40776">
            <w:pPr>
              <w:pStyle w:val="P68B1DB1-List127"/>
              <w:numPr>
                <w:ilvl w:val="0"/>
                <w:numId w:val="64"/>
              </w:numPr>
            </w:pPr>
            <w:r>
              <w:t>Централни банки;</w:t>
            </w:r>
          </w:p>
          <w:p w14:paraId="7FE1B7E9" w14:textId="77777777" w:rsidR="00FE5D64" w:rsidRDefault="00E40776">
            <w:pPr>
              <w:pStyle w:val="P68B1DB1-List127"/>
              <w:numPr>
                <w:ilvl w:val="0"/>
                <w:numId w:val="64"/>
              </w:numPr>
            </w:pPr>
            <w:r>
              <w:t>Сектор „Държавно управление“</w:t>
            </w:r>
          </w:p>
          <w:p w14:paraId="7FE1B7EA" w14:textId="77777777" w:rsidR="00FE5D64" w:rsidRDefault="00E40776">
            <w:pPr>
              <w:pStyle w:val="P68B1DB1-List127"/>
              <w:numPr>
                <w:ilvl w:val="0"/>
                <w:numId w:val="64"/>
              </w:numPr>
            </w:pPr>
            <w:r>
              <w:t xml:space="preserve">Кредитни институции: </w:t>
            </w:r>
          </w:p>
          <w:p w14:paraId="7FE1B7EB" w14:textId="77777777" w:rsidR="00FE5D64" w:rsidRDefault="00E40776">
            <w:pPr>
              <w:pStyle w:val="P68B1DB1-List127"/>
              <w:numPr>
                <w:ilvl w:val="0"/>
                <w:numId w:val="64"/>
              </w:numPr>
            </w:pPr>
            <w:r>
              <w:t>Други финансови предприятия</w:t>
            </w:r>
          </w:p>
          <w:p w14:paraId="7FE1B7EC" w14:textId="77777777" w:rsidR="00FE5D64" w:rsidRDefault="00E40776">
            <w:pPr>
              <w:pStyle w:val="P68B1DB1-List127"/>
              <w:numPr>
                <w:ilvl w:val="0"/>
                <w:numId w:val="64"/>
              </w:numPr>
            </w:pPr>
            <w:r>
              <w:t>Нефинансови предприятия</w:t>
            </w:r>
          </w:p>
          <w:p w14:paraId="7FE1B7ED" w14:textId="77777777" w:rsidR="00FE5D64" w:rsidRDefault="00E40776">
            <w:pPr>
              <w:pStyle w:val="P68B1DB1-List127"/>
              <w:numPr>
                <w:ilvl w:val="0"/>
                <w:numId w:val="64"/>
              </w:numPr>
            </w:pPr>
            <w:r>
              <w:t>Домакинства</w:t>
            </w:r>
          </w:p>
          <w:p w14:paraId="7FE1B7EE" w14:textId="77777777" w:rsidR="00FE5D64" w:rsidRDefault="00E40776">
            <w:pPr>
              <w:pStyle w:val="P68B1DB1-TableParagraph17"/>
              <w:spacing w:before="108"/>
              <w:ind w:left="85"/>
              <w:jc w:val="both"/>
            </w:pPr>
            <w:r>
              <w:t>За групи от свързани клиенти не се посочва сектор.</w:t>
            </w:r>
          </w:p>
        </w:tc>
      </w:tr>
      <w:tr w:rsidR="00FE5D64"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FE5D64" w:rsidRDefault="00E40776">
            <w:pPr>
              <w:pStyle w:val="P68B1DB1-TableParagraph17"/>
              <w:spacing w:before="108"/>
              <w:ind w:left="85"/>
              <w:jc w:val="both"/>
            </w:pPr>
            <w:r>
              <w:lastRenderedPageBreak/>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FE5D64" w:rsidRDefault="00E40776">
            <w:pPr>
              <w:pStyle w:val="P68B1DB1-TableParagraph14"/>
              <w:spacing w:before="108"/>
              <w:ind w:left="85"/>
              <w:jc w:val="both"/>
              <w:rPr>
                <w:bCs/>
              </w:rPr>
            </w:pPr>
            <w:r>
              <w:t>Вид</w:t>
            </w:r>
          </w:p>
          <w:p w14:paraId="7FE1B7F2" w14:textId="43CE2DD3" w:rsidR="00FE5D64" w:rsidRDefault="00E40776">
            <w:pPr>
              <w:pStyle w:val="P68B1DB1-Normal18"/>
              <w:spacing w:before="108"/>
              <w:ind w:left="85"/>
              <w:jc w:val="both"/>
            </w:pPr>
            <w:r>
              <w:t>Видът задължение е един от видовете задължения, изброени в образец 02.00 — Структура на задълженията (LIAB 1), а именно:</w:t>
            </w:r>
          </w:p>
          <w:p w14:paraId="7FE1B7F3" w14:textId="4AE4B095" w:rsidR="00FE5D64" w:rsidRDefault="00E40776">
            <w:pPr>
              <w:pStyle w:val="P68B1DB1-ListParagraph25"/>
              <w:numPr>
                <w:ilvl w:val="0"/>
                <w:numId w:val="298"/>
              </w:numPr>
              <w:spacing w:before="108"/>
              <w:jc w:val="both"/>
            </w:pPr>
            <w:r>
              <w:t>Задължения, изключени от поделянето на загуби;</w:t>
            </w:r>
          </w:p>
          <w:p w14:paraId="7FE1B7F4" w14:textId="4257143A" w:rsidR="00FE5D64" w:rsidRDefault="00E40776">
            <w:pPr>
              <w:pStyle w:val="P68B1DB1-ListParagraph25"/>
              <w:numPr>
                <w:ilvl w:val="0"/>
                <w:numId w:val="298"/>
              </w:numPr>
              <w:spacing w:before="108"/>
              <w:jc w:val="both"/>
            </w:pPr>
            <w:r>
              <w:t>Депозити, които не са гарантирани, но са привилегировани</w:t>
            </w:r>
          </w:p>
          <w:p w14:paraId="7FE1B7F5" w14:textId="21AFD595" w:rsidR="00FE5D64" w:rsidRDefault="00E40776">
            <w:pPr>
              <w:pStyle w:val="P68B1DB1-ListParagraph25"/>
              <w:numPr>
                <w:ilvl w:val="0"/>
                <w:numId w:val="298"/>
              </w:numPr>
              <w:spacing w:before="108"/>
              <w:jc w:val="both"/>
            </w:pPr>
            <w:r>
              <w:t>Депозити, които не са гарантирани и не са привилегировани</w:t>
            </w:r>
          </w:p>
          <w:p w14:paraId="7FE1B7F6" w14:textId="71A166CE" w:rsidR="00FE5D64" w:rsidRDefault="00E40776">
            <w:pPr>
              <w:pStyle w:val="P68B1DB1-ListParagraph25"/>
              <w:numPr>
                <w:ilvl w:val="0"/>
                <w:numId w:val="298"/>
              </w:numPr>
              <w:spacing w:before="108"/>
              <w:jc w:val="both"/>
            </w:pPr>
            <w:r>
              <w:t>Задължения, произтичащи от деривати;</w:t>
            </w:r>
          </w:p>
          <w:p w14:paraId="7FE1B7F7" w14:textId="57F1D715" w:rsidR="00FE5D64" w:rsidRDefault="00E40776">
            <w:pPr>
              <w:pStyle w:val="P68B1DB1-ListParagraph25"/>
              <w:numPr>
                <w:ilvl w:val="0"/>
                <w:numId w:val="298"/>
              </w:numPr>
              <w:spacing w:before="108"/>
              <w:jc w:val="both"/>
            </w:pPr>
            <w:r>
              <w:t>Негарантирани обезпечени задължения</w:t>
            </w:r>
          </w:p>
          <w:p w14:paraId="7FE1B7F8" w14:textId="73D53058" w:rsidR="00FE5D64" w:rsidRDefault="00E40776">
            <w:pPr>
              <w:pStyle w:val="P68B1DB1-ListParagraph25"/>
              <w:numPr>
                <w:ilvl w:val="0"/>
                <w:numId w:val="298"/>
              </w:numPr>
              <w:spacing w:before="108"/>
              <w:jc w:val="both"/>
            </w:pPr>
            <w:r>
              <w:t>Структурирани облигации</w:t>
            </w:r>
          </w:p>
          <w:p w14:paraId="7FE1B7F9" w14:textId="54AC9980" w:rsidR="00FE5D64" w:rsidRDefault="00E40776">
            <w:pPr>
              <w:pStyle w:val="P68B1DB1-ListParagraph25"/>
              <w:numPr>
                <w:ilvl w:val="0"/>
                <w:numId w:val="298"/>
              </w:numPr>
              <w:spacing w:before="108"/>
              <w:jc w:val="both"/>
            </w:pPr>
            <w:r>
              <w:t>Първостепенни необезпечени задължения</w:t>
            </w:r>
          </w:p>
          <w:p w14:paraId="7FE1B7FA" w14:textId="7C89B550" w:rsidR="00FE5D64" w:rsidRDefault="00E40776">
            <w:pPr>
              <w:pStyle w:val="P68B1DB1-ListParagraph25"/>
              <w:numPr>
                <w:ilvl w:val="0"/>
                <w:numId w:val="298"/>
              </w:numPr>
              <w:spacing w:before="108"/>
              <w:jc w:val="both"/>
            </w:pPr>
            <w:r>
              <w:t>Непривилегировани първостепенни задължения;</w:t>
            </w:r>
          </w:p>
          <w:p w14:paraId="7FE1B7FB" w14:textId="49FDBAE5" w:rsidR="00FE5D64" w:rsidRDefault="00E40776">
            <w:pPr>
              <w:pStyle w:val="P68B1DB1-ListParagraph25"/>
              <w:numPr>
                <w:ilvl w:val="0"/>
                <w:numId w:val="298"/>
              </w:numPr>
              <w:spacing w:before="108"/>
              <w:jc w:val="both"/>
            </w:pPr>
            <w:r>
              <w:t>Непривилегировани задължения (които не са признати за собствени средства)</w:t>
            </w:r>
          </w:p>
          <w:p w14:paraId="7FE1B7FC" w14:textId="25F7AE59" w:rsidR="00FE5D64" w:rsidRDefault="00E40776">
            <w:pPr>
              <w:pStyle w:val="P68B1DB1-ListParagraph25"/>
              <w:numPr>
                <w:ilvl w:val="0"/>
                <w:numId w:val="298"/>
              </w:numPr>
              <w:spacing w:before="108"/>
              <w:jc w:val="both"/>
            </w:pPr>
            <w:r>
              <w:t>Други приемливи задължения съгласно минималното изискване за собствен капитал и приемливи задължения (МИПЗ)</w:t>
            </w:r>
          </w:p>
          <w:p w14:paraId="7FE1B7FD" w14:textId="29E846ED" w:rsidR="00FE5D64" w:rsidRDefault="00E40776">
            <w:pPr>
              <w:pStyle w:val="P68B1DB1-ListParagraph25"/>
              <w:numPr>
                <w:ilvl w:val="0"/>
                <w:numId w:val="298"/>
              </w:numPr>
              <w:spacing w:before="108"/>
              <w:jc w:val="both"/>
            </w:pPr>
            <w:r>
              <w:t>Нефинансови задължения</w:t>
            </w:r>
          </w:p>
          <w:p w14:paraId="7FE1B7FE" w14:textId="4EF5CD96" w:rsidR="00FE5D64" w:rsidRDefault="00E40776">
            <w:pPr>
              <w:pStyle w:val="P68B1DB1-ListParagraph25"/>
              <w:numPr>
                <w:ilvl w:val="0"/>
                <w:numId w:val="298"/>
              </w:numPr>
              <w:spacing w:before="108"/>
              <w:jc w:val="both"/>
            </w:pPr>
            <w:r>
              <w:t>Остатъчни задължения</w:t>
            </w:r>
          </w:p>
          <w:p w14:paraId="7FE1B7FF" w14:textId="77777777" w:rsidR="00FE5D64" w:rsidRDefault="00E40776">
            <w:pPr>
              <w:pStyle w:val="P68B1DB1-TableParagraph17"/>
              <w:spacing w:before="108"/>
              <w:ind w:left="85"/>
              <w:jc w:val="both"/>
            </w:pPr>
            <w:r>
              <w:t>Ако задълженията към основен контрагент се състоят от повече от един от посочените по-горе видове, всеки вид задължение се отчита на отделен ред.</w:t>
            </w:r>
          </w:p>
        </w:tc>
      </w:tr>
      <w:tr w:rsidR="00FE5D64"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FE5D64" w:rsidRDefault="00E40776">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FE5D64" w:rsidRDefault="00E40776">
            <w:pPr>
              <w:pStyle w:val="P68B1DB1-TableParagraph14"/>
              <w:spacing w:before="108"/>
              <w:ind w:left="85"/>
              <w:jc w:val="both"/>
              <w:rPr>
                <w:bCs/>
              </w:rPr>
            </w:pPr>
            <w:r>
              <w:t>Сума</w:t>
            </w:r>
          </w:p>
          <w:p w14:paraId="7FE1B803" w14:textId="46DCC504" w:rsidR="00FE5D64" w:rsidRDefault="00E40776">
            <w:pPr>
              <w:pStyle w:val="P68B1DB1-TableParagraph17"/>
              <w:spacing w:before="108"/>
              <w:ind w:left="85"/>
              <w:jc w:val="both"/>
            </w:pPr>
            <w:r>
              <w:t>Сумата се равнява на определението за „неизплатена сума“, както се изисква в образеца Z 03.00 — Структура на задълженията. В случай на задължения, произтичащи от деривати, се отчитат сумите при приключване, определени за целите на образец Z 02.00, ред 0333 (LIAB 1).</w:t>
            </w:r>
          </w:p>
        </w:tc>
      </w:tr>
    </w:tbl>
    <w:p w14:paraId="7FE1B805" w14:textId="77777777" w:rsidR="00FE5D64" w:rsidRDefault="00FE5D64">
      <w:pPr>
        <w:pStyle w:val="body"/>
        <w:rPr>
          <w:rFonts w:ascii="Times New Roman" w:hAnsi="Times New Roman" w:cs="Times New Roman"/>
          <w:color w:val="000000" w:themeColor="text1"/>
          <w:sz w:val="20"/>
          <w:szCs w:val="20"/>
        </w:rPr>
      </w:pPr>
    </w:p>
    <w:p w14:paraId="7FE1B806" w14:textId="1E7EF5E9" w:rsidR="00FE5D64" w:rsidRDefault="00E40776">
      <w:pPr>
        <w:pStyle w:val="P68B1DB1-Instructionsberschrift25"/>
        <w:numPr>
          <w:ilvl w:val="1"/>
          <w:numId w:val="49"/>
        </w:numPr>
        <w:ind w:left="357" w:hanging="357"/>
      </w:pPr>
      <w:bookmarkStart w:id="71" w:name="_Toc81454185"/>
      <w:bookmarkStart w:id="72" w:name="_Toc208244459"/>
      <w:r>
        <w:t>Z 05.02 — Извънбалансови позиции от основни контрагенти (LIAB 6)</w:t>
      </w:r>
      <w:bookmarkEnd w:id="72"/>
    </w:p>
    <w:p w14:paraId="7FE1B807" w14:textId="77777777" w:rsidR="00FE5D64" w:rsidRDefault="00E40776">
      <w:pPr>
        <w:pStyle w:val="P68B1DB1-body26"/>
      </w:pPr>
      <w:r>
        <w:t>Указания относно определени позиции</w:t>
      </w:r>
      <w:bookmarkEnd w:id="71"/>
    </w:p>
    <w:p w14:paraId="7FE1B808" w14:textId="77777777" w:rsidR="00FE5D64" w:rsidRDefault="00E40776">
      <w:pPr>
        <w:pStyle w:val="P68B1DB1-InstructionsText26"/>
        <w:numPr>
          <w:ilvl w:val="0"/>
          <w:numId w:val="232"/>
        </w:numPr>
        <w:spacing w:before="0"/>
      </w:pPr>
      <w:r>
        <w:t>Комбинацията на стойностите, докладвани в колони 0020 и 0060 от настоящия образец, формира първичен код, който трябва да е собствен за всеки ред от образеца.</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FE5D64"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FE5D64" w:rsidRDefault="00E40776">
            <w:pPr>
              <w:pStyle w:val="P68B1DB1-TableParagraph17"/>
              <w:spacing w:before="108"/>
              <w:ind w:left="85"/>
              <w:jc w:val="both"/>
            </w:pPr>
            <w:r>
              <w:t>Колони</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FE5D64" w:rsidRDefault="00E40776">
            <w:pPr>
              <w:pStyle w:val="P68B1DB1-TableParagraph17"/>
              <w:spacing w:before="108"/>
              <w:ind w:left="85" w:right="1"/>
              <w:jc w:val="both"/>
            </w:pPr>
            <w:r>
              <w:t>Указания</w:t>
            </w:r>
          </w:p>
        </w:tc>
      </w:tr>
      <w:tr w:rsidR="00FE5D64"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FE5D64" w:rsidRDefault="00E40776">
            <w:pPr>
              <w:pStyle w:val="P68B1DB1-TableParagraph17"/>
              <w:spacing w:before="108"/>
              <w:ind w:left="85"/>
              <w:jc w:val="both"/>
            </w:pPr>
            <w:r>
              <w:t>0010—</w:t>
            </w:r>
            <w:r>
              <w:lastRenderedPageBreak/>
              <w:t>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FE5D64" w:rsidRDefault="00E40776">
            <w:pPr>
              <w:pStyle w:val="P68B1DB1-TableParagraph14"/>
              <w:spacing w:before="108"/>
              <w:ind w:left="85"/>
              <w:jc w:val="both"/>
              <w:rPr>
                <w:bCs/>
              </w:rPr>
            </w:pPr>
            <w:r>
              <w:lastRenderedPageBreak/>
              <w:t>Контрагент</w:t>
            </w:r>
          </w:p>
          <w:p w14:paraId="7FE1B80E" w14:textId="77777777" w:rsidR="00FE5D64" w:rsidRDefault="00E40776">
            <w:pPr>
              <w:pStyle w:val="P68B1DB1-TableParagraph17"/>
              <w:spacing w:before="108"/>
              <w:ind w:left="85"/>
              <w:jc w:val="both"/>
            </w:pPr>
            <w:r>
              <w:lastRenderedPageBreak/>
              <w:t>Информация за основните контрагенти при задбалансовите позиции.</w:t>
            </w:r>
          </w:p>
          <w:p w14:paraId="7FE1B80F" w14:textId="77777777" w:rsidR="00FE5D64" w:rsidRDefault="00E40776">
            <w:pPr>
              <w:pStyle w:val="P68B1DB1-TableParagraph17"/>
              <w:spacing w:before="108"/>
              <w:ind w:left="85"/>
              <w:jc w:val="both"/>
            </w:pPr>
            <w:r>
              <w:t>Основните контрагенти при задбалансовите позиции се определят, като се съберат общите номинални стойности на поетите задължения и финансовите гаранции (съгласно определеното за целите на FINREP, образец F 09), които субектът или субектите в групата, за които се предоставя информация с настоящия образец, са получили от контрагенти или от група свързани клиенти. От основните контрагенти при задбалансовите позиции се изключват субектите, включени в консолидираните финансови отчети. След това контрагентите и гр</w:t>
            </w:r>
            <w:r>
              <w:t>упите свързани клиенти се подреждат по обща стойност, за да се установят 10-те най-големи основни контрагенти при задбалансовите позиции, информация за които се предоставя с настоящия образец.</w:t>
            </w:r>
          </w:p>
          <w:p w14:paraId="7FE1B810" w14:textId="0F5F36E1" w:rsidR="00FE5D64" w:rsidRDefault="00E40776">
            <w:pPr>
              <w:pStyle w:val="P68B1DB1-Normal18"/>
              <w:spacing w:line="257" w:lineRule="auto"/>
              <w:ind w:left="25"/>
              <w:jc w:val="both"/>
            </w:pPr>
            <w:r>
              <w:t>Дериватите не трябва да се включват в десетте най-високи нива, описани по-горе: тук се отчита отделен списък на 5-те най-големи контрагенти по задбалансови деривати, за да се избегне отчитането Z 05.02 да съдържа само салдата по деривати.</w:t>
            </w:r>
          </w:p>
          <w:p w14:paraId="7FE1B812" w14:textId="5E923404" w:rsidR="00FE5D64" w:rsidRDefault="00FE5D64">
            <w:pPr>
              <w:pStyle w:val="TableParagraph"/>
              <w:spacing w:before="108"/>
              <w:jc w:val="both"/>
              <w:rPr>
                <w:rFonts w:ascii="Times New Roman" w:eastAsia="Cambria" w:hAnsi="Times New Roman" w:cs="Times New Roman"/>
                <w:color w:val="000000" w:themeColor="text1"/>
                <w:sz w:val="20"/>
                <w:szCs w:val="20"/>
              </w:rPr>
            </w:pPr>
          </w:p>
        </w:tc>
      </w:tr>
      <w:tr w:rsidR="00FE5D64"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FE5D64" w:rsidRDefault="00E40776">
            <w:pPr>
              <w:pStyle w:val="P68B1DB1-TableParagraph17"/>
              <w:spacing w:before="108"/>
              <w:ind w:left="85"/>
              <w:jc w:val="both"/>
            </w:pPr>
            <w:r>
              <w:lastRenderedPageBreak/>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FE5D64" w:rsidRDefault="00E40776">
            <w:pPr>
              <w:pStyle w:val="P68B1DB1-TableParagraph14"/>
              <w:spacing w:before="108"/>
              <w:ind w:left="85"/>
              <w:jc w:val="both"/>
              <w:rPr>
                <w:bCs/>
              </w:rPr>
            </w:pPr>
            <w:r>
              <w:t>Наименование на субекта</w:t>
            </w:r>
          </w:p>
          <w:p w14:paraId="7FE1B816" w14:textId="77777777" w:rsidR="00FE5D64" w:rsidRDefault="00E40776">
            <w:pPr>
              <w:pStyle w:val="P68B1DB1-Normal18"/>
              <w:spacing w:before="108"/>
              <w:ind w:left="85"/>
              <w:jc w:val="both"/>
            </w:pPr>
            <w:r>
              <w:t>Наименование на основния контрагент или където е приложимо — наименование на група свързани клиенти.</w:t>
            </w:r>
          </w:p>
          <w:p w14:paraId="7FE1B817" w14:textId="29E2618F" w:rsidR="00FE5D64" w:rsidRDefault="00E40776">
            <w:pPr>
              <w:pStyle w:val="P68B1DB1-TableParagraph17"/>
              <w:spacing w:before="108"/>
              <w:ind w:left="85"/>
              <w:jc w:val="both"/>
            </w:pPr>
            <w:r>
              <w:t>Наименованието на група свързани клиенти е наименованието на дружеството майка или когато групата свързани клиенти няма дружество майка — търговското наименование на групата.</w:t>
            </w:r>
          </w:p>
        </w:tc>
      </w:tr>
      <w:tr w:rsidR="00FE5D64"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FE5D64" w:rsidRDefault="00E40776">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FE5D64" w:rsidRDefault="00E40776">
            <w:pPr>
              <w:pStyle w:val="P68B1DB1-TableParagraph14"/>
              <w:spacing w:before="108"/>
              <w:ind w:left="85"/>
              <w:jc w:val="both"/>
              <w:rPr>
                <w:bCs/>
              </w:rPr>
            </w:pPr>
            <w:r>
              <w:t>Осемцифров код по ХС</w:t>
            </w:r>
          </w:p>
          <w:p w14:paraId="7FE1B81B" w14:textId="77777777" w:rsidR="00FE5D64" w:rsidRDefault="00E40776">
            <w:pPr>
              <w:pStyle w:val="P68B1DB1-TableParagraph17"/>
              <w:spacing w:before="108"/>
              <w:ind w:left="85"/>
              <w:jc w:val="both"/>
            </w:pPr>
            <w:r>
              <w:t>Кодът на основния контрагент или на групата свързани клиенти. За институциите кодът е 20-знаковият буквено-цифров ИКПС. За други субекти кодът е 20-знаковият буквено-цифров ИКПС; или ако такъв не е наличен — код съгласно уеднаквената кодификация, приложима в Съюза, а ако няма такъв — национален код.</w:t>
            </w:r>
          </w:p>
          <w:p w14:paraId="7FE1B81C" w14:textId="6CC57833" w:rsidR="00FE5D64" w:rsidRDefault="00E40776">
            <w:pPr>
              <w:pStyle w:val="P68B1DB1-TableParagraph17"/>
              <w:spacing w:before="108"/>
              <w:ind w:left="85"/>
              <w:jc w:val="both"/>
            </w:pPr>
            <w:r>
              <w:t>Кодът е собствен и се използва последователно във всички образци.</w:t>
            </w:r>
          </w:p>
        </w:tc>
      </w:tr>
      <w:tr w:rsidR="00FE5D64"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FE5D64" w:rsidRDefault="00E40776">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FE5D64" w:rsidRDefault="00E40776">
            <w:pPr>
              <w:pStyle w:val="P68B1DB1-TableParagraph14"/>
              <w:spacing w:before="108"/>
              <w:ind w:left="85"/>
              <w:jc w:val="both"/>
              <w:rPr>
                <w:bCs/>
              </w:rPr>
            </w:pPr>
            <w:r>
              <w:t>Вид код</w:t>
            </w:r>
          </w:p>
          <w:p w14:paraId="7FE1B821" w14:textId="6020ACA4" w:rsidR="00FE5D64" w:rsidRDefault="00E40776">
            <w:pPr>
              <w:pStyle w:val="P68B1DB1-TableParagraph13"/>
              <w:spacing w:before="108"/>
            </w:pPr>
            <w:r>
              <w:t>Избира се измежду следните варианти: „ИКПС „, „Код на ПФИ„или „Вид идентификатор, различен от ИКПС или код на ПФИ“.</w:t>
            </w:r>
          </w:p>
          <w:p w14:paraId="7FE1B822" w14:textId="77777777" w:rsidR="00FE5D64" w:rsidRDefault="00E40776">
            <w:pPr>
              <w:pStyle w:val="P68B1DB1-TableParagraph13"/>
              <w:spacing w:before="108"/>
              <w:ind w:left="85"/>
              <w:jc w:val="both"/>
              <w:rPr>
                <w:b/>
                <w:bCs/>
              </w:rPr>
            </w:pPr>
            <w:r>
              <w:t>Идентифицирането на субектите се извършва по последователен начин във всички образци.</w:t>
            </w:r>
          </w:p>
        </w:tc>
      </w:tr>
      <w:tr w:rsidR="00FE5D64"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FE5D64" w:rsidRDefault="00E40776">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FE5D64" w:rsidRDefault="00E40776">
            <w:pPr>
              <w:pStyle w:val="P68B1DB1-TableParagraph14"/>
              <w:spacing w:before="108"/>
              <w:ind w:left="85"/>
              <w:jc w:val="both"/>
              <w:rPr>
                <w:bCs/>
              </w:rPr>
            </w:pPr>
            <w:r>
              <w:t>Група или отделен клиент</w:t>
            </w:r>
          </w:p>
          <w:p w14:paraId="2E0A09DE" w14:textId="77777777" w:rsidR="00FE5D64" w:rsidRDefault="00E40776">
            <w:pPr>
              <w:pStyle w:val="P68B1DB1-Normal18"/>
              <w:ind w:left="85"/>
            </w:pPr>
            <w:r>
              <w:t>Институцията докладва:</w:t>
            </w:r>
          </w:p>
          <w:p w14:paraId="52295733" w14:textId="77777777" w:rsidR="00FE5D64" w:rsidRDefault="00E40776">
            <w:pPr>
              <w:pStyle w:val="P68B1DB1-ListParagraph25"/>
              <w:numPr>
                <w:ilvl w:val="0"/>
                <w:numId w:val="297"/>
              </w:numPr>
            </w:pPr>
            <w:r>
              <w:t>Отделни контрагенти</w:t>
            </w:r>
          </w:p>
          <w:p w14:paraId="7FE1B826" w14:textId="76B98F2C" w:rsidR="00FE5D64" w:rsidRDefault="00E40776">
            <w:pPr>
              <w:pStyle w:val="P68B1DB1-TableParagraph17"/>
              <w:numPr>
                <w:ilvl w:val="0"/>
                <w:numId w:val="297"/>
              </w:numPr>
              <w:spacing w:before="108"/>
              <w:jc w:val="both"/>
            </w:pPr>
            <w:r>
              <w:t>Групи от свързани клиенти.</w:t>
            </w:r>
          </w:p>
        </w:tc>
      </w:tr>
      <w:tr w:rsidR="00FE5D64"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FE5D64" w:rsidRDefault="00E40776">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FE5D64" w:rsidRDefault="00E40776">
            <w:pPr>
              <w:pStyle w:val="P68B1DB1-TableParagraph14"/>
              <w:spacing w:before="108"/>
              <w:ind w:left="85"/>
              <w:jc w:val="both"/>
              <w:rPr>
                <w:bCs/>
              </w:rPr>
            </w:pPr>
            <w:r>
              <w:t>Държава</w:t>
            </w:r>
          </w:p>
          <w:p w14:paraId="7FE1B82A" w14:textId="77777777" w:rsidR="00FE5D64" w:rsidRDefault="00E40776">
            <w:pPr>
              <w:pStyle w:val="P68B1DB1-Normal18"/>
              <w:spacing w:before="108"/>
              <w:ind w:left="85"/>
              <w:contextualSpacing/>
              <w:jc w:val="both"/>
            </w:pPr>
            <w:r>
              <w:t xml:space="preserve">Кодът на държавата (по ISO 3166—1-alpha-2) на учредяване на контрагента. Това включва псевдокодовете по ISO за международните организации, публикувани в последното издание на наръчника на Евростат относно платежния баланс. </w:t>
            </w:r>
          </w:p>
          <w:p w14:paraId="7FE1B82B" w14:textId="47B683FE" w:rsidR="00FE5D64" w:rsidRDefault="00E40776">
            <w:pPr>
              <w:pStyle w:val="P68B1DB1-TableParagraph17"/>
              <w:spacing w:before="108"/>
              <w:ind w:left="85"/>
              <w:jc w:val="both"/>
            </w:pPr>
            <w:r>
              <w:t>Държавата се определя според местоположението на седалището на контрагента. За групите свързани клиенти това е държавата на учредяване на дружеството майка.</w:t>
            </w:r>
          </w:p>
        </w:tc>
      </w:tr>
      <w:tr w:rsidR="00FE5D64"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FE5D64" w:rsidRDefault="00E40776">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FE5D64" w:rsidRDefault="00E40776">
            <w:pPr>
              <w:pStyle w:val="P68B1DB1-TableParagraph14"/>
              <w:spacing w:before="108"/>
              <w:ind w:left="85"/>
              <w:jc w:val="both"/>
              <w:rPr>
                <w:bCs/>
              </w:rPr>
            </w:pPr>
            <w:r>
              <w:t>Сектор</w:t>
            </w:r>
          </w:p>
          <w:p w14:paraId="7FE1B82F" w14:textId="77777777" w:rsidR="00FE5D64" w:rsidRDefault="00E40776">
            <w:pPr>
              <w:pStyle w:val="P68B1DB1-TableParagraph17"/>
              <w:spacing w:before="108"/>
              <w:ind w:left="85"/>
              <w:jc w:val="both"/>
            </w:pPr>
            <w:r>
              <w:t>Всеки контрагент се разпределя в отделен икономически сектор според класовете икономически сектори съгласно FINREP (FINREP, приложение V, част 1, глава 6):</w:t>
            </w:r>
          </w:p>
          <w:p w14:paraId="7FE1B830" w14:textId="77777777" w:rsidR="00FE5D64" w:rsidRDefault="00E40776">
            <w:pPr>
              <w:pStyle w:val="P68B1DB1-List127"/>
              <w:numPr>
                <w:ilvl w:val="0"/>
                <w:numId w:val="64"/>
              </w:numPr>
            </w:pPr>
            <w:r>
              <w:t>Централни банки;</w:t>
            </w:r>
          </w:p>
          <w:p w14:paraId="7FE1B831" w14:textId="77777777" w:rsidR="00FE5D64" w:rsidRDefault="00E40776">
            <w:pPr>
              <w:pStyle w:val="P68B1DB1-List127"/>
              <w:numPr>
                <w:ilvl w:val="0"/>
                <w:numId w:val="64"/>
              </w:numPr>
            </w:pPr>
            <w:r>
              <w:lastRenderedPageBreak/>
              <w:t>Сектор „Държавно управление“</w:t>
            </w:r>
          </w:p>
          <w:p w14:paraId="7FE1B832" w14:textId="77777777" w:rsidR="00FE5D64" w:rsidRDefault="00E40776">
            <w:pPr>
              <w:pStyle w:val="P68B1DB1-List127"/>
              <w:numPr>
                <w:ilvl w:val="0"/>
                <w:numId w:val="64"/>
              </w:numPr>
            </w:pPr>
            <w:r>
              <w:t xml:space="preserve">Кредитни институции: </w:t>
            </w:r>
          </w:p>
          <w:p w14:paraId="7FE1B833" w14:textId="77777777" w:rsidR="00FE5D64" w:rsidRDefault="00E40776">
            <w:pPr>
              <w:pStyle w:val="P68B1DB1-List127"/>
              <w:numPr>
                <w:ilvl w:val="0"/>
                <w:numId w:val="64"/>
              </w:numPr>
            </w:pPr>
            <w:r>
              <w:t>Други финансови предприятия</w:t>
            </w:r>
          </w:p>
          <w:p w14:paraId="7FE1B834" w14:textId="77777777" w:rsidR="00FE5D64" w:rsidRDefault="00E40776">
            <w:pPr>
              <w:pStyle w:val="P68B1DB1-List127"/>
              <w:numPr>
                <w:ilvl w:val="0"/>
                <w:numId w:val="64"/>
              </w:numPr>
            </w:pPr>
            <w:r>
              <w:t>Нефинансови предприятия</w:t>
            </w:r>
          </w:p>
          <w:p w14:paraId="7FE1B835" w14:textId="77777777" w:rsidR="00FE5D64" w:rsidRDefault="00E40776">
            <w:pPr>
              <w:pStyle w:val="P68B1DB1-List127"/>
              <w:numPr>
                <w:ilvl w:val="0"/>
                <w:numId w:val="64"/>
              </w:numPr>
            </w:pPr>
            <w:r>
              <w:t>Домакинства</w:t>
            </w:r>
          </w:p>
          <w:p w14:paraId="7FE1B836" w14:textId="3FF28E9A" w:rsidR="00FE5D64" w:rsidRDefault="00E40776">
            <w:pPr>
              <w:pStyle w:val="P68B1DB1-TableParagraph17"/>
              <w:spacing w:before="108"/>
              <w:ind w:left="85"/>
              <w:jc w:val="both"/>
            </w:pPr>
            <w:r>
              <w:t>За групи от свързани клиенти не се посочва сектор.</w:t>
            </w:r>
          </w:p>
        </w:tc>
      </w:tr>
      <w:tr w:rsidR="00FE5D64"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FE5D64" w:rsidRDefault="00E40776">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FE5D64" w:rsidRDefault="00E40776">
            <w:pPr>
              <w:pStyle w:val="P68B1DB1-TableParagraph14"/>
              <w:spacing w:before="108"/>
              <w:ind w:left="85"/>
              <w:jc w:val="both"/>
              <w:rPr>
                <w:bCs/>
              </w:rPr>
            </w:pPr>
            <w:r>
              <w:t>Вид</w:t>
            </w:r>
          </w:p>
          <w:p w14:paraId="7FE1B83A" w14:textId="77777777" w:rsidR="00FE5D64" w:rsidRDefault="00E40776">
            <w:pPr>
              <w:pStyle w:val="P68B1DB1-TableParagraph17"/>
              <w:spacing w:before="108"/>
              <w:ind w:left="85"/>
              <w:jc w:val="both"/>
            </w:pPr>
            <w:r>
              <w:t>Видът извънбалансово задължение е един от следните съгласно определението във FINREP, образец F 09.02:</w:t>
            </w:r>
          </w:p>
          <w:p w14:paraId="7FE1B83B" w14:textId="57556FED" w:rsidR="00FE5D64" w:rsidRDefault="00E40776">
            <w:pPr>
              <w:pStyle w:val="P68B1DB1-TableParagraph17"/>
              <w:numPr>
                <w:ilvl w:val="0"/>
                <w:numId w:val="299"/>
              </w:numPr>
              <w:spacing w:before="108"/>
              <w:jc w:val="both"/>
            </w:pPr>
            <w:r>
              <w:t>Получени задължения за кредитиране</w:t>
            </w:r>
          </w:p>
          <w:p w14:paraId="7FE1B83C" w14:textId="03B3C9F7" w:rsidR="00FE5D64" w:rsidRDefault="00E40776">
            <w:pPr>
              <w:pStyle w:val="P68B1DB1-TableParagraph17"/>
              <w:numPr>
                <w:ilvl w:val="0"/>
                <w:numId w:val="299"/>
              </w:numPr>
              <w:spacing w:before="108"/>
              <w:jc w:val="both"/>
            </w:pPr>
            <w:r>
              <w:t>Получени финансови гаранции</w:t>
            </w:r>
          </w:p>
          <w:p w14:paraId="7FE1B83D" w14:textId="2357CDAB" w:rsidR="00FE5D64" w:rsidRDefault="00E40776">
            <w:pPr>
              <w:pStyle w:val="P68B1DB1-TableParagraph17"/>
              <w:numPr>
                <w:ilvl w:val="0"/>
                <w:numId w:val="299"/>
              </w:numPr>
              <w:spacing w:before="108"/>
              <w:jc w:val="both"/>
            </w:pPr>
            <w:r>
              <w:t>Други получени ангажименти</w:t>
            </w:r>
          </w:p>
          <w:p w14:paraId="7FE1B83E" w14:textId="7A79D0CA" w:rsidR="00FE5D64" w:rsidRDefault="00E40776">
            <w:pPr>
              <w:pStyle w:val="P68B1DB1-TableParagraph17"/>
              <w:numPr>
                <w:ilvl w:val="0"/>
                <w:numId w:val="299"/>
              </w:numPr>
              <w:spacing w:before="108"/>
              <w:jc w:val="both"/>
            </w:pPr>
            <w:r>
              <w:t>Деривати</w:t>
            </w:r>
          </w:p>
          <w:p w14:paraId="7FE1B83F" w14:textId="77777777" w:rsidR="00FE5D64" w:rsidRDefault="00E40776">
            <w:pPr>
              <w:pStyle w:val="P68B1DB1-TableParagraph17"/>
              <w:spacing w:before="108"/>
              <w:ind w:left="85"/>
              <w:jc w:val="both"/>
            </w:pPr>
            <w:r>
              <w:t>Ако получените от основен контрагент извънбалансови позиции се състоят от повече от един от посочените по-горе видове, всеки вид извънбалансова позиция се отчита на отделен ред.</w:t>
            </w:r>
          </w:p>
        </w:tc>
      </w:tr>
      <w:tr w:rsidR="00FE5D64"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FE5D64" w:rsidRDefault="00E40776">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FE5D64" w:rsidRDefault="00E40776">
            <w:pPr>
              <w:pStyle w:val="P68B1DB1-TableParagraph14"/>
              <w:spacing w:before="108"/>
              <w:ind w:left="85"/>
              <w:jc w:val="both"/>
              <w:rPr>
                <w:bCs/>
              </w:rPr>
            </w:pPr>
            <w:r>
              <w:t xml:space="preserve">Сума </w:t>
            </w:r>
          </w:p>
          <w:p w14:paraId="7FE1B843" w14:textId="7853FDD0" w:rsidR="00FE5D64" w:rsidRDefault="00E40776">
            <w:pPr>
              <w:pStyle w:val="P68B1DB1-TableParagraph17"/>
              <w:spacing w:before="108"/>
              <w:ind w:left="85"/>
              <w:jc w:val="both"/>
              <w:rPr>
                <w:bCs/>
              </w:rPr>
            </w:pPr>
            <w:r>
              <w:t>Сумата се равнява на определението за „неизплатена сума“, както се изисква в FINREP F 09.02. В случай на задължения, произтичащи от деривати, се отчитат сумите при приключване, определени за целите на образец Z 02.00, ред 0333.</w:t>
            </w:r>
          </w:p>
        </w:tc>
      </w:tr>
    </w:tbl>
    <w:p w14:paraId="7FE1B845" w14:textId="77777777" w:rsidR="00FE5D64" w:rsidRDefault="00FE5D64">
      <w:pPr>
        <w:rPr>
          <w:rFonts w:ascii="Times New Roman" w:hAnsi="Times New Roman" w:cs="Times New Roman"/>
          <w:color w:val="000000" w:themeColor="text1"/>
          <w:sz w:val="20"/>
          <w:szCs w:val="20"/>
        </w:rPr>
      </w:pPr>
    </w:p>
    <w:p w14:paraId="7FE1B846" w14:textId="77777777" w:rsidR="00FE5D64" w:rsidRDefault="00FE5D64">
      <w:pPr>
        <w:rPr>
          <w:rFonts w:ascii="Times New Roman" w:eastAsia="MS Mincho" w:hAnsi="Times New Roman" w:cs="Times New Roman"/>
          <w:color w:val="000000" w:themeColor="text1"/>
          <w:sz w:val="20"/>
          <w:szCs w:val="20"/>
        </w:rPr>
      </w:pPr>
    </w:p>
    <w:p w14:paraId="7FE1B849" w14:textId="5330C525" w:rsidR="00FE5D64" w:rsidRDefault="00E40776">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446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Застраховане на депозитите (LIAB 7)</w:t>
      </w:r>
      <w:bookmarkEnd w:id="95"/>
      <w:bookmarkEnd w:id="96"/>
      <w:bookmarkEnd w:id="97"/>
      <w:bookmarkEnd w:id="98"/>
      <w:bookmarkEnd w:id="99"/>
    </w:p>
    <w:p w14:paraId="7FE1B84A" w14:textId="77777777" w:rsidR="00FE5D64" w:rsidRDefault="00E40776">
      <w:pPr>
        <w:pStyle w:val="Instructionsberschrift3"/>
      </w:pPr>
      <w:r>
        <w:t>Общи бележки</w:t>
      </w:r>
    </w:p>
    <w:p w14:paraId="7FE1B84B" w14:textId="77777777" w:rsidR="00FE5D64" w:rsidRDefault="00E40776">
      <w:pPr>
        <w:pStyle w:val="P68B1DB1-InstructionsText26"/>
        <w:numPr>
          <w:ilvl w:val="0"/>
          <w:numId w:val="71"/>
        </w:numPr>
        <w:spacing w:before="0"/>
        <w:ind w:left="714" w:hanging="357"/>
      </w:pPr>
      <w:r>
        <w:t>Този образец дава общи сведения за застраховането на депозитите в рамките на дадена група и за схемите за гарантиране на депозити, в които участват кредитните институции — съответни правни субекти.</w:t>
      </w:r>
    </w:p>
    <w:p w14:paraId="7FE1B84C" w14:textId="77777777" w:rsidR="00FE5D64" w:rsidRDefault="00E40776">
      <w:pPr>
        <w:pStyle w:val="P68B1DB1-InstructionsText26"/>
        <w:numPr>
          <w:ilvl w:val="0"/>
          <w:numId w:val="71"/>
        </w:numPr>
        <w:spacing w:before="0"/>
        <w:ind w:left="714" w:hanging="357"/>
      </w:pPr>
      <w:r>
        <w:t>Всяка кредитна институция, принадлежаща към групата, се отчита на отделен ред.</w:t>
      </w:r>
    </w:p>
    <w:p w14:paraId="7FE1B84D" w14:textId="77777777" w:rsidR="00FE5D64" w:rsidRDefault="00E40776">
      <w:pPr>
        <w:pStyle w:val="Instructionsberschrift3"/>
        <w:numPr>
          <w:ilvl w:val="0"/>
          <w:numId w:val="0"/>
        </w:numPr>
        <w:ind w:left="720"/>
      </w:pPr>
      <w:r>
        <w:t>Указания относно определени позиции</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E5D64"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FE5D64" w:rsidRDefault="00E40776">
            <w:pPr>
              <w:pStyle w:val="P68B1DB1-TableParagraph17"/>
              <w:spacing w:before="108"/>
              <w:ind w:left="85"/>
              <w:jc w:val="both"/>
            </w:pPr>
            <w: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FE5D64" w:rsidRDefault="00E40776">
            <w:pPr>
              <w:pStyle w:val="P68B1DB1-TableParagraph17"/>
              <w:spacing w:before="108"/>
              <w:ind w:left="85" w:right="1"/>
              <w:jc w:val="both"/>
            </w:pPr>
            <w:r>
              <w:t>Указания</w:t>
            </w:r>
          </w:p>
        </w:tc>
      </w:tr>
      <w:tr w:rsidR="00FE5D64"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FE5D64" w:rsidRDefault="00E40776">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FE5D64" w:rsidRDefault="00E40776">
            <w:pPr>
              <w:pStyle w:val="P68B1DB1-TableParagraph14"/>
              <w:spacing w:before="108"/>
              <w:ind w:left="85"/>
              <w:jc w:val="both"/>
              <w:rPr>
                <w:rFonts w:eastAsia="Cambria"/>
              </w:rPr>
            </w:pPr>
            <w:r>
              <w:t>Правно образувание</w:t>
            </w:r>
          </w:p>
        </w:tc>
      </w:tr>
      <w:tr w:rsidR="00FE5D64"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FE5D64" w:rsidRDefault="00E40776">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FE5D64" w:rsidRDefault="00E40776">
            <w:pPr>
              <w:pStyle w:val="P68B1DB1-TableParagraph14"/>
              <w:spacing w:before="108"/>
              <w:ind w:left="85"/>
              <w:jc w:val="both"/>
              <w:rPr>
                <w:bCs/>
              </w:rPr>
            </w:pPr>
            <w:r>
              <w:t>Наименование на субекта</w:t>
            </w:r>
          </w:p>
          <w:p w14:paraId="7FE1B856" w14:textId="16A1B5FB" w:rsidR="00FE5D64" w:rsidRDefault="00E40776">
            <w:pPr>
              <w:pStyle w:val="P68B1DB1-TableParagraph17"/>
              <w:spacing w:before="108"/>
              <w:ind w:left="85"/>
              <w:jc w:val="both"/>
            </w:pPr>
            <w:r>
              <w:t xml:space="preserve">Наименованието на субекта, както е посочено в Z 01.01 — Юридически лица (ORG 1). </w:t>
            </w:r>
          </w:p>
        </w:tc>
      </w:tr>
      <w:tr w:rsidR="00FE5D64"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FE5D64" w:rsidRDefault="00E40776">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FE5D64" w:rsidRDefault="00E40776">
            <w:pPr>
              <w:pStyle w:val="P68B1DB1-TableParagraph14"/>
              <w:spacing w:before="108"/>
              <w:ind w:left="85"/>
              <w:jc w:val="both"/>
              <w:rPr>
                <w:bCs/>
              </w:rPr>
            </w:pPr>
            <w:r>
              <w:t xml:space="preserve">Осемцифров код по ХС </w:t>
            </w:r>
          </w:p>
          <w:p w14:paraId="7FE1B85A" w14:textId="532EB445" w:rsidR="00FE5D64" w:rsidRDefault="00E40776">
            <w:pPr>
              <w:pStyle w:val="P68B1DB1-TableParagraph17"/>
              <w:spacing w:before="108"/>
              <w:ind w:left="85"/>
              <w:jc w:val="both"/>
            </w:pPr>
            <w:r>
              <w:t>Кодът на субекта, както е посочен в Z 01.01 — Юридически лица (ORG 1).</w:t>
            </w:r>
          </w:p>
          <w:p w14:paraId="7FE1B85B" w14:textId="77777777" w:rsidR="00FE5D64" w:rsidRDefault="00E40776">
            <w:pPr>
              <w:pStyle w:val="P68B1DB1-TableParagraph17"/>
              <w:spacing w:before="108"/>
              <w:ind w:left="85"/>
              <w:jc w:val="both"/>
            </w:pPr>
            <w:r>
              <w:t>Този код представлява идентификатор на реда и трябва да е собствен за всеки ред от образеца.</w:t>
            </w:r>
          </w:p>
        </w:tc>
      </w:tr>
      <w:tr w:rsidR="00FE5D64"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FE5D64" w:rsidRDefault="00E40776">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FE5D64" w:rsidRDefault="00E40776">
            <w:pPr>
              <w:pStyle w:val="P68B1DB1-TableParagraph14"/>
              <w:spacing w:before="108"/>
              <w:ind w:left="85"/>
              <w:jc w:val="both"/>
              <w:rPr>
                <w:bCs/>
              </w:rPr>
            </w:pPr>
            <w:r>
              <w:t>Членство в схема за гарантиране на депозити (СГД)</w:t>
            </w:r>
          </w:p>
        </w:tc>
      </w:tr>
      <w:tr w:rsidR="00FE5D64"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FE5D64" w:rsidRDefault="00E40776">
            <w:pPr>
              <w:pStyle w:val="P68B1DB1-TableParagraph17"/>
              <w:spacing w:before="108"/>
              <w:ind w:left="85"/>
              <w:jc w:val="both"/>
            </w:pPr>
            <w:r>
              <w:lastRenderedPageBreak/>
              <w:t>0030</w:t>
            </w:r>
          </w:p>
        </w:tc>
        <w:tc>
          <w:tcPr>
            <w:tcW w:w="7892" w:type="dxa"/>
            <w:tcBorders>
              <w:top w:val="single" w:sz="4" w:space="0" w:color="1A171C"/>
              <w:left w:val="single" w:sz="4" w:space="0" w:color="1A171C"/>
              <w:bottom w:val="single" w:sz="4" w:space="0" w:color="1A171C"/>
              <w:right w:val="nil"/>
            </w:tcBorders>
          </w:tcPr>
          <w:p w14:paraId="7FE1B861" w14:textId="77777777" w:rsidR="00FE5D64" w:rsidRDefault="00E40776">
            <w:pPr>
              <w:pStyle w:val="P68B1DB1-TableParagraph14"/>
              <w:spacing w:before="108"/>
              <w:ind w:left="85"/>
              <w:jc w:val="both"/>
              <w:rPr>
                <w:bCs/>
              </w:rPr>
            </w:pPr>
            <w:r>
              <w:t>DGS</w:t>
            </w:r>
          </w:p>
          <w:p w14:paraId="7FE1B862" w14:textId="41C69940" w:rsidR="00FE5D64" w:rsidRDefault="00E40776">
            <w:pPr>
              <w:pStyle w:val="P68B1DB1-TableParagraph17"/>
              <w:spacing w:before="108"/>
              <w:ind w:left="85"/>
              <w:jc w:val="both"/>
            </w:pPr>
            <w:r>
              <w:t>Член 4, параграф 3 от Директива 2014/49/ЕС</w:t>
            </w:r>
          </w:p>
          <w:p w14:paraId="7FE1B863" w14:textId="77777777" w:rsidR="00FE5D64" w:rsidRDefault="00E40776">
            <w:pPr>
              <w:pStyle w:val="P68B1DB1-TableParagraph17"/>
              <w:spacing w:before="108"/>
              <w:ind w:left="85"/>
              <w:jc w:val="both"/>
            </w:pPr>
            <w:r>
              <w:t>Названието на официално признатата СГД, в която субектът участва в съответствие с Директива 2014/49/ЕС. Това е СГД в държавата членка, където субектът е учреден, изключвайки други СГД, които в други държави членки може да осигуряват допълнителна защита (допълващо плащане) за клиентите на субекта в клон в тази държава членка. Когато една институция участва в институционална защитна схема, официално призната и за СГД съгласно член 4, параграф 2 от Директива 2014/49/ЕС, названието на СГД е същото като название</w:t>
            </w:r>
            <w:r>
              <w:t>то на институционалната защитна схема на ред 050.</w:t>
            </w:r>
          </w:p>
          <w:p w14:paraId="7FE1B864" w14:textId="77777777" w:rsidR="00FE5D64" w:rsidRDefault="00E40776">
            <w:pPr>
              <w:pStyle w:val="P68B1DB1-TableParagraph17"/>
              <w:spacing w:before="108"/>
              <w:ind w:left="85"/>
              <w:jc w:val="both"/>
            </w:pPr>
            <w:r>
              <w:t>СГД се избира измежду посочените по-долу според държавата на учредяване на субекта:</w:t>
            </w:r>
          </w:p>
          <w:p w14:paraId="7FE1B865" w14:textId="77777777" w:rsidR="00FE5D64" w:rsidRDefault="00E40776">
            <w:pPr>
              <w:pStyle w:val="P68B1DB1-TableParagraph28"/>
              <w:spacing w:before="108"/>
              <w:ind w:left="85"/>
              <w:jc w:val="both"/>
            </w:pPr>
            <w:r>
              <w:t>За Австрия</w:t>
            </w:r>
          </w:p>
          <w:p w14:paraId="7FE1B866" w14:textId="7AF21273" w:rsidR="00FE5D64" w:rsidRDefault="00E40776">
            <w:pPr>
              <w:pStyle w:val="P68B1DB1-TableParagraph17"/>
              <w:numPr>
                <w:ilvl w:val="0"/>
                <w:numId w:val="70"/>
              </w:numPr>
              <w:spacing w:before="108"/>
              <w:jc w:val="both"/>
            </w:pPr>
            <w:r>
              <w:t xml:space="preserve">Einlagensicherung AUSTRIA Ges.m.b.H.“ </w:t>
            </w:r>
          </w:p>
          <w:p w14:paraId="7FE1B867" w14:textId="77777777" w:rsidR="00FE5D64" w:rsidRDefault="00E40776">
            <w:pPr>
              <w:pStyle w:val="P68B1DB1-TableParagraph17"/>
              <w:numPr>
                <w:ilvl w:val="0"/>
                <w:numId w:val="70"/>
              </w:numPr>
              <w:spacing w:before="108"/>
              <w:jc w:val="both"/>
            </w:pPr>
            <w:r>
              <w:t>Sparkassen-Haftungs GmbH</w:t>
            </w:r>
          </w:p>
          <w:p w14:paraId="7FE1B868" w14:textId="77777777" w:rsidR="00FE5D64" w:rsidRDefault="00E40776">
            <w:pPr>
              <w:pStyle w:val="P68B1DB1-TableParagraph17"/>
              <w:numPr>
                <w:ilvl w:val="0"/>
                <w:numId w:val="70"/>
              </w:numPr>
              <w:spacing w:before="108"/>
              <w:jc w:val="both"/>
            </w:pPr>
            <w:r>
              <w:t>Österreichische Raiffeisen-Sicherungseinrichtung eGen</w:t>
            </w:r>
          </w:p>
          <w:p w14:paraId="7FE1B869" w14:textId="77777777" w:rsidR="00FE5D64" w:rsidRDefault="00E40776">
            <w:pPr>
              <w:pStyle w:val="P68B1DB1-TableParagraph28"/>
              <w:spacing w:before="108"/>
              <w:ind w:left="85"/>
              <w:jc w:val="both"/>
            </w:pPr>
            <w:r>
              <w:t>Белгия</w:t>
            </w:r>
          </w:p>
          <w:p w14:paraId="7FE1B86A" w14:textId="77777777" w:rsidR="00FE5D64" w:rsidRDefault="00E40776">
            <w:pPr>
              <w:pStyle w:val="P68B1DB1-TableParagraph17"/>
              <w:numPr>
                <w:ilvl w:val="0"/>
                <w:numId w:val="70"/>
              </w:numPr>
              <w:spacing w:before="108"/>
              <w:jc w:val="both"/>
            </w:pPr>
            <w:r>
              <w:t>Garantiefonds voor financiële diensten/Fonds de garantie pour les services financiers</w:t>
            </w:r>
          </w:p>
          <w:p w14:paraId="7FE1B86B" w14:textId="77777777" w:rsidR="00FE5D64" w:rsidRDefault="00E40776">
            <w:pPr>
              <w:pStyle w:val="P68B1DB1-TableParagraph28"/>
              <w:spacing w:before="108"/>
              <w:ind w:left="85"/>
              <w:jc w:val="both"/>
            </w:pPr>
            <w:r>
              <w:t>България</w:t>
            </w:r>
          </w:p>
          <w:p w14:paraId="7FE1B86C" w14:textId="33BABCB1" w:rsidR="00FE5D64" w:rsidRDefault="00E40776">
            <w:pPr>
              <w:pStyle w:val="P68B1DB1-TableParagraph17"/>
              <w:numPr>
                <w:ilvl w:val="0"/>
                <w:numId w:val="70"/>
              </w:numPr>
              <w:spacing w:before="108"/>
              <w:jc w:val="both"/>
            </w:pPr>
            <w:r>
              <w:t>Фонд за гарантиране на влоговете в банките</w:t>
            </w:r>
          </w:p>
          <w:p w14:paraId="7FE1B86D" w14:textId="77777777" w:rsidR="00FE5D64" w:rsidRDefault="00E40776">
            <w:pPr>
              <w:pStyle w:val="P68B1DB1-TableParagraph28"/>
              <w:spacing w:before="108"/>
              <w:ind w:left="85"/>
              <w:jc w:val="both"/>
            </w:pPr>
            <w:r>
              <w:t>Хърватия</w:t>
            </w:r>
          </w:p>
          <w:p w14:paraId="7FE1B86E" w14:textId="77777777" w:rsidR="00FE5D64" w:rsidRDefault="00E40776">
            <w:pPr>
              <w:pStyle w:val="P68B1DB1-TableParagraph17"/>
              <w:numPr>
                <w:ilvl w:val="0"/>
                <w:numId w:val="70"/>
              </w:numPr>
              <w:spacing w:before="108"/>
              <w:jc w:val="both"/>
            </w:pPr>
            <w:r>
              <w:t>„Hrvatska agencija za osiguranje depozita“</w:t>
            </w:r>
          </w:p>
          <w:p w14:paraId="7FE1B86F" w14:textId="77777777" w:rsidR="00FE5D64" w:rsidRDefault="00E40776">
            <w:pPr>
              <w:pStyle w:val="P68B1DB1-TableParagraph28"/>
              <w:spacing w:before="108"/>
              <w:ind w:left="85"/>
              <w:jc w:val="both"/>
            </w:pPr>
            <w:r>
              <w:t>Кипър</w:t>
            </w:r>
          </w:p>
          <w:p w14:paraId="7FE1B870" w14:textId="77777777" w:rsidR="00FE5D64" w:rsidRDefault="00E40776">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FE5D64" w:rsidRDefault="00E40776">
            <w:pPr>
              <w:pStyle w:val="P68B1DB1-TableParagraph28"/>
              <w:spacing w:before="108"/>
              <w:ind w:left="85"/>
              <w:jc w:val="both"/>
            </w:pPr>
            <w:r>
              <w:t>Чешки</w:t>
            </w:r>
          </w:p>
          <w:p w14:paraId="7FE1B872" w14:textId="77777777" w:rsidR="00FE5D64" w:rsidRDefault="00E40776">
            <w:pPr>
              <w:pStyle w:val="P68B1DB1-TableParagraph17"/>
              <w:numPr>
                <w:ilvl w:val="0"/>
                <w:numId w:val="70"/>
              </w:numPr>
              <w:spacing w:before="108"/>
              <w:jc w:val="both"/>
            </w:pPr>
            <w:r>
              <w:t>Garanční systém finančního trhu</w:t>
            </w:r>
          </w:p>
          <w:p w14:paraId="7FE1B873" w14:textId="77777777" w:rsidR="00FE5D64" w:rsidRDefault="00E40776">
            <w:pPr>
              <w:pStyle w:val="P68B1DB1-TableParagraph28"/>
              <w:spacing w:before="108"/>
              <w:ind w:left="85"/>
              <w:jc w:val="both"/>
            </w:pPr>
            <w:r>
              <w:t>Дания</w:t>
            </w:r>
          </w:p>
          <w:p w14:paraId="7FE1B874" w14:textId="77777777" w:rsidR="00FE5D64" w:rsidRDefault="00E40776">
            <w:pPr>
              <w:pStyle w:val="P68B1DB1-TableParagraph17"/>
              <w:numPr>
                <w:ilvl w:val="0"/>
                <w:numId w:val="70"/>
              </w:numPr>
              <w:spacing w:before="108"/>
              <w:jc w:val="both"/>
            </w:pPr>
            <w:r>
              <w:t>Garantiformuen</w:t>
            </w:r>
          </w:p>
          <w:p w14:paraId="7FE1B875" w14:textId="77777777" w:rsidR="00FE5D64" w:rsidRDefault="00E40776">
            <w:pPr>
              <w:pStyle w:val="P68B1DB1-TableParagraph28"/>
              <w:spacing w:before="108"/>
              <w:ind w:left="85"/>
              <w:jc w:val="both"/>
            </w:pPr>
            <w:r>
              <w:t xml:space="preserve">Естония </w:t>
            </w:r>
          </w:p>
          <w:p w14:paraId="7FE1B876" w14:textId="77777777" w:rsidR="00FE5D64" w:rsidRDefault="00E40776">
            <w:pPr>
              <w:pStyle w:val="P68B1DB1-TableParagraph17"/>
              <w:numPr>
                <w:ilvl w:val="0"/>
                <w:numId w:val="70"/>
              </w:numPr>
              <w:spacing w:before="108"/>
              <w:jc w:val="both"/>
            </w:pPr>
            <w:r>
              <w:t>Tagastisfond</w:t>
            </w:r>
          </w:p>
          <w:p w14:paraId="7FE1B877" w14:textId="77777777" w:rsidR="00FE5D64" w:rsidRDefault="00E40776">
            <w:pPr>
              <w:pStyle w:val="P68B1DB1-TableParagraph28"/>
              <w:spacing w:before="108"/>
              <w:ind w:left="85"/>
              <w:jc w:val="both"/>
            </w:pPr>
            <w:r>
              <w:t xml:space="preserve">Финландия </w:t>
            </w:r>
          </w:p>
          <w:p w14:paraId="7FE1B878" w14:textId="77777777" w:rsidR="00FE5D64" w:rsidRDefault="00E40776">
            <w:pPr>
              <w:pStyle w:val="P68B1DB1-TableParagraph17"/>
              <w:numPr>
                <w:ilvl w:val="0"/>
                <w:numId w:val="70"/>
              </w:numPr>
              <w:spacing w:before="108"/>
              <w:jc w:val="both"/>
            </w:pPr>
            <w:r>
              <w:t>Talletussuojarahasto</w:t>
            </w:r>
          </w:p>
          <w:p w14:paraId="7FE1B879" w14:textId="77777777" w:rsidR="00FE5D64" w:rsidRDefault="00E40776">
            <w:pPr>
              <w:pStyle w:val="P68B1DB1-TableParagraph28"/>
              <w:spacing w:before="108"/>
              <w:ind w:left="85"/>
              <w:jc w:val="both"/>
            </w:pPr>
            <w:r>
              <w:t>Франция</w:t>
            </w:r>
          </w:p>
          <w:p w14:paraId="7FE1B87A" w14:textId="77777777" w:rsidR="00FE5D64" w:rsidRDefault="00E40776">
            <w:pPr>
              <w:pStyle w:val="P68B1DB1-TableParagraph17"/>
              <w:numPr>
                <w:ilvl w:val="0"/>
                <w:numId w:val="70"/>
              </w:numPr>
              <w:spacing w:before="108"/>
              <w:jc w:val="both"/>
            </w:pPr>
            <w:r>
              <w:t>Fonds de Garantie des Dépôts et de Résolution</w:t>
            </w:r>
          </w:p>
          <w:p w14:paraId="7FE1B87B" w14:textId="77777777" w:rsidR="00FE5D64" w:rsidRDefault="00E40776">
            <w:pPr>
              <w:pStyle w:val="P68B1DB1-TableParagraph28"/>
              <w:spacing w:before="108"/>
              <w:ind w:left="85"/>
              <w:jc w:val="both"/>
            </w:pPr>
            <w:r>
              <w:t xml:space="preserve">Германия </w:t>
            </w:r>
          </w:p>
          <w:p w14:paraId="7FE1B87C" w14:textId="77777777" w:rsidR="00FE5D64" w:rsidRDefault="00E40776">
            <w:pPr>
              <w:pStyle w:val="P68B1DB1-TableParagraph17"/>
              <w:numPr>
                <w:ilvl w:val="0"/>
                <w:numId w:val="70"/>
              </w:numPr>
              <w:spacing w:before="108"/>
              <w:jc w:val="both"/>
            </w:pPr>
            <w:r>
              <w:t>Entschädigungseinrichtung deutscher Banken GmbH</w:t>
            </w:r>
          </w:p>
          <w:p w14:paraId="7FE1B87D" w14:textId="77777777" w:rsidR="00FE5D64" w:rsidRDefault="00E40776">
            <w:pPr>
              <w:pStyle w:val="P68B1DB1-TableParagraph17"/>
              <w:numPr>
                <w:ilvl w:val="0"/>
                <w:numId w:val="70"/>
              </w:numPr>
              <w:spacing w:before="108"/>
              <w:jc w:val="both"/>
            </w:pPr>
            <w:r>
              <w:t>Entschädigungseinrichtung des Bundesverbandes Öffentlicher Banken Deutschlands GmbH</w:t>
            </w:r>
          </w:p>
          <w:p w14:paraId="7FE1B87E" w14:textId="77777777" w:rsidR="00FE5D64" w:rsidRDefault="00E40776">
            <w:pPr>
              <w:pStyle w:val="P68B1DB1-TableParagraph17"/>
              <w:numPr>
                <w:ilvl w:val="0"/>
                <w:numId w:val="70"/>
              </w:numPr>
              <w:spacing w:before="108"/>
              <w:jc w:val="both"/>
            </w:pPr>
            <w:r>
              <w:t>Sicherungseinrichtung des Deutschen Sparkassen- und Giroverbandes (DSGV-Haftungsverbund)</w:t>
            </w:r>
          </w:p>
          <w:p w14:paraId="7FE1B87F" w14:textId="77777777" w:rsidR="00FE5D64" w:rsidRDefault="00E40776">
            <w:pPr>
              <w:pStyle w:val="P68B1DB1-TableParagraph17"/>
              <w:numPr>
                <w:ilvl w:val="0"/>
                <w:numId w:val="70"/>
              </w:numPr>
              <w:spacing w:before="108"/>
              <w:jc w:val="both"/>
            </w:pPr>
            <w:r>
              <w:t>BVR Institutssicherung GmbH</w:t>
            </w:r>
          </w:p>
          <w:p w14:paraId="7FE1B882" w14:textId="77777777" w:rsidR="00FE5D64" w:rsidRDefault="00E40776">
            <w:pPr>
              <w:pStyle w:val="P68B1DB1-TableParagraph28"/>
              <w:spacing w:before="108"/>
              <w:ind w:left="85"/>
              <w:jc w:val="both"/>
            </w:pPr>
            <w:r>
              <w:t xml:space="preserve">Гърция </w:t>
            </w:r>
          </w:p>
          <w:p w14:paraId="7FE1B883" w14:textId="77777777" w:rsidR="00FE5D64" w:rsidRDefault="00E40776">
            <w:pPr>
              <w:pStyle w:val="P68B1DB1-TableParagraph17"/>
              <w:numPr>
                <w:ilvl w:val="0"/>
                <w:numId w:val="70"/>
              </w:numPr>
              <w:spacing w:before="108"/>
              <w:jc w:val="both"/>
            </w:pPr>
            <w:r>
              <w:t>Ταμείο Εγγύησης Καταθέσεων και Επενδύσεων</w:t>
            </w:r>
          </w:p>
          <w:p w14:paraId="7FE1B884" w14:textId="77777777" w:rsidR="00FE5D64" w:rsidRDefault="00E40776">
            <w:pPr>
              <w:pStyle w:val="P68B1DB1-TableParagraph28"/>
              <w:spacing w:before="108"/>
              <w:ind w:left="85"/>
              <w:jc w:val="both"/>
            </w:pPr>
            <w:r>
              <w:t xml:space="preserve">Унгария </w:t>
            </w:r>
          </w:p>
          <w:p w14:paraId="7FE1B885" w14:textId="77777777" w:rsidR="00FE5D64" w:rsidRDefault="00E40776">
            <w:pPr>
              <w:pStyle w:val="P68B1DB1-TableParagraph17"/>
              <w:numPr>
                <w:ilvl w:val="0"/>
                <w:numId w:val="70"/>
              </w:numPr>
              <w:spacing w:before="108"/>
              <w:jc w:val="both"/>
            </w:pPr>
            <w:r>
              <w:t>Országos Betétbiztosítási Alap</w:t>
            </w:r>
          </w:p>
          <w:p w14:paraId="7FE1B886" w14:textId="77777777" w:rsidR="00FE5D64" w:rsidRDefault="00E40776">
            <w:pPr>
              <w:pStyle w:val="P68B1DB1-TableParagraph28"/>
              <w:spacing w:before="108"/>
              <w:ind w:left="85"/>
              <w:jc w:val="both"/>
            </w:pPr>
            <w:r>
              <w:lastRenderedPageBreak/>
              <w:t>Исландия</w:t>
            </w:r>
          </w:p>
          <w:p w14:paraId="7FE1B887" w14:textId="44E06D46" w:rsidR="00FE5D64" w:rsidRDefault="00E40776">
            <w:pPr>
              <w:pStyle w:val="P68B1DB1-TableParagraph17"/>
              <w:numPr>
                <w:ilvl w:val="0"/>
                <w:numId w:val="70"/>
              </w:numPr>
              <w:spacing w:before="108"/>
              <w:jc w:val="both"/>
            </w:pPr>
            <w:r>
              <w:t>„Tryggingarsjóður vegna fjármálafyrirtækja“</w:t>
            </w:r>
          </w:p>
          <w:p w14:paraId="7FE1B888" w14:textId="77777777" w:rsidR="00FE5D64" w:rsidRDefault="00E40776">
            <w:pPr>
              <w:pStyle w:val="P68B1DB1-TableParagraph28"/>
              <w:spacing w:before="108"/>
              <w:ind w:left="85"/>
              <w:jc w:val="both"/>
            </w:pPr>
            <w:r>
              <w:t>Ирландия</w:t>
            </w:r>
          </w:p>
          <w:p w14:paraId="7FE1B889" w14:textId="77777777" w:rsidR="00FE5D64" w:rsidRDefault="00E40776">
            <w:pPr>
              <w:pStyle w:val="P68B1DB1-TableParagraph17"/>
              <w:numPr>
                <w:ilvl w:val="0"/>
                <w:numId w:val="70"/>
              </w:numPr>
              <w:spacing w:before="108"/>
              <w:jc w:val="both"/>
            </w:pPr>
            <w:r>
              <w:t>Irish Deposit Protection Scheme</w:t>
            </w:r>
          </w:p>
          <w:p w14:paraId="7FE1B88A" w14:textId="77777777" w:rsidR="00FE5D64" w:rsidRDefault="00E40776">
            <w:pPr>
              <w:pStyle w:val="P68B1DB1-TableParagraph28"/>
              <w:spacing w:before="108"/>
              <w:ind w:left="85"/>
              <w:jc w:val="both"/>
            </w:pPr>
            <w:r>
              <w:t xml:space="preserve">Италия </w:t>
            </w:r>
          </w:p>
          <w:p w14:paraId="7FE1B88B" w14:textId="77777777" w:rsidR="00FE5D64" w:rsidRDefault="00E40776">
            <w:pPr>
              <w:pStyle w:val="P68B1DB1-TableParagraph17"/>
              <w:numPr>
                <w:ilvl w:val="0"/>
                <w:numId w:val="70"/>
              </w:numPr>
              <w:spacing w:before="108"/>
              <w:jc w:val="both"/>
            </w:pPr>
            <w:r>
              <w:t>Fondo Interbancario di Tutela dei Depositi</w:t>
            </w:r>
          </w:p>
          <w:p w14:paraId="7FE1B88C" w14:textId="77777777" w:rsidR="00FE5D64" w:rsidRDefault="00E40776">
            <w:pPr>
              <w:pStyle w:val="P68B1DB1-TableParagraph17"/>
              <w:numPr>
                <w:ilvl w:val="0"/>
                <w:numId w:val="70"/>
              </w:numPr>
              <w:spacing w:before="108"/>
              <w:jc w:val="both"/>
            </w:pPr>
            <w:r>
              <w:t>Fondo di Garanzia dei Depositanti del Credito Cooperativo</w:t>
            </w:r>
          </w:p>
          <w:p w14:paraId="7FE1B88D" w14:textId="77777777" w:rsidR="00FE5D64" w:rsidRDefault="00E40776">
            <w:pPr>
              <w:pStyle w:val="P68B1DB1-TableParagraph28"/>
              <w:spacing w:before="108"/>
              <w:ind w:left="85"/>
              <w:jc w:val="both"/>
            </w:pPr>
            <w:r>
              <w:t>Латвия</w:t>
            </w:r>
          </w:p>
          <w:p w14:paraId="7FE1B88E" w14:textId="77777777" w:rsidR="00FE5D64" w:rsidRDefault="00E40776">
            <w:pPr>
              <w:pStyle w:val="P68B1DB1-TableParagraph17"/>
              <w:numPr>
                <w:ilvl w:val="0"/>
                <w:numId w:val="70"/>
              </w:numPr>
              <w:spacing w:before="108"/>
              <w:jc w:val="both"/>
            </w:pPr>
            <w:r>
              <w:t>Latvijas Noguldījumu garantiju fonds</w:t>
            </w:r>
          </w:p>
          <w:p w14:paraId="7FE1B88F" w14:textId="77777777" w:rsidR="00FE5D64" w:rsidRDefault="00E40776">
            <w:pPr>
              <w:pStyle w:val="P68B1DB1-TableParagraph28"/>
              <w:spacing w:before="108"/>
              <w:ind w:left="85"/>
              <w:jc w:val="both"/>
            </w:pPr>
            <w:r>
              <w:t xml:space="preserve">Лихтенщайн </w:t>
            </w:r>
          </w:p>
          <w:p w14:paraId="7FE1B890" w14:textId="77777777" w:rsidR="00FE5D64" w:rsidRDefault="00E40776">
            <w:pPr>
              <w:pStyle w:val="P68B1DB1-TableParagraph17"/>
              <w:numPr>
                <w:ilvl w:val="0"/>
                <w:numId w:val="70"/>
              </w:numPr>
              <w:spacing w:before="108"/>
              <w:jc w:val="both"/>
            </w:pPr>
            <w:r>
              <w:t>Einlagensicherungs- und Anlegerentschädigungs-Stiftung SV</w:t>
            </w:r>
          </w:p>
          <w:p w14:paraId="7FE1B891" w14:textId="77777777" w:rsidR="00FE5D64" w:rsidRDefault="00E40776">
            <w:pPr>
              <w:pStyle w:val="P68B1DB1-TableParagraph28"/>
              <w:spacing w:before="108"/>
              <w:ind w:left="85"/>
              <w:jc w:val="both"/>
            </w:pPr>
            <w:r>
              <w:t>Литва</w:t>
            </w:r>
          </w:p>
          <w:p w14:paraId="7FE1B892" w14:textId="77777777" w:rsidR="00FE5D64" w:rsidRDefault="00E40776">
            <w:pPr>
              <w:pStyle w:val="P68B1DB1-TableParagraph17"/>
              <w:numPr>
                <w:ilvl w:val="0"/>
                <w:numId w:val="70"/>
              </w:numPr>
              <w:spacing w:before="108"/>
              <w:jc w:val="both"/>
            </w:pPr>
            <w:r>
              <w:t>Indėlių ir investicijų draudimas</w:t>
            </w:r>
          </w:p>
          <w:p w14:paraId="7FE1B893" w14:textId="77777777" w:rsidR="00FE5D64" w:rsidRDefault="00E40776">
            <w:pPr>
              <w:pStyle w:val="P68B1DB1-TableParagraph28"/>
              <w:spacing w:before="108"/>
              <w:ind w:left="85"/>
              <w:jc w:val="both"/>
            </w:pPr>
            <w:r>
              <w:t>Люксембург</w:t>
            </w:r>
          </w:p>
          <w:p w14:paraId="7FE1B894" w14:textId="59F3019A" w:rsidR="00FE5D64" w:rsidRDefault="00E40776">
            <w:pPr>
              <w:pStyle w:val="P68B1DB1-TableParagraph17"/>
              <w:numPr>
                <w:ilvl w:val="0"/>
                <w:numId w:val="70"/>
              </w:numPr>
              <w:spacing w:before="108"/>
              <w:jc w:val="both"/>
            </w:pPr>
            <w:r>
              <w:t>Fonds de garantie des Dépôts Luxembourg</w:t>
            </w:r>
          </w:p>
          <w:p w14:paraId="7FE1B895" w14:textId="77777777" w:rsidR="00FE5D64" w:rsidRDefault="00E40776">
            <w:pPr>
              <w:pStyle w:val="P68B1DB1-TableParagraph28"/>
              <w:spacing w:before="108"/>
              <w:ind w:left="85"/>
              <w:jc w:val="both"/>
            </w:pPr>
            <w:r>
              <w:t>Малта</w:t>
            </w:r>
          </w:p>
          <w:p w14:paraId="7FE1B896" w14:textId="77777777" w:rsidR="00FE5D64" w:rsidRDefault="00E40776">
            <w:pPr>
              <w:pStyle w:val="P68B1DB1-TableParagraph17"/>
              <w:numPr>
                <w:ilvl w:val="0"/>
                <w:numId w:val="70"/>
              </w:numPr>
              <w:spacing w:before="108"/>
              <w:jc w:val="both"/>
            </w:pPr>
            <w:r>
              <w:t>Depositor Compensation Scheme</w:t>
            </w:r>
          </w:p>
          <w:p w14:paraId="7FE1B897" w14:textId="77777777" w:rsidR="00FE5D64" w:rsidRDefault="00E40776">
            <w:pPr>
              <w:pStyle w:val="P68B1DB1-TableParagraph28"/>
              <w:spacing w:before="108"/>
              <w:ind w:left="85"/>
              <w:jc w:val="both"/>
            </w:pPr>
            <w:r>
              <w:t xml:space="preserve">Нидерландия </w:t>
            </w:r>
          </w:p>
          <w:p w14:paraId="7FE1B898" w14:textId="77777777" w:rsidR="00FE5D64" w:rsidRDefault="00E40776">
            <w:pPr>
              <w:pStyle w:val="P68B1DB1-TableParagraph17"/>
              <w:numPr>
                <w:ilvl w:val="0"/>
                <w:numId w:val="70"/>
              </w:numPr>
              <w:spacing w:before="108"/>
              <w:jc w:val="both"/>
            </w:pPr>
            <w:r>
              <w:t>De Nederlandsche Bank, Depositogarantiestelsel</w:t>
            </w:r>
          </w:p>
          <w:p w14:paraId="7FE1B899" w14:textId="77777777" w:rsidR="00FE5D64" w:rsidRDefault="00E40776">
            <w:pPr>
              <w:pStyle w:val="P68B1DB1-TableParagraph28"/>
              <w:spacing w:before="108"/>
              <w:ind w:left="85"/>
              <w:jc w:val="both"/>
            </w:pPr>
            <w:r>
              <w:t>Норвегия</w:t>
            </w:r>
          </w:p>
          <w:p w14:paraId="7FE1B89A" w14:textId="77777777" w:rsidR="00FE5D64" w:rsidRDefault="00E40776">
            <w:pPr>
              <w:pStyle w:val="P68B1DB1-TableParagraph17"/>
              <w:numPr>
                <w:ilvl w:val="0"/>
                <w:numId w:val="70"/>
              </w:numPr>
              <w:spacing w:before="108"/>
              <w:jc w:val="both"/>
            </w:pPr>
            <w:r>
              <w:t>Bankenes sikringsfond</w:t>
            </w:r>
          </w:p>
          <w:p w14:paraId="7FE1B89B" w14:textId="77777777" w:rsidR="00FE5D64" w:rsidRDefault="00E40776">
            <w:pPr>
              <w:pStyle w:val="P68B1DB1-TableParagraph28"/>
              <w:spacing w:before="108"/>
              <w:ind w:left="85"/>
              <w:jc w:val="both"/>
            </w:pPr>
            <w:r>
              <w:t>Полша</w:t>
            </w:r>
          </w:p>
          <w:p w14:paraId="7FE1B89C" w14:textId="77777777" w:rsidR="00FE5D64" w:rsidRDefault="00E40776">
            <w:pPr>
              <w:pStyle w:val="P68B1DB1-TableParagraph17"/>
              <w:numPr>
                <w:ilvl w:val="0"/>
                <w:numId w:val="70"/>
              </w:numPr>
              <w:spacing w:before="108"/>
              <w:jc w:val="both"/>
            </w:pPr>
            <w:r>
              <w:t>Bankowy Fundusz Gwarancyjny</w:t>
            </w:r>
          </w:p>
          <w:p w14:paraId="7FE1B89D" w14:textId="77777777" w:rsidR="00FE5D64" w:rsidRDefault="00E40776">
            <w:pPr>
              <w:pStyle w:val="P68B1DB1-TableParagraph28"/>
              <w:spacing w:before="108"/>
              <w:ind w:left="85"/>
              <w:jc w:val="both"/>
            </w:pPr>
            <w:r>
              <w:t>Португалия</w:t>
            </w:r>
          </w:p>
          <w:p w14:paraId="7FE1B89E" w14:textId="77777777" w:rsidR="00FE5D64" w:rsidRDefault="00E40776">
            <w:pPr>
              <w:pStyle w:val="P68B1DB1-TableParagraph17"/>
              <w:numPr>
                <w:ilvl w:val="0"/>
                <w:numId w:val="70"/>
              </w:numPr>
              <w:spacing w:before="108"/>
              <w:jc w:val="both"/>
            </w:pPr>
            <w:r>
              <w:t>Fundo de Garantia de Depósitos</w:t>
            </w:r>
          </w:p>
          <w:p w14:paraId="7FE1B89F" w14:textId="77777777" w:rsidR="00FE5D64" w:rsidRDefault="00E40776">
            <w:pPr>
              <w:pStyle w:val="P68B1DB1-TableParagraph17"/>
              <w:numPr>
                <w:ilvl w:val="0"/>
                <w:numId w:val="70"/>
              </w:numPr>
              <w:spacing w:before="108"/>
              <w:jc w:val="both"/>
            </w:pPr>
            <w:r>
              <w:t>Fundo de Garantia do Crédito Agrícola Mútuo</w:t>
            </w:r>
          </w:p>
          <w:p w14:paraId="7FE1B8A0" w14:textId="77777777" w:rsidR="00FE5D64" w:rsidRDefault="00E40776">
            <w:pPr>
              <w:pStyle w:val="P68B1DB1-TableParagraph28"/>
              <w:spacing w:before="108"/>
              <w:ind w:left="85"/>
              <w:jc w:val="both"/>
            </w:pPr>
            <w:r>
              <w:t>Румъния</w:t>
            </w:r>
          </w:p>
          <w:p w14:paraId="7FE1B8A1" w14:textId="77777777" w:rsidR="00FE5D64" w:rsidRDefault="00E40776">
            <w:pPr>
              <w:pStyle w:val="P68B1DB1-TableParagraph17"/>
              <w:numPr>
                <w:ilvl w:val="0"/>
                <w:numId w:val="70"/>
              </w:numPr>
              <w:spacing w:before="108"/>
              <w:jc w:val="both"/>
            </w:pPr>
            <w:r>
              <w:t>Fondul de Garantare a Depozitelor in Sistemul Bancar</w:t>
            </w:r>
          </w:p>
          <w:p w14:paraId="7FE1B8A2" w14:textId="77777777" w:rsidR="00FE5D64" w:rsidRDefault="00E40776">
            <w:pPr>
              <w:pStyle w:val="P68B1DB1-TableParagraph28"/>
              <w:spacing w:before="108"/>
              <w:ind w:left="85"/>
              <w:jc w:val="both"/>
            </w:pPr>
            <w:r>
              <w:t>Словакия</w:t>
            </w:r>
          </w:p>
          <w:p w14:paraId="7FE1B8A3" w14:textId="77777777" w:rsidR="00FE5D64" w:rsidRDefault="00E40776">
            <w:pPr>
              <w:pStyle w:val="P68B1DB1-TableParagraph17"/>
              <w:numPr>
                <w:ilvl w:val="0"/>
                <w:numId w:val="70"/>
              </w:numPr>
              <w:spacing w:before="108"/>
              <w:jc w:val="both"/>
            </w:pPr>
            <w:r>
              <w:t>Fond ochrany vkladov</w:t>
            </w:r>
          </w:p>
          <w:p w14:paraId="7FE1B8A4" w14:textId="77777777" w:rsidR="00FE5D64" w:rsidRDefault="00E40776">
            <w:pPr>
              <w:pStyle w:val="P68B1DB1-TableParagraph28"/>
              <w:spacing w:before="108"/>
              <w:ind w:left="85"/>
              <w:jc w:val="both"/>
            </w:pPr>
            <w:r>
              <w:t xml:space="preserve">Словения </w:t>
            </w:r>
          </w:p>
          <w:p w14:paraId="7FE1B8A5" w14:textId="77777777" w:rsidR="00FE5D64" w:rsidRDefault="00E40776">
            <w:pPr>
              <w:pStyle w:val="P68B1DB1-TableParagraph17"/>
              <w:numPr>
                <w:ilvl w:val="0"/>
                <w:numId w:val="70"/>
              </w:numPr>
              <w:spacing w:before="108"/>
              <w:jc w:val="both"/>
            </w:pPr>
            <w:r>
              <w:t>Banka Slovenije</w:t>
            </w:r>
          </w:p>
          <w:p w14:paraId="7FE1B8A6" w14:textId="77777777" w:rsidR="00FE5D64" w:rsidRDefault="00E40776">
            <w:pPr>
              <w:pStyle w:val="P68B1DB1-TableParagraph28"/>
              <w:spacing w:before="108"/>
              <w:ind w:left="85"/>
              <w:jc w:val="both"/>
            </w:pPr>
            <w:r>
              <w:t>Испания</w:t>
            </w:r>
          </w:p>
          <w:p w14:paraId="7FE1B8A7" w14:textId="77777777" w:rsidR="00FE5D64" w:rsidRDefault="00E40776">
            <w:pPr>
              <w:pStyle w:val="P68B1DB1-TableParagraph17"/>
              <w:numPr>
                <w:ilvl w:val="0"/>
                <w:numId w:val="70"/>
              </w:numPr>
              <w:spacing w:before="108"/>
              <w:jc w:val="both"/>
            </w:pPr>
            <w:r>
              <w:t>Fondo de Garantía de Depósitos de Entidades de Crédito</w:t>
            </w:r>
          </w:p>
          <w:p w14:paraId="7FE1B8A8" w14:textId="77777777" w:rsidR="00FE5D64" w:rsidRDefault="00E40776">
            <w:pPr>
              <w:pStyle w:val="P68B1DB1-TableParagraph28"/>
              <w:spacing w:before="108"/>
              <w:ind w:left="85"/>
              <w:jc w:val="both"/>
            </w:pPr>
            <w:r>
              <w:t>Швеция</w:t>
            </w:r>
          </w:p>
          <w:p w14:paraId="7FE1B8A9" w14:textId="77777777" w:rsidR="00FE5D64" w:rsidRDefault="00E40776">
            <w:pPr>
              <w:pStyle w:val="P68B1DB1-TableParagraph17"/>
              <w:numPr>
                <w:ilvl w:val="0"/>
                <w:numId w:val="70"/>
              </w:numPr>
              <w:spacing w:before="108"/>
              <w:jc w:val="both"/>
            </w:pPr>
            <w:r>
              <w:t>Riksgälden</w:t>
            </w:r>
          </w:p>
          <w:p w14:paraId="7FE1B8AC" w14:textId="77777777" w:rsidR="00FE5D64" w:rsidRDefault="00FE5D64">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FE5D64" w:rsidRDefault="00E40776">
            <w:pPr>
              <w:pStyle w:val="P68B1DB1-TableParagraph17"/>
              <w:spacing w:before="108"/>
              <w:ind w:left="85"/>
              <w:jc w:val="both"/>
            </w:pPr>
            <w:r>
              <w:t>Ако официално признатата СГД, в която субектът участва, не е посочена по-горе, се вписва „друга“.</w:t>
            </w:r>
          </w:p>
        </w:tc>
      </w:tr>
      <w:tr w:rsidR="00FE5D64"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FE5D64" w:rsidRDefault="00E40776">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FE5D64" w:rsidRDefault="00E40776">
            <w:pPr>
              <w:pStyle w:val="P68B1DB1-TableParagraph14"/>
              <w:spacing w:before="108"/>
              <w:ind w:left="85"/>
              <w:jc w:val="both"/>
              <w:rPr>
                <w:bCs/>
              </w:rPr>
            </w:pPr>
            <w:r>
              <w:t>Размер на гарантираните депозити</w:t>
            </w:r>
          </w:p>
          <w:p w14:paraId="7FE1B8B1" w14:textId="77777777" w:rsidR="00FE5D64" w:rsidRDefault="00E40776">
            <w:pPr>
              <w:pStyle w:val="P68B1DB1-TableParagraph17"/>
              <w:spacing w:before="108"/>
              <w:ind w:left="85"/>
            </w:pPr>
            <w:r>
              <w:lastRenderedPageBreak/>
              <w:t>Член 2, параграфи 1 и 5 и член 6, параграф 2 от Директива 2014/49/ЕС</w:t>
            </w:r>
          </w:p>
          <w:p w14:paraId="7FE1B8B2" w14:textId="77777777" w:rsidR="00FE5D64" w:rsidRDefault="00E40776">
            <w:pPr>
              <w:pStyle w:val="P68B1DB1-TableParagraph17"/>
              <w:spacing w:before="108"/>
              <w:ind w:left="85"/>
              <w:jc w:val="both"/>
            </w:pPr>
            <w:r>
              <w:t>Сумата на гарантираните депозити съгласно определението в член 2, параграф 1, точка 5, във връзка с член 6 от Директива 2014/49/ЕС, гарантирани по СГД в ред 00030, като се изключат временно високите салда по смисъла на определението в член 6, параграф 2 от същата директива.</w:t>
            </w:r>
          </w:p>
        </w:tc>
      </w:tr>
      <w:tr w:rsidR="00FE5D64"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FE5D64" w:rsidRDefault="00E40776">
            <w:pPr>
              <w:pStyle w:val="P68B1DB1-TableParagraph17"/>
              <w:spacing w:before="108"/>
              <w:ind w:left="85"/>
              <w:jc w:val="both"/>
            </w:pPr>
            <w:r>
              <w:lastRenderedPageBreak/>
              <w:t>0050</w:t>
            </w:r>
          </w:p>
        </w:tc>
        <w:tc>
          <w:tcPr>
            <w:tcW w:w="7892" w:type="dxa"/>
            <w:tcBorders>
              <w:top w:val="single" w:sz="4" w:space="0" w:color="1A171C"/>
              <w:left w:val="single" w:sz="4" w:space="0" w:color="1A171C"/>
              <w:bottom w:val="single" w:sz="4" w:space="0" w:color="1A171C"/>
              <w:right w:val="nil"/>
            </w:tcBorders>
          </w:tcPr>
          <w:p w14:paraId="7FE1B8B5" w14:textId="77777777" w:rsidR="00FE5D64" w:rsidRDefault="00E40776">
            <w:pPr>
              <w:pStyle w:val="P68B1DB1-TableParagraph14"/>
              <w:spacing w:before="108"/>
              <w:ind w:left="85"/>
              <w:jc w:val="both"/>
              <w:rPr>
                <w:bCs/>
              </w:rPr>
            </w:pPr>
            <w:r>
              <w:t>Институционална защитна схема</w:t>
            </w:r>
          </w:p>
          <w:p w14:paraId="7FE1B8B6" w14:textId="77777777" w:rsidR="00FE5D64" w:rsidRDefault="00E40776">
            <w:pPr>
              <w:pStyle w:val="P68B1DB1-TableParagraph17"/>
              <w:spacing w:before="108"/>
              <w:ind w:left="85"/>
            </w:pPr>
            <w:r>
              <w:t>Член 113, параграф 7 от Регламент (ЕС) № 575/2013</w:t>
            </w:r>
          </w:p>
          <w:p w14:paraId="7FE1B8B7" w14:textId="77777777" w:rsidR="00FE5D64" w:rsidRDefault="00E40776">
            <w:pPr>
              <w:pStyle w:val="P68B1DB1-TableParagraph17"/>
              <w:spacing w:before="108"/>
              <w:ind w:left="85"/>
              <w:jc w:val="both"/>
            </w:pPr>
            <w:r>
              <w:t>Наименование на институционалната защитна схема съгласно посоченото в член 113, параграф 7 от Регламент № 575/2013, в която субектът участва. Ако субектът не участва в институционална защитна схема, полето се оставя празно. Ако субектът участва в ИЗС, официално призната като СГД съгласно член 4, параграф 2 от Директива 2014/49/ЕС, названието на ИЗС е същото като на СГД в ред 030.</w:t>
            </w:r>
          </w:p>
          <w:p w14:paraId="7FE1B8B8" w14:textId="77777777" w:rsidR="00FE5D64" w:rsidRDefault="00FE5D64">
            <w:pPr>
              <w:pStyle w:val="TableParagraph"/>
              <w:spacing w:before="108"/>
              <w:ind w:left="85"/>
              <w:jc w:val="both"/>
              <w:rPr>
                <w:rFonts w:ascii="Times New Roman" w:eastAsia="Cambria" w:hAnsi="Times New Roman" w:cs="Times New Roman"/>
                <w:color w:val="000000" w:themeColor="text1"/>
                <w:sz w:val="20"/>
                <w:szCs w:val="20"/>
              </w:rPr>
            </w:pPr>
          </w:p>
        </w:tc>
      </w:tr>
      <w:tr w:rsidR="00FE5D64"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FE5D64" w:rsidRDefault="00E40776">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FE5D64" w:rsidRDefault="00E40776">
            <w:pPr>
              <w:pStyle w:val="P68B1DB1-TableParagraph14"/>
              <w:spacing w:before="108"/>
              <w:ind w:left="85"/>
              <w:jc w:val="both"/>
              <w:rPr>
                <w:bCs/>
              </w:rPr>
            </w:pPr>
            <w:r>
              <w:t>Допълнителна защита съгласно договорно установена схема</w:t>
            </w:r>
          </w:p>
          <w:p w14:paraId="7FE1B8BC" w14:textId="77777777" w:rsidR="00FE5D64" w:rsidRDefault="00E40776">
            <w:pPr>
              <w:pStyle w:val="P68B1DB1-TableParagraph17"/>
              <w:spacing w:before="108"/>
              <w:ind w:left="85"/>
            </w:pPr>
            <w:r>
              <w:t>Член 1, параграф 3, буква а) от Директива 2014/49/ЕС.</w:t>
            </w:r>
          </w:p>
          <w:p w14:paraId="7FE1B8BD" w14:textId="77777777" w:rsidR="00FE5D64" w:rsidRDefault="00E40776">
            <w:pPr>
              <w:pStyle w:val="P68B1DB1-TableParagraph17"/>
              <w:spacing w:before="108"/>
              <w:ind w:left="85"/>
              <w:jc w:val="both"/>
            </w:pPr>
            <w:r>
              <w:t>Сума на депозитите, обхваната от договорно установена схема в рамките на субекта.</w:t>
            </w:r>
          </w:p>
        </w:tc>
      </w:tr>
    </w:tbl>
    <w:p w14:paraId="7FE1B8BF" w14:textId="77777777" w:rsidR="00FE5D64" w:rsidRDefault="00FE5D64">
      <w:pPr>
        <w:rPr>
          <w:rFonts w:ascii="Times New Roman" w:hAnsi="Times New Roman" w:cs="Times New Roman"/>
          <w:b/>
          <w:color w:val="000000" w:themeColor="text1"/>
          <w:sz w:val="20"/>
          <w:szCs w:val="20"/>
          <w:u w:val="single"/>
        </w:rPr>
      </w:pPr>
    </w:p>
    <w:p w14:paraId="7FE1B8C0" w14:textId="77777777" w:rsidR="00FE5D64" w:rsidRDefault="00E40776">
      <w:pPr>
        <w:pStyle w:val="P68B1DB1-Instructionsberschrift25"/>
        <w:numPr>
          <w:ilvl w:val="1"/>
          <w:numId w:val="49"/>
        </w:numPr>
        <w:ind w:left="357" w:hanging="357"/>
      </w:pPr>
      <w:bookmarkStart w:id="100" w:name="_Toc492542327"/>
      <w:bookmarkStart w:id="101" w:name="_Toc81454186"/>
      <w:bookmarkStart w:id="102" w:name="_Toc208244461"/>
      <w:r>
        <w:t>Критични функции и основни стопански дейности</w:t>
      </w:r>
      <w:bookmarkEnd w:id="100"/>
      <w:bookmarkEnd w:id="101"/>
      <w:bookmarkEnd w:id="102"/>
    </w:p>
    <w:p w14:paraId="7FE1B8C2" w14:textId="77777777" w:rsidR="00FE5D64" w:rsidRDefault="00E40776">
      <w:pPr>
        <w:pStyle w:val="Instructionsberschrift3"/>
      </w:pPr>
      <w:bookmarkStart w:id="103" w:name="_Toc189492773"/>
      <w:bookmarkStart w:id="104" w:name="_Toc192249050"/>
      <w:bookmarkEnd w:id="103"/>
      <w:bookmarkEnd w:id="104"/>
      <w:r>
        <w:t>Общи бележки</w:t>
      </w:r>
    </w:p>
    <w:p w14:paraId="7FE1B8C3" w14:textId="249305A0" w:rsidR="00FE5D64" w:rsidRDefault="00E40776">
      <w:pPr>
        <w:pStyle w:val="P68B1DB1-InstructionsText26"/>
        <w:numPr>
          <w:ilvl w:val="0"/>
          <w:numId w:val="232"/>
        </w:numPr>
        <w:spacing w:before="0"/>
      </w:pPr>
      <w:r>
        <w:t>В четирите образци от този раздел се предоставят ключови данни и качествени оценки на въздействието, заменяемостта и критичността на икономическите функции, изпълнявани от групата, допълнени със свързване на тези критични функции с основни стопански дейности и юридически лица и със свързване на основни стопански дейности с юридически лица.</w:t>
      </w:r>
    </w:p>
    <w:p w14:paraId="7FE1B8C4" w14:textId="77777777" w:rsidR="00FE5D64" w:rsidRDefault="00E40776">
      <w:pPr>
        <w:pStyle w:val="P68B1DB1-InstructionsText26"/>
        <w:numPr>
          <w:ilvl w:val="0"/>
          <w:numId w:val="232"/>
        </w:numPr>
        <w:spacing w:before="0"/>
      </w:pPr>
      <w:r>
        <w:t>Образците се отнасят по-специално за следното:</w:t>
      </w:r>
    </w:p>
    <w:p w14:paraId="7FE1B8C5" w14:textId="0233F295" w:rsidR="00FE5D64" w:rsidRDefault="00E40776">
      <w:pPr>
        <w:pStyle w:val="P68B1DB1-InstructionsText26"/>
        <w:numPr>
          <w:ilvl w:val="0"/>
          <w:numId w:val="153"/>
        </w:numPr>
        <w:spacing w:before="0"/>
      </w:pPr>
      <w:r>
        <w:t>Образец Z 07.01 — Оценка на критичността на икономическите функции (FUNC 1) предоставя резултатите от оценката на критичността на икономическите функции, изпълнявани от групата, въз основа на количествени и качествени показатели, изпълняваните некритични и критични функции. Очаква се отделен образец от групата за всяка държава членка, в която групата извършва дейност. За целите на докладването са определени следните категории икономически функции:</w:t>
      </w:r>
    </w:p>
    <w:p w14:paraId="7FE1B8C6" w14:textId="43527C6F" w:rsidR="00FE5D64" w:rsidRDefault="00E40776">
      <w:pPr>
        <w:pStyle w:val="P68B1DB1-InstructionsText26"/>
        <w:numPr>
          <w:ilvl w:val="1"/>
          <w:numId w:val="153"/>
        </w:numPr>
        <w:spacing w:before="0"/>
      </w:pPr>
      <w:r>
        <w:t>Z 07.01.1 Депозити</w:t>
      </w:r>
    </w:p>
    <w:p w14:paraId="7FE1B8C7" w14:textId="46AB6183" w:rsidR="00FE5D64" w:rsidRDefault="00E40776">
      <w:pPr>
        <w:pStyle w:val="P68B1DB1-InstructionsText26"/>
        <w:numPr>
          <w:ilvl w:val="1"/>
          <w:numId w:val="153"/>
        </w:numPr>
        <w:spacing w:before="0"/>
      </w:pPr>
      <w:r>
        <w:t>Z 7.1.2016 г. заема</w:t>
      </w:r>
    </w:p>
    <w:p w14:paraId="7FE1B8C8" w14:textId="284FDD0B" w:rsidR="00FE5D64" w:rsidRDefault="00E40776">
      <w:pPr>
        <w:pStyle w:val="P68B1DB1-InstructionsText26"/>
        <w:numPr>
          <w:ilvl w:val="1"/>
          <w:numId w:val="153"/>
        </w:numPr>
        <w:spacing w:before="0"/>
      </w:pPr>
      <w:r>
        <w:t>Z 07.01.3 Плащания, парични средства, сетълмент, клиринг, попечителство</w:t>
      </w:r>
    </w:p>
    <w:p w14:paraId="7FE1B8C9" w14:textId="12E4110D" w:rsidR="00FE5D64" w:rsidRDefault="00E40776">
      <w:pPr>
        <w:pStyle w:val="P68B1DB1-InstructionsText26"/>
        <w:numPr>
          <w:ilvl w:val="1"/>
          <w:numId w:val="153"/>
        </w:numPr>
        <w:spacing w:before="0"/>
      </w:pPr>
      <w:r>
        <w:t>Z 07.01.4 Капиталови пазари</w:t>
      </w:r>
    </w:p>
    <w:p w14:paraId="7FE1B8CA" w14:textId="02162CC7" w:rsidR="00FE5D64" w:rsidRDefault="00E40776">
      <w:pPr>
        <w:pStyle w:val="P68B1DB1-InstructionsText26"/>
        <w:numPr>
          <w:ilvl w:val="1"/>
          <w:numId w:val="153"/>
        </w:numPr>
        <w:spacing w:before="0"/>
      </w:pPr>
      <w:r>
        <w:t>Z 07.01.5 Финансиране на едро</w:t>
      </w:r>
    </w:p>
    <w:p w14:paraId="7FE1B8CB" w14:textId="006771C1" w:rsidR="00FE5D64" w:rsidRDefault="00E40776">
      <w:pPr>
        <w:pStyle w:val="P68B1DB1-InstructionsText26"/>
        <w:numPr>
          <w:ilvl w:val="0"/>
          <w:numId w:val="153"/>
        </w:numPr>
        <w:spacing w:before="0"/>
      </w:pPr>
      <w:r>
        <w:t>Образец Z 07.02 — Онагледяване на икономическите функции по правни субекти (FUNC 2) описва икономическите функции, оценени в Z 07.01, с правни субекти или международни клонове, както е посочено в Z 01.01.</w:t>
      </w:r>
    </w:p>
    <w:p w14:paraId="7FE1B8CC" w14:textId="0C5FD434" w:rsidR="00FE5D64" w:rsidRDefault="00E40776">
      <w:pPr>
        <w:pStyle w:val="P68B1DB1-InstructionsText26"/>
        <w:numPr>
          <w:ilvl w:val="0"/>
          <w:numId w:val="153"/>
        </w:numPr>
        <w:spacing w:before="0"/>
      </w:pPr>
      <w:r>
        <w:lastRenderedPageBreak/>
        <w:t>Образец Z 07.03 — Онагледяване на основните стопански дейности по правни субекти (FUNC 3) представя пълен списък на основните стопански дейности и разпределението им по правни субекти;</w:t>
      </w:r>
    </w:p>
    <w:p w14:paraId="7FE1B8CD" w14:textId="780FA7AD" w:rsidR="00FE5D64" w:rsidRDefault="00E40776">
      <w:pPr>
        <w:pStyle w:val="P68B1DB1-InstructionsText26"/>
        <w:numPr>
          <w:ilvl w:val="0"/>
          <w:numId w:val="153"/>
        </w:numPr>
        <w:spacing w:before="0"/>
      </w:pPr>
      <w:r>
        <w:t xml:space="preserve">Образец Z 07.04 — Онагледяване на икономическите функции по основни стопански дейности (FUNC 4) представя разпределението на определените икономически функции по стопански дейности. </w:t>
      </w:r>
    </w:p>
    <w:p w14:paraId="7FE1B8CE" w14:textId="0BA07F41" w:rsidR="00FE5D64" w:rsidRDefault="00E40776">
      <w:pPr>
        <w:pStyle w:val="P68B1DB1-InstructionsText26"/>
        <w:numPr>
          <w:ilvl w:val="0"/>
          <w:numId w:val="232"/>
        </w:numPr>
        <w:spacing w:before="0"/>
      </w:pPr>
      <w:r>
        <w:t>Съгласно член 2, параграф 1, точка 35 от Директива 2014/59/ЕС критичните функции включват всички дейности, услуги или операции, чието прекъсване може да доведе в една или повече държави членки до срив в предоставянето на услуги от важно значение за реалната икономика или да наруши финансовата стабилност поради размера, пазарния дял, външната и вътрешната взаимносвързаност, сложността или трансграничните дейности на институцията или групата, от гледна точка по-специално на заменяемостта на тези дейности, усл</w:t>
      </w:r>
      <w:r>
        <w:t xml:space="preserve">уги или операции. </w:t>
      </w:r>
    </w:p>
    <w:p w14:paraId="7FE1B8D0" w14:textId="77777777" w:rsidR="00FE5D64" w:rsidRDefault="00E40776">
      <w:pPr>
        <w:pStyle w:val="P68B1DB1-InstructionsText26"/>
        <w:numPr>
          <w:ilvl w:val="0"/>
          <w:numId w:val="232"/>
        </w:numPr>
        <w:spacing w:before="0"/>
      </w:pPr>
      <w:r>
        <w:t>Съгласно член 6, параграф 1 от Регламент (ЕС) 2016/778 на Комисията</w:t>
      </w:r>
      <w:r>
        <w:footnoteReference w:id="18"/>
      </w:r>
      <w:r>
        <w:t>дадена функция се приема за критична, ако удовлетворява следните две условия:</w:t>
      </w:r>
    </w:p>
    <w:p w14:paraId="7FE1B8D1" w14:textId="77777777" w:rsidR="00FE5D64" w:rsidRDefault="00E40776">
      <w:pPr>
        <w:pStyle w:val="P68B1DB1-Normal3"/>
        <w:numPr>
          <w:ilvl w:val="0"/>
          <w:numId w:val="56"/>
        </w:numPr>
        <w:spacing w:line="276" w:lineRule="auto"/>
        <w:contextualSpacing/>
        <w:jc w:val="both"/>
      </w:pPr>
      <w:r>
        <w:t>функцията се изпълнява от дадена институция за трети лица, които не са свързани с нея или групата; както и</w:t>
      </w:r>
    </w:p>
    <w:p w14:paraId="7FE1B8D2" w14:textId="77777777" w:rsidR="00FE5D64" w:rsidRDefault="00E40776">
      <w:pPr>
        <w:pStyle w:val="P68B1DB1-Normal3"/>
        <w:numPr>
          <w:ilvl w:val="0"/>
          <w:numId w:val="56"/>
        </w:numPr>
        <w:spacing w:line="276" w:lineRule="auto"/>
        <w:contextualSpacing/>
        <w:jc w:val="both"/>
        <w:rPr>
          <w:i/>
        </w:rPr>
      </w:pPr>
      <w:r>
        <w:t>поради системното значение на тази функция за третите лица и системното значение на изпълняващата я институция или група, внезапното прекъсване на функцията би имало съществено неблагоприятно въздействие върху третите лица, би оказало верижен ефект или би подкопало общото доверие на пазарните участници.</w:t>
      </w:r>
    </w:p>
    <w:p w14:paraId="7FE1B8D3" w14:textId="6B4413EC" w:rsidR="00FE5D64" w:rsidRDefault="00E40776">
      <w:pPr>
        <w:pStyle w:val="P68B1DB1-InstructionsText26"/>
        <w:numPr>
          <w:ilvl w:val="0"/>
          <w:numId w:val="232"/>
        </w:numPr>
        <w:spacing w:before="0"/>
      </w:pPr>
      <w:r>
        <w:t>Съгласно член 2, параграф 1, точка 36 от Директива 2014/59/ЕС „основни стопански дейности“ означава стопански дейности и свързани с тях услуги, които представляват съществени източници на доходи или печалба или които имат стойност за целите на франчайзинг за дадена институция или за групата, от която е част дадена институция.</w:t>
      </w:r>
    </w:p>
    <w:p w14:paraId="7FE1B8D4" w14:textId="77777777" w:rsidR="00FE5D64" w:rsidRDefault="00E40776">
      <w:pPr>
        <w:pStyle w:val="P68B1DB1-InstructionsText26"/>
        <w:numPr>
          <w:ilvl w:val="0"/>
          <w:numId w:val="232"/>
        </w:numPr>
        <w:spacing w:before="0"/>
      </w:pPr>
      <w:r>
        <w:t>За целите на този образец икономическите функции се отнасят за функциите, изброени в таблицата по-долу.</w:t>
      </w:r>
    </w:p>
    <w:p w14:paraId="7FE1B8D5" w14:textId="77777777" w:rsidR="00FE5D64" w:rsidRDefault="00E40776">
      <w:pPr>
        <w:pStyle w:val="P68B1DB1-InstructionsText26"/>
        <w:numPr>
          <w:ilvl w:val="0"/>
          <w:numId w:val="232"/>
        </w:numPr>
        <w:spacing w:before="0"/>
      </w:pPr>
      <w:r>
        <w:t>За всяка категория икономически функции може да се посочи икономическа функция „други“, ако тя не е обхваната от останалите предварително определени функции.</w:t>
      </w:r>
    </w:p>
    <w:p w14:paraId="7FE1B8D6" w14:textId="77777777" w:rsidR="00FE5D64" w:rsidRDefault="00E40776">
      <w:pPr>
        <w:pStyle w:val="P68B1DB1-InstructionsText26"/>
        <w:numPr>
          <w:ilvl w:val="0"/>
          <w:numId w:val="232"/>
        </w:numPr>
        <w:spacing w:before="0"/>
      </w:pPr>
      <w:r>
        <w:t>Контрагентите, посочени на редове 0010 до 0070 и редове 0080 до 0150, се определят по същия начин както секторите на контрагентите, както е предвидено във FINREP, приложение V, част 1, глава 6. „МСП“ означава малки и средни предприятия съгласно определението в FINREP, приложение V, част 1, параграф 5, буква и).</w:t>
      </w:r>
    </w:p>
    <w:p w14:paraId="7FE1B8D7" w14:textId="4FEDF533" w:rsidR="00FE5D64" w:rsidRDefault="00E40776">
      <w:pPr>
        <w:pStyle w:val="P68B1DB1-InstructionsText229"/>
        <w:numPr>
          <w:ilvl w:val="0"/>
          <w:numId w:val="0"/>
        </w:numPr>
        <w:rPr>
          <w:sz w:val="20"/>
          <w:szCs w:val="20"/>
        </w:rPr>
      </w:pPr>
      <w:r>
        <w:rPr>
          <w:sz w:val="20"/>
          <w:szCs w:val="20"/>
        </w:rPr>
        <w:t>За всяка от категориите икономически функции се очаква отделен раздел.</w:t>
      </w:r>
      <w:r>
        <w:t xml:space="preserve"> </w:t>
      </w:r>
    </w:p>
    <w:p w14:paraId="072982A7" w14:textId="0688FD4A" w:rsidR="00FE5D64" w:rsidRDefault="00E40776">
      <w:pPr>
        <w:spacing w:after="200" w:line="276" w:lineRule="auto"/>
      </w:pPr>
      <w:r>
        <w:br w:type="page"/>
      </w:r>
    </w:p>
    <w:p w14:paraId="7FE1B95D" w14:textId="634EB818" w:rsidR="00FE5D64" w:rsidRDefault="00FE5D64">
      <w:pPr>
        <w:pStyle w:val="InstructionsText2"/>
        <w:numPr>
          <w:ilvl w:val="0"/>
          <w:numId w:val="0"/>
        </w:numPr>
        <w:rPr>
          <w:rFonts w:ascii="Times New Roman" w:hAnsi="Times New Roman" w:cs="Times New Roman"/>
          <w:color w:val="000000" w:themeColor="text1"/>
        </w:rPr>
      </w:pPr>
    </w:p>
    <w:p w14:paraId="7FE1B95E" w14:textId="77777777" w:rsidR="00FE5D64" w:rsidRDefault="00E40776">
      <w:pPr>
        <w:pStyle w:val="P68B1DB1-Instructionsberschrift25"/>
        <w:numPr>
          <w:ilvl w:val="1"/>
          <w:numId w:val="49"/>
        </w:numPr>
        <w:ind w:left="357" w:hanging="357"/>
      </w:pPr>
      <w:bookmarkStart w:id="105" w:name="_Toc208244462"/>
      <w:r>
        <w:t>Z 07.01 — Оценка на критичността на икономическите функции (FUNC 1)</w:t>
      </w:r>
      <w:bookmarkEnd w:id="105"/>
    </w:p>
    <w:p w14:paraId="7FE1B960" w14:textId="7174EDC4" w:rsidR="00FE5D64" w:rsidRDefault="00E40776">
      <w:pPr>
        <w:pStyle w:val="P68B1DB1-Instructionsberschrift25"/>
      </w:pPr>
      <w:r>
        <w:t xml:space="preserve"> </w:t>
      </w:r>
      <w:bookmarkStart w:id="106" w:name="_Toc172723210"/>
      <w:bookmarkEnd w:id="106"/>
    </w:p>
    <w:p w14:paraId="7FE1B961" w14:textId="77777777" w:rsidR="00FE5D64" w:rsidRDefault="00E40776">
      <w:pPr>
        <w:pStyle w:val="P68B1DB1-body30"/>
      </w:pPr>
      <w:bookmarkStart w:id="107" w:name="_Toc164263845"/>
      <w:r>
        <w:t>Указания относно определени позиции</w:t>
      </w:r>
      <w:bookmarkEnd w:id="107"/>
    </w:p>
    <w:p w14:paraId="7FE1B963" w14:textId="77777777" w:rsidR="00FE5D64" w:rsidRDefault="00E40776">
      <w:pPr>
        <w:pStyle w:val="P68B1DB1-InstructionsText26"/>
        <w:numPr>
          <w:ilvl w:val="0"/>
          <w:numId w:val="232"/>
        </w:numPr>
        <w:spacing w:before="0"/>
      </w:pPr>
      <w:r>
        <w:t>Информацията в настоящия образец се предоставя веднъж за всяка държава членка (посочена като „държава“), в която групата има дейност. Във всички случаи (независимо от входния пункт) клоновете се обобщават в отчета на държавата, в която предоставят услуги.</w:t>
      </w:r>
    </w:p>
    <w:p w14:paraId="7FE1B964" w14:textId="77777777" w:rsidR="00FE5D64" w:rsidRDefault="00E40776">
      <w:pPr>
        <w:pStyle w:val="P68B1DB1-InstructionsText26"/>
        <w:numPr>
          <w:ilvl w:val="0"/>
          <w:numId w:val="232"/>
        </w:numPr>
        <w:spacing w:before="0"/>
      </w:pPr>
      <w:r>
        <w:t>Дейността обхваща всички икономически функции, упражнявани в тази държава членка от всеки субект от групата, независимо дали са критични или не.</w:t>
      </w:r>
    </w:p>
    <w:p w14:paraId="7FE1B965" w14:textId="2359C381" w:rsidR="00FE5D64" w:rsidRDefault="00E40776">
      <w:pPr>
        <w:pStyle w:val="P68B1DB1-InstructionsText26"/>
        <w:numPr>
          <w:ilvl w:val="0"/>
          <w:numId w:val="232"/>
        </w:numPr>
      </w:pPr>
      <w:r>
        <w:t>Регионално докладване (само когато е приложимо)</w:t>
      </w:r>
    </w:p>
    <w:p w14:paraId="7FE1B966" w14:textId="226CA454" w:rsidR="00FE5D64" w:rsidRDefault="00E40776">
      <w:pPr>
        <w:pStyle w:val="P68B1DB1-InstructionsText26"/>
        <w:numPr>
          <w:ilvl w:val="0"/>
          <w:numId w:val="0"/>
        </w:numPr>
        <w:ind w:left="1440"/>
      </w:pPr>
      <w:r>
        <w:t>За информация на равнището на даден регион се определя регионът. Посочете наименованието на региона в свободен текст, като използвате следната конвенция:</w:t>
      </w:r>
    </w:p>
    <w:p w14:paraId="7FE1B967" w14:textId="5BD4C7F8" w:rsidR="00FE5D64" w:rsidRDefault="00E40776">
      <w:pPr>
        <w:pStyle w:val="P68B1DB1-InstructionsText26"/>
        <w:numPr>
          <w:ilvl w:val="0"/>
          <w:numId w:val="0"/>
        </w:numPr>
        <w:ind w:left="1440" w:firstLine="18"/>
      </w:pPr>
      <w:r>
        <w:t>Държава членка — наименование на региона. За името на държавите членки използвайте съответното съкращение от две букви. За наименованието на региона се използва кодът или кодовете от класификацията NUTS 2021.</w:t>
      </w:r>
    </w:p>
    <w:p w14:paraId="7FE1B968" w14:textId="77777777" w:rsidR="00FE5D64" w:rsidRDefault="00FE5D64">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E5D64"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FE5D64" w:rsidRDefault="00E40776">
            <w:pPr>
              <w:pStyle w:val="P68B1DB1-TableParagraph17"/>
              <w:spacing w:before="108"/>
              <w:ind w:left="85"/>
              <w:jc w:val="both"/>
            </w:pPr>
            <w:r>
              <w:t>Редове</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FE5D64" w:rsidRDefault="00E40776">
            <w:pPr>
              <w:pStyle w:val="P68B1DB1-TableParagraph17"/>
              <w:spacing w:before="108"/>
              <w:ind w:left="85" w:right="1"/>
              <w:jc w:val="both"/>
            </w:pPr>
            <w:r>
              <w:t>Икономическа функция</w:t>
            </w:r>
          </w:p>
        </w:tc>
      </w:tr>
      <w:tr w:rsidR="00FE5D64" w14:paraId="7FE1B970" w14:textId="77777777">
        <w:tc>
          <w:tcPr>
            <w:tcW w:w="9083" w:type="dxa"/>
            <w:gridSpan w:val="2"/>
            <w:tcBorders>
              <w:top w:val="single" w:sz="4" w:space="0" w:color="1A171C"/>
              <w:left w:val="nil"/>
              <w:bottom w:val="single" w:sz="4" w:space="0" w:color="1A171C"/>
            </w:tcBorders>
          </w:tcPr>
          <w:p w14:paraId="7FE1B96C" w14:textId="0D085442" w:rsidR="00FE5D64" w:rsidRDefault="00E40776">
            <w:pPr>
              <w:pStyle w:val="P68B1DB1-TableParagraph16"/>
              <w:spacing w:before="108"/>
              <w:ind w:left="85"/>
              <w:jc w:val="both"/>
              <w:rPr>
                <w:b/>
                <w:bCs/>
                <w:color w:val="000000" w:themeColor="text1"/>
                <w:sz w:val="20"/>
                <w:szCs w:val="20"/>
              </w:rPr>
            </w:pPr>
            <w:r>
              <w:t>Z 07.01.1 FUNC 1 DEP</w:t>
            </w:r>
          </w:p>
          <w:p w14:paraId="7FE1B96D" w14:textId="77777777" w:rsidR="00FE5D64" w:rsidRDefault="00E40776">
            <w:pPr>
              <w:pStyle w:val="P68B1DB1-TableParagraph17"/>
              <w:spacing w:before="108"/>
              <w:ind w:left="85"/>
            </w:pPr>
            <w:r>
              <w:t xml:space="preserve">„Набиране на депозити“ означава приемане на депозити от нефинансови контрагенти. То не включва заеми от други финансови посредници, което се третира отделно в частта „финансиране на едро“. </w:t>
            </w:r>
          </w:p>
          <w:p w14:paraId="7FE1B96E" w14:textId="77777777" w:rsidR="00FE5D64" w:rsidRDefault="00E40776">
            <w:pPr>
              <w:pStyle w:val="P68B1DB1-TableParagraph17"/>
              <w:spacing w:before="108"/>
              <w:ind w:left="85"/>
            </w:pPr>
            <w:r>
              <w:t>Депозитите включват: i) текущи сметки/овърнайт депозити, ii) срочни влогове и iii) депозити, договорени за ползване след предизвестие, и изключва споразумения за обратно изкупуване.</w:t>
            </w:r>
          </w:p>
          <w:p w14:paraId="7FE1B96F" w14:textId="77777777" w:rsidR="00FE5D64" w:rsidRDefault="00E40776">
            <w:pPr>
              <w:pStyle w:val="P68B1DB1-TableParagraph13"/>
              <w:spacing w:before="108"/>
              <w:ind w:left="85"/>
              <w:rPr>
                <w:rFonts w:eastAsia="Cambria"/>
              </w:rPr>
            </w:pPr>
            <w:r>
              <w:t>Референтни документи: FSB Guidance on Identification of Critical Functions and Critical Shared Services (2013) p.14 (Насоки на Съвета за финансова стабилност относно определянето на критични функции и критични споделени услуги, 2013 г., стр. 14); Приложение II, част 2, точки 9.1, 9.2 и 9.3 от Регламент (ЕС) 2021/379.</w:t>
            </w:r>
          </w:p>
        </w:tc>
      </w:tr>
      <w:tr w:rsidR="00FE5D64"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FE5D64" w:rsidRDefault="00E40776">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FE5D64" w:rsidRDefault="00E40776">
            <w:pPr>
              <w:pStyle w:val="P68B1DB1-TableParagraph14"/>
              <w:spacing w:before="108"/>
              <w:ind w:left="85"/>
              <w:jc w:val="both"/>
              <w:rPr>
                <w:rFonts w:eastAsia="Cambria"/>
              </w:rPr>
            </w:pPr>
            <w:r>
              <w:t>Домакинства</w:t>
            </w:r>
          </w:p>
        </w:tc>
      </w:tr>
      <w:tr w:rsidR="00FE5D64"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FE5D64" w:rsidRDefault="00E40776">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FE5D64" w:rsidRDefault="00E40776">
            <w:pPr>
              <w:pStyle w:val="P68B1DB1-TableParagraph14"/>
              <w:spacing w:before="108"/>
              <w:ind w:left="85"/>
              <w:jc w:val="both"/>
              <w:rPr>
                <w:rFonts w:eastAsia="Cambria"/>
              </w:rPr>
            </w:pPr>
            <w:r>
              <w:t>Нефинансови предприятия (МСП)</w:t>
            </w:r>
          </w:p>
        </w:tc>
      </w:tr>
      <w:tr w:rsidR="00FE5D64"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FE5D64" w:rsidRDefault="00E40776">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FE5D64" w:rsidRDefault="00E40776">
            <w:pPr>
              <w:pStyle w:val="P68B1DB1-TableParagraph14"/>
              <w:spacing w:before="108"/>
              <w:ind w:left="85"/>
              <w:jc w:val="both"/>
              <w:rPr>
                <w:rFonts w:eastAsia="Cambria"/>
              </w:rPr>
            </w:pPr>
            <w:r>
              <w:t>Нефинансови предприятия (различни от МСП)</w:t>
            </w:r>
          </w:p>
        </w:tc>
      </w:tr>
      <w:tr w:rsidR="00FE5D64"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FE5D64" w:rsidRDefault="00E40776">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FE5D64" w:rsidRDefault="00E40776">
            <w:pPr>
              <w:pStyle w:val="P68B1DB1-TableParagraph14"/>
              <w:spacing w:before="108"/>
              <w:ind w:left="85"/>
              <w:jc w:val="both"/>
              <w:rPr>
                <w:rFonts w:eastAsia="Cambria"/>
              </w:rPr>
            </w:pPr>
            <w:r>
              <w:t>Сектор „Държавно управление“</w:t>
            </w:r>
          </w:p>
        </w:tc>
      </w:tr>
      <w:tr w:rsidR="00FE5D64"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FE5D64" w:rsidRDefault="00E40776">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FE5D64" w:rsidRDefault="00E40776">
            <w:pPr>
              <w:pStyle w:val="P68B1DB1-TableParagraph14"/>
              <w:spacing w:before="108"/>
              <w:ind w:left="85"/>
              <w:jc w:val="both"/>
              <w:rPr>
                <w:rFonts w:eastAsia="Cambria"/>
              </w:rPr>
            </w:pPr>
            <w:r>
              <w:t>Други сектори/контрагенти (1), (2) и (3)</w:t>
            </w:r>
          </w:p>
        </w:tc>
      </w:tr>
      <w:tr w:rsidR="00FE5D64" w14:paraId="7FE1B983" w14:textId="77777777">
        <w:tc>
          <w:tcPr>
            <w:tcW w:w="9083" w:type="dxa"/>
            <w:gridSpan w:val="2"/>
            <w:tcBorders>
              <w:top w:val="single" w:sz="4" w:space="0" w:color="1A171C"/>
              <w:left w:val="nil"/>
              <w:bottom w:val="single" w:sz="4" w:space="0" w:color="1A171C"/>
            </w:tcBorders>
          </w:tcPr>
          <w:p w14:paraId="7FE1B980" w14:textId="13950F51" w:rsidR="00FE5D64" w:rsidRDefault="00E40776">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FE5D64" w:rsidRDefault="00E40776">
            <w:pPr>
              <w:pStyle w:val="P68B1DB1-TableParagraph17"/>
              <w:spacing w:before="108"/>
              <w:ind w:left="85"/>
            </w:pPr>
            <w:r>
              <w:t>„Кредитиране“ означава предоставяне на средства на нефинансови контрагенти, например корпоративни или непрофесионални клиенти. Кредитиране на финансови контрагенти е различна дейност и се оценява в частта „финансиране на едро“. Понятието „кредит“ включва дългови инструменти, държани от институциите, но изключва дългови инструменти, които са ценни книжа, независимо от тяхното счетоводно класифициране (например държани до падежа или на разположение за продажба).</w:t>
            </w:r>
          </w:p>
          <w:p w14:paraId="7FE1B982" w14:textId="77777777" w:rsidR="00FE5D64" w:rsidRDefault="00E40776">
            <w:pPr>
              <w:pStyle w:val="P68B1DB1-TableParagraph13"/>
              <w:spacing w:before="108"/>
              <w:ind w:left="85"/>
              <w:rPr>
                <w:rFonts w:eastAsia="Cambria"/>
              </w:rPr>
            </w:pPr>
            <w:r>
              <w:lastRenderedPageBreak/>
              <w:t>Референтни документи: FSB Guidance on Identification of Critical Functions and Critical Shared Services (2013) p.17 (Насоки на Съвета за финансова стабилност относно определянето на критични функции и критични споделени услуги, 2013 г., стр. 17); Приложение II, част 2, точка 2 от Регламент (ЕС) 2021/379.</w:t>
            </w:r>
          </w:p>
        </w:tc>
      </w:tr>
      <w:tr w:rsidR="00FE5D64"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FE5D64" w:rsidRDefault="00E40776">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FE5D64" w:rsidRDefault="00E40776">
            <w:pPr>
              <w:pStyle w:val="P68B1DB1-TableParagraph14"/>
              <w:spacing w:before="108"/>
              <w:ind w:left="85"/>
              <w:jc w:val="both"/>
              <w:rPr>
                <w:bCs/>
              </w:rPr>
            </w:pPr>
            <w:r>
              <w:t>Домакинства — кредитиране за закупуване на жилище</w:t>
            </w:r>
          </w:p>
          <w:p w14:paraId="7FE1B986" w14:textId="77777777" w:rsidR="00FE5D64" w:rsidRDefault="00E40776">
            <w:pPr>
              <w:pStyle w:val="P68B1DB1-TableParagraph17"/>
              <w:spacing w:before="108"/>
              <w:ind w:left="85"/>
            </w:pPr>
            <w:r>
              <w:t>Обезпечени заеми, отпуснати на домакинства с недвижим имот като обезпечение</w:t>
            </w:r>
          </w:p>
        </w:tc>
      </w:tr>
      <w:tr w:rsidR="00FE5D64"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FE5D64" w:rsidRDefault="00E40776">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FE5D64" w:rsidRDefault="00E40776">
            <w:pPr>
              <w:pStyle w:val="P68B1DB1-TableParagraph14"/>
              <w:spacing w:before="108"/>
              <w:ind w:left="85"/>
              <w:jc w:val="both"/>
              <w:rPr>
                <w:bCs/>
              </w:rPr>
            </w:pPr>
            <w:r>
              <w:t>Домакинства — друго кредитиране</w:t>
            </w:r>
          </w:p>
        </w:tc>
      </w:tr>
      <w:tr w:rsidR="00FE5D64"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FE5D64" w:rsidRDefault="00E40776">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FE5D64" w:rsidRDefault="00E40776">
            <w:pPr>
              <w:pStyle w:val="P68B1DB1-TableParagraph14"/>
              <w:spacing w:before="108"/>
              <w:ind w:left="85"/>
              <w:jc w:val="both"/>
              <w:rPr>
                <w:bCs/>
              </w:rPr>
            </w:pPr>
            <w:r>
              <w:t>Нефинансови предприятия — МСП</w:t>
            </w:r>
          </w:p>
        </w:tc>
      </w:tr>
      <w:tr w:rsidR="00FE5D64"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FE5D64" w:rsidRDefault="00E40776">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FE5D64" w:rsidRDefault="00E40776">
            <w:pPr>
              <w:pStyle w:val="P68B1DB1-TableParagraph14"/>
              <w:spacing w:before="108"/>
              <w:ind w:left="85"/>
              <w:jc w:val="both"/>
              <w:rPr>
                <w:bCs/>
              </w:rPr>
            </w:pPr>
            <w:r>
              <w:t>Нефинансови предприятия — различни от МСП</w:t>
            </w:r>
          </w:p>
        </w:tc>
      </w:tr>
      <w:tr w:rsidR="00FE5D64"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FE5D64" w:rsidRDefault="00E40776">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FE5D64" w:rsidRDefault="00E40776">
            <w:pPr>
              <w:pStyle w:val="P68B1DB1-TableParagraph14"/>
              <w:spacing w:before="108"/>
              <w:ind w:left="85"/>
              <w:jc w:val="both"/>
              <w:rPr>
                <w:bCs/>
              </w:rPr>
            </w:pPr>
            <w:r>
              <w:t>Сектор „Държавно управление“</w:t>
            </w:r>
          </w:p>
        </w:tc>
      </w:tr>
      <w:tr w:rsidR="00FE5D64"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FE5D64" w:rsidRDefault="00E40776">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FE5D64" w:rsidRDefault="00E40776">
            <w:pPr>
              <w:pStyle w:val="P68B1DB1-TableParagraph14"/>
              <w:spacing w:before="108"/>
              <w:ind w:left="85"/>
              <w:jc w:val="both"/>
              <w:rPr>
                <w:rFonts w:eastAsia="Cambria"/>
              </w:rPr>
            </w:pPr>
            <w:r>
              <w:t>Други сектори/контрагенти (1), (2) и (3)</w:t>
            </w:r>
          </w:p>
        </w:tc>
      </w:tr>
      <w:tr w:rsidR="00FE5D64" w14:paraId="7FE1B99C" w14:textId="77777777">
        <w:tc>
          <w:tcPr>
            <w:tcW w:w="9083" w:type="dxa"/>
            <w:gridSpan w:val="2"/>
            <w:tcBorders>
              <w:top w:val="single" w:sz="4" w:space="0" w:color="1A171C"/>
              <w:left w:val="nil"/>
              <w:bottom w:val="single" w:sz="4" w:space="0" w:color="1A171C"/>
            </w:tcBorders>
          </w:tcPr>
          <w:p w14:paraId="7FE1B997" w14:textId="587957C3" w:rsidR="00FE5D64" w:rsidRDefault="00E40776">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ЗАПЛАТА</w:t>
            </w:r>
            <w:r>
              <w:rPr>
                <w:rFonts w:ascii="Times New Roman" w:eastAsia="Cambria" w:hAnsi="Times New Roman" w:cs="Times New Roman"/>
                <w:color w:val="000000" w:themeColor="text1"/>
                <w:sz w:val="20"/>
                <w:szCs w:val="20"/>
              </w:rPr>
              <w:t xml:space="preserve"> </w:t>
            </w:r>
          </w:p>
          <w:p w14:paraId="7FE1B998" w14:textId="77777777" w:rsidR="00FE5D64" w:rsidRDefault="00E40776">
            <w:pPr>
              <w:pStyle w:val="P68B1DB1-TableParagraph13"/>
              <w:spacing w:before="108"/>
              <w:ind w:left="85"/>
              <w:jc w:val="both"/>
              <w:rPr>
                <w:rFonts w:eastAsia="Cambria"/>
              </w:rPr>
            </w:pPr>
            <w:r>
              <w:t>Референтен номер: FSB Guidance on Identification of Critical Functions and Critical Shared Services (2013) p.20 (Насоки на Съвета за финансова стабилност относно определянето на критични функции и критични споделени услуги, 2013 г., стр. 20).</w:t>
            </w:r>
          </w:p>
          <w:p w14:paraId="7FE1B999" w14:textId="77777777" w:rsidR="00FE5D64" w:rsidRDefault="00E40776">
            <w:pPr>
              <w:pStyle w:val="P68B1DB1-TableParagraph13"/>
              <w:spacing w:before="108"/>
              <w:ind w:left="85"/>
              <w:jc w:val="both"/>
              <w:rPr>
                <w:rFonts w:eastAsia="Cambria"/>
              </w:rPr>
            </w:pPr>
            <w:r>
              <w:t>Икономическите функции, включени в настоящата рубрика, обхващат предоставянето на платежни услуги, касови услуги, услуги по сетълмент, клиринг и попечителство от страна на кредитна институция — като посредник между собствени клиенти или между клиент и една или няколко съответни инфраструктури на финансовия пазар (ИФП), или предоставянето на (непряк) достъп до ИФП за други банки. В съответствие с Насоките на Съвета за финансова стабилност относно определянето на критични функции и критични споделени услуги ф</w:t>
            </w:r>
            <w:r>
              <w:t>ункцията за плащания, клиринг и сетълмент се ограничава до услуги, предоставяни от банките на техни клиенти. Тук не спадат услугите, предоставяни от доставчици (единствено) на ИФП. За целите на настоящия образец ИФП включват платежните системи, системите за сетълмент на ценни книжа, централните депозитари на ценни книжа и централните контрагенти, но не и регистрите на трансакции.</w:t>
            </w:r>
          </w:p>
          <w:p w14:paraId="7FE1B99A" w14:textId="77777777" w:rsidR="00FE5D64" w:rsidRDefault="00E40776">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Понятията „платежна услуга„, „платежна операция“ и „платежна система“ имат значението, определено в член 4, параграфи 3, 5 и 7 от Директива (ЕС) 2015/2366 за платежните услуги във вътрешния пазар</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FE5D64" w:rsidRDefault="00FE5D64">
            <w:pPr>
              <w:pStyle w:val="TableParagraph"/>
              <w:spacing w:before="108"/>
              <w:ind w:left="85"/>
              <w:jc w:val="both"/>
              <w:rPr>
                <w:rFonts w:ascii="Times New Roman" w:eastAsia="Cambria" w:hAnsi="Times New Roman" w:cs="Times New Roman"/>
                <w:color w:val="000000" w:themeColor="text1"/>
                <w:sz w:val="20"/>
                <w:szCs w:val="20"/>
              </w:rPr>
            </w:pPr>
          </w:p>
        </w:tc>
      </w:tr>
      <w:tr w:rsidR="00FE5D64"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FE5D64" w:rsidRDefault="00E40776">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FE5D64" w:rsidRDefault="00E40776">
            <w:pPr>
              <w:pStyle w:val="P68B1DB1-TableParagraph14"/>
              <w:spacing w:before="108"/>
              <w:ind w:left="85"/>
              <w:jc w:val="both"/>
              <w:rPr>
                <w:bCs/>
              </w:rPr>
            </w:pPr>
            <w:r>
              <w:t>Платежни услуги към парично-финансови институции (ПФИ)</w:t>
            </w:r>
          </w:p>
          <w:p w14:paraId="7FE1B99F" w14:textId="77777777" w:rsidR="00FE5D64" w:rsidRDefault="00E40776">
            <w:pPr>
              <w:pStyle w:val="P68B1DB1-TableParagraph17"/>
              <w:spacing w:before="108"/>
              <w:ind w:left="85"/>
              <w:jc w:val="both"/>
            </w:pPr>
            <w:r>
              <w:t>Този ред включва платежните услуги, предоставяни на парично-финансовите институции (ПФИ), със или без използване на външни системи за плащане. Това включва също и (плащания, свързани със) съответни банкови услуги. ПФИ са всички институционални единици, включени в следните подсектори: централна банка; ii) депозитни институции без централната банка; и iii) фондове на паричния пазар.</w:t>
            </w:r>
          </w:p>
        </w:tc>
      </w:tr>
      <w:tr w:rsidR="00FE5D64"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FE5D64" w:rsidRDefault="00E40776">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FE5D64" w:rsidRDefault="00E40776">
            <w:pPr>
              <w:pStyle w:val="P68B1DB1-TableParagraph14"/>
              <w:spacing w:before="108"/>
              <w:ind w:left="85"/>
              <w:jc w:val="both"/>
              <w:rPr>
                <w:bCs/>
              </w:rPr>
            </w:pPr>
            <w:r>
              <w:t>Платежни услуги към различни от ПФИ</w:t>
            </w:r>
          </w:p>
          <w:p w14:paraId="7FE1B9A3" w14:textId="77777777" w:rsidR="00FE5D64" w:rsidRDefault="00E40776">
            <w:pPr>
              <w:pStyle w:val="P68B1DB1-TableParagraph17"/>
              <w:spacing w:before="108"/>
              <w:ind w:left="85"/>
            </w:pPr>
            <w:r>
              <w:t>Платежни услуги, предлагани на клиенти, със или без използване на външни системи за плащане. Включва само физически или юридически лица, които не спадат към сектора на ПФИ. Доставчиците на платежни услуги също се изключват от сектора „различни от ПФИ“.</w:t>
            </w:r>
          </w:p>
          <w:p w14:paraId="7FE1B9A4" w14:textId="77777777" w:rsidR="00FE5D64" w:rsidRDefault="00E40776">
            <w:pPr>
              <w:pStyle w:val="P68B1DB1-TableParagraph17"/>
              <w:spacing w:before="108"/>
              <w:ind w:left="85"/>
            </w:pPr>
            <w:r>
              <w:lastRenderedPageBreak/>
              <w:t>Функцията е разделена допълнително на 3 подфункции:</w:t>
            </w:r>
          </w:p>
          <w:p w14:paraId="7FE1B9A5" w14:textId="77777777" w:rsidR="00FE5D64" w:rsidRDefault="00E40776">
            <w:pPr>
              <w:pStyle w:val="P68B1DB1-TableParagraph17"/>
              <w:spacing w:before="108"/>
              <w:ind w:left="85"/>
            </w:pPr>
            <w:r>
              <w:t>(1) Домакинства</w:t>
            </w:r>
          </w:p>
          <w:p w14:paraId="7FE1B9A6" w14:textId="77777777" w:rsidR="00FE5D64" w:rsidRDefault="00E40776">
            <w:pPr>
              <w:pStyle w:val="P68B1DB1-TableParagraph17"/>
              <w:spacing w:before="108"/>
              <w:ind w:left="85"/>
            </w:pPr>
            <w:r>
              <w:t>(2) Нефинансови предприятия — МСП</w:t>
            </w:r>
          </w:p>
          <w:p w14:paraId="7FE1B9A7" w14:textId="77777777" w:rsidR="00FE5D64" w:rsidRDefault="00E40776">
            <w:pPr>
              <w:pStyle w:val="P68B1DB1-TableParagraph17"/>
              <w:spacing w:before="108"/>
              <w:ind w:left="85"/>
            </w:pPr>
            <w:r>
              <w:t>(3) Нефинансови предприятия — различни от МСП</w:t>
            </w:r>
          </w:p>
        </w:tc>
      </w:tr>
      <w:tr w:rsidR="00FE5D64"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FE5D64" w:rsidRDefault="00E40776">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FE5D64" w:rsidRDefault="00E40776">
            <w:pPr>
              <w:pStyle w:val="P68B1DB1-TableParagraph14"/>
              <w:spacing w:before="108"/>
              <w:ind w:left="85"/>
              <w:jc w:val="both"/>
              <w:rPr>
                <w:bCs/>
              </w:rPr>
            </w:pPr>
            <w:r>
              <w:t>Касови услуги</w:t>
            </w:r>
          </w:p>
          <w:p w14:paraId="7FE1B9AB" w14:textId="77777777" w:rsidR="00FE5D64" w:rsidRDefault="00E40776">
            <w:pPr>
              <w:pStyle w:val="P68B1DB1-TableParagraph17"/>
              <w:spacing w:before="108"/>
              <w:ind w:left="85"/>
            </w:pPr>
            <w:r>
              <w:t>Касовите услуги, предоставяни на клиенти — физически лица и предприятия, но различни от ПФИ. Тези услуги са свързани с теглене на пари от терминални устройства ATM и на гишета в клонове и не включват други касови услуги (като услуги за превоз на парични средства за веригите на дребно). Включва се теглене на пари в брой с чекове и на гишета в клонове с използване на банкови формуляри (където карти могат да се използват като средство за удостоверяване на самоличност).</w:t>
            </w:r>
          </w:p>
        </w:tc>
      </w:tr>
      <w:tr w:rsidR="00FE5D64"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FE5D64" w:rsidRDefault="00E40776">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FE5D64" w:rsidRDefault="00E40776">
            <w:pPr>
              <w:pStyle w:val="P68B1DB1-TableParagraph14"/>
              <w:spacing w:before="108"/>
              <w:ind w:left="85"/>
              <w:jc w:val="both"/>
              <w:rPr>
                <w:bCs/>
              </w:rPr>
            </w:pPr>
            <w:r>
              <w:t>Услуги по сетълмент на ценни книжа</w:t>
            </w:r>
          </w:p>
          <w:p w14:paraId="7FE1B9AF" w14:textId="77777777" w:rsidR="00FE5D64" w:rsidRDefault="00E40776">
            <w:pPr>
              <w:pStyle w:val="P68B1DB1-TableParagraph17"/>
              <w:spacing w:before="108"/>
              <w:ind w:left="85"/>
            </w:pPr>
            <w:r>
              <w:t>Услугите, предоставяни на клиенти, за сделки по потвърждаване, клиринг и сетълмент на ценни книжа, със или без използването на системи за сетълмент на ценни книжа. „Сетълмент“ означава приключване на сделка с ценни книжа, без оглед на мястото на сключването ѝ, с цел изпълнение на задълженията на страните по тази сделка чрез прехвърляне на парични средства и/или ценни книжа.</w:t>
            </w:r>
          </w:p>
        </w:tc>
      </w:tr>
      <w:tr w:rsidR="00FE5D64"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FE5D64" w:rsidRDefault="00E40776">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FE5D64" w:rsidRDefault="00E40776">
            <w:pPr>
              <w:pStyle w:val="P68B1DB1-TableParagraph14"/>
              <w:spacing w:before="108"/>
              <w:ind w:left="85"/>
              <w:jc w:val="both"/>
              <w:rPr>
                <w:bCs/>
              </w:rPr>
            </w:pPr>
            <w:r>
              <w:t>Услуги по клиринг към централни контрагенти</w:t>
            </w:r>
          </w:p>
          <w:p w14:paraId="7FE1B9B3" w14:textId="77777777" w:rsidR="00FE5D64" w:rsidRDefault="00E40776">
            <w:pPr>
              <w:pStyle w:val="P68B1DB1-TableParagraph17"/>
              <w:spacing w:before="108"/>
              <w:ind w:left="85"/>
            </w:pPr>
            <w:r>
              <w:t>Услугите по клиринг на ценни книжа и деривати, предоставяни на клиенти. Тук спада осигуряването на непряк достъп до централен контрагент.</w:t>
            </w:r>
          </w:p>
        </w:tc>
      </w:tr>
      <w:tr w:rsidR="00FE5D64"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FE5D64" w:rsidRDefault="00E40776">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FE5D64" w:rsidRDefault="00E40776">
            <w:pPr>
              <w:pStyle w:val="P68B1DB1-TableParagraph14"/>
              <w:spacing w:before="108"/>
              <w:ind w:left="85"/>
              <w:jc w:val="both"/>
              <w:rPr>
                <w:bCs/>
              </w:rPr>
            </w:pPr>
            <w:r>
              <w:t>Попечителски услуги</w:t>
            </w:r>
          </w:p>
          <w:p w14:paraId="7FE1B9B7" w14:textId="77777777" w:rsidR="00FE5D64" w:rsidRDefault="00E40776">
            <w:pPr>
              <w:pStyle w:val="P68B1DB1-TableParagraph17"/>
              <w:spacing w:before="108"/>
              <w:ind w:left="85"/>
            </w:pPr>
            <w:r>
              <w:t>Отговорно пазене и администриране на финансови инструменти за клиенти и услуги, свързани с попечителство, например управление на парични средства и обезпечения.</w:t>
            </w:r>
          </w:p>
        </w:tc>
      </w:tr>
      <w:tr w:rsidR="00FE5D64"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FE5D64" w:rsidRDefault="00E40776">
            <w:pPr>
              <w:pStyle w:val="P68B1DB1-TableParagraph17"/>
              <w:spacing w:before="108"/>
              <w:ind w:left="85"/>
              <w:jc w:val="both"/>
            </w:pPr>
            <w:r>
              <w:t>0220 Г. — 0240 Г.</w:t>
            </w:r>
          </w:p>
        </w:tc>
        <w:tc>
          <w:tcPr>
            <w:tcW w:w="7892" w:type="dxa"/>
            <w:tcBorders>
              <w:top w:val="single" w:sz="4" w:space="0" w:color="1A171C"/>
              <w:left w:val="single" w:sz="4" w:space="0" w:color="1A171C"/>
              <w:bottom w:val="single" w:sz="4" w:space="0" w:color="1A171C"/>
              <w:right w:val="nil"/>
            </w:tcBorders>
          </w:tcPr>
          <w:p w14:paraId="7FE1B9BA" w14:textId="77777777" w:rsidR="00FE5D64" w:rsidRDefault="00E40776">
            <w:pPr>
              <w:pStyle w:val="P68B1DB1-TableParagraph14"/>
              <w:spacing w:before="108"/>
              <w:ind w:left="85"/>
              <w:jc w:val="both"/>
              <w:rPr>
                <w:rFonts w:eastAsia="Cambria"/>
              </w:rPr>
            </w:pPr>
            <w:r>
              <w:t>Други услуги/дейности/функции (1), (2) и (3)</w:t>
            </w:r>
          </w:p>
        </w:tc>
      </w:tr>
      <w:tr w:rsidR="00FE5D64" w14:paraId="7FE1B9BE" w14:textId="77777777">
        <w:tc>
          <w:tcPr>
            <w:tcW w:w="9083" w:type="dxa"/>
            <w:gridSpan w:val="2"/>
            <w:tcBorders>
              <w:top w:val="single" w:sz="4" w:space="0" w:color="1A171C"/>
              <w:left w:val="nil"/>
              <w:bottom w:val="single" w:sz="4" w:space="0" w:color="1A171C"/>
            </w:tcBorders>
          </w:tcPr>
          <w:p w14:paraId="7FE1B9BC" w14:textId="4228BCAA" w:rsidR="00FE5D64" w:rsidRDefault="00E40776">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FE5D64" w:rsidRDefault="00E40776">
            <w:pPr>
              <w:pStyle w:val="P68B1DB1-TableParagraph17"/>
              <w:spacing w:before="108"/>
              <w:ind w:left="85"/>
              <w:jc w:val="both"/>
            </w:pPr>
            <w:r>
              <w:t xml:space="preserve">Дейностите на капиталовите пазари се отнасят до емитирането на и търговията с ценни книжа, съответни консултантски услуги и свързани с това услуги като основни брокерски услуги и поддържане на пазара. </w:t>
            </w:r>
          </w:p>
        </w:tc>
      </w:tr>
      <w:tr w:rsidR="00FE5D64"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FE5D64" w:rsidRDefault="00E40776">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FE5D64" w:rsidRDefault="00E40776">
            <w:pPr>
              <w:pStyle w:val="P68B1DB1-TableParagraph14"/>
              <w:spacing w:before="108"/>
              <w:ind w:left="85"/>
              <w:jc w:val="both"/>
              <w:rPr>
                <w:bCs/>
              </w:rPr>
            </w:pPr>
            <w:r>
              <w:t>Деривати, държани за търгуване (извънборсово)</w:t>
            </w:r>
          </w:p>
          <w:p w14:paraId="7FE1B9C1" w14:textId="2FDAA405" w:rsidR="00FE5D64" w:rsidRDefault="00E40776">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Член 2, параграфи 5 и 7 от Регламент (ЕС) №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FE5D64" w:rsidRDefault="00E40776">
            <w:pPr>
              <w:pStyle w:val="P68B1DB1-TableParagraph17"/>
              <w:spacing w:before="108"/>
              <w:ind w:left="85"/>
            </w:pPr>
            <w:r>
              <w:t>„Дериват„или „договор за деривати“ означава финансов инструмент, както е определен в точки 4—10 от раздел В на приложение I към Директива 2014/65/ЕС и се прилага съгласно членове 38 и 39 от Регламент (ЕО) № 1287/2006.</w:t>
            </w:r>
          </w:p>
          <w:p w14:paraId="7FE1B9C3" w14:textId="583C566B" w:rsidR="00FE5D64" w:rsidRDefault="00E40776">
            <w:pPr>
              <w:pStyle w:val="P68B1DB1-TableParagraph17"/>
              <w:spacing w:before="108"/>
              <w:ind w:left="85"/>
            </w:pPr>
            <w:r>
              <w:t>„Извънборсов дериват„или „извънборсов договор за дериват“ означава договор за дериват, чието изпълнение не се извършва на регулиран пазар по смисъла на член 4, параграф 1, точка 21 от Директива 2014/65/ЕС или на пазар в трета държава, считан за еквивалентен на регулиран пазар съгласно член 2а от Регламент (ЕС) № 648/2012.</w:t>
            </w:r>
          </w:p>
          <w:p w14:paraId="7FE1B9C4" w14:textId="77777777" w:rsidR="00FE5D64" w:rsidRDefault="00E40776">
            <w:pPr>
              <w:pStyle w:val="P68B1DB1-TableParagraph17"/>
              <w:spacing w:before="108"/>
              <w:ind w:left="85"/>
            </w:pPr>
            <w:r>
              <w:t xml:space="preserve">Стойността, която се посочва, се отнася само за дериватите, търгувани на извънборсовия пазар. </w:t>
            </w:r>
          </w:p>
        </w:tc>
      </w:tr>
      <w:tr w:rsidR="00FE5D64"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FE5D64" w:rsidRDefault="00E40776">
            <w:pPr>
              <w:pStyle w:val="P68B1DB1-TableParagraph17"/>
              <w:spacing w:before="108"/>
              <w:ind w:left="85"/>
            </w:pPr>
            <w:r>
              <w:lastRenderedPageBreak/>
              <w:t>0260</w:t>
            </w:r>
          </w:p>
        </w:tc>
        <w:tc>
          <w:tcPr>
            <w:tcW w:w="7892" w:type="dxa"/>
            <w:tcBorders>
              <w:top w:val="single" w:sz="4" w:space="0" w:color="1A171C"/>
              <w:left w:val="single" w:sz="4" w:space="0" w:color="1A171C"/>
              <w:bottom w:val="single" w:sz="4" w:space="0" w:color="1A171C"/>
              <w:right w:val="nil"/>
            </w:tcBorders>
          </w:tcPr>
          <w:p w14:paraId="7FE1B9C7" w14:textId="77777777" w:rsidR="00FE5D64" w:rsidRDefault="00E40776">
            <w:pPr>
              <w:pStyle w:val="P68B1DB1-TableParagraph14"/>
              <w:spacing w:before="108"/>
              <w:ind w:left="85"/>
              <w:jc w:val="both"/>
              <w:rPr>
                <w:bCs/>
              </w:rPr>
            </w:pPr>
            <w:r>
              <w:t>Деривати, държани за търгуване (различни от извънборсови)</w:t>
            </w:r>
          </w:p>
          <w:p w14:paraId="7FE1B9C8" w14:textId="77777777" w:rsidR="00FE5D64" w:rsidRDefault="00E40776">
            <w:pPr>
              <w:pStyle w:val="P68B1DB1-TableParagraph17"/>
              <w:spacing w:before="108"/>
              <w:ind w:left="85"/>
            </w:pPr>
            <w:r>
              <w:t xml:space="preserve">Всички деривати, държани за търгуване, с изключение на извънборсовите деривати, държани за търгуване. </w:t>
            </w:r>
          </w:p>
        </w:tc>
      </w:tr>
      <w:tr w:rsidR="00FE5D64"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FE5D64" w:rsidRDefault="00E40776">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FE5D64" w:rsidRDefault="00E40776">
            <w:pPr>
              <w:pStyle w:val="P68B1DB1-TableParagraph14"/>
              <w:spacing w:before="108"/>
              <w:ind w:left="85"/>
              <w:jc w:val="both"/>
              <w:rPr>
                <w:bCs/>
              </w:rPr>
            </w:pPr>
            <w:r>
              <w:t>Вторични пазари/търгуване</w:t>
            </w:r>
          </w:p>
          <w:p w14:paraId="7FE1B9CC" w14:textId="77777777" w:rsidR="00FE5D64" w:rsidRDefault="00E40776">
            <w:pPr>
              <w:pStyle w:val="P68B1DB1-TableParagraph17"/>
              <w:spacing w:before="108"/>
              <w:ind w:left="85"/>
            </w:pPr>
            <w:r>
              <w:t>Вторичните пазари са мястото, където инвеститорите купуват и продават ценни книжа. Тази функция се отнася за целия търговски портфейл (т.е. собствен капитал, корпоративен кредит, държавен кредит).</w:t>
            </w:r>
          </w:p>
          <w:p w14:paraId="7FE1B9CD" w14:textId="77777777" w:rsidR="00FE5D64" w:rsidRDefault="00E40776">
            <w:pPr>
              <w:pStyle w:val="P68B1DB1-TableParagraph17"/>
              <w:spacing w:before="108"/>
              <w:ind w:left="85"/>
            </w:pPr>
            <w:r>
              <w:t>Попълнената тук сума представлява стойността на ценните книжа, изчислена като общата сума на ценните книжа, държани за търгуване. Ценните книжа се посочват по справедлива стойност към датата на докладване.</w:t>
            </w:r>
          </w:p>
          <w:p w14:paraId="7FE1B9CE" w14:textId="77777777" w:rsidR="00FE5D64" w:rsidRDefault="00E40776">
            <w:pPr>
              <w:pStyle w:val="P68B1DB1-TableParagraph17"/>
              <w:spacing w:before="108"/>
              <w:ind w:left="85"/>
            </w:pPr>
            <w:r>
              <w:t>В тази стойност не се включват заемите, дериватите и активите, които не могат да се търгуват (например вземания).</w:t>
            </w:r>
          </w:p>
        </w:tc>
      </w:tr>
      <w:tr w:rsidR="00FE5D64"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FE5D64" w:rsidRDefault="00E40776">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FE5D64" w:rsidRDefault="00E40776">
            <w:pPr>
              <w:pStyle w:val="P68B1DB1-TableParagraph14"/>
              <w:spacing w:before="108"/>
              <w:ind w:left="85"/>
              <w:jc w:val="both"/>
              <w:rPr>
                <w:bCs/>
              </w:rPr>
            </w:pPr>
            <w:r>
              <w:t>Първични пазари/поемане</w:t>
            </w:r>
          </w:p>
          <w:p w14:paraId="7FE1B9D2" w14:textId="77777777" w:rsidR="00FE5D64" w:rsidRDefault="00E40776">
            <w:pPr>
              <w:pStyle w:val="P68B1DB1-TableParagraph17"/>
              <w:spacing w:before="108"/>
              <w:ind w:left="85"/>
            </w:pPr>
            <w:r>
              <w:t>Първичните пазари са мястото, където дружества, правителства и други групи емитират нови ценни книжа, за да получат финансиране чрез ценни книжа, базирани на дълг или на собствен капитал (като обикновени и привилегировани акции, корпоративни облигации, ценни книжа, полици, държавни ценни книжа). Първичните пазари се подпомагат от подписвачески групи.</w:t>
            </w:r>
          </w:p>
        </w:tc>
      </w:tr>
      <w:tr w:rsidR="00FE5D64"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FE5D64" w:rsidRDefault="00E40776">
            <w:pPr>
              <w:pStyle w:val="P68B1DB1-TableParagraph17"/>
              <w:spacing w:before="108"/>
              <w:ind w:left="85"/>
              <w:jc w:val="both"/>
            </w:pPr>
            <w:r>
              <w:t>0290 Г. — 0310 Г.</w:t>
            </w:r>
          </w:p>
        </w:tc>
        <w:tc>
          <w:tcPr>
            <w:tcW w:w="7892" w:type="dxa"/>
            <w:tcBorders>
              <w:top w:val="single" w:sz="4" w:space="0" w:color="1A171C"/>
              <w:left w:val="single" w:sz="4" w:space="0" w:color="1A171C"/>
              <w:bottom w:val="single" w:sz="4" w:space="0" w:color="1A171C"/>
              <w:right w:val="nil"/>
            </w:tcBorders>
          </w:tcPr>
          <w:p w14:paraId="7FE1B9D5" w14:textId="77777777" w:rsidR="00FE5D64" w:rsidRDefault="00E40776">
            <w:pPr>
              <w:pStyle w:val="P68B1DB1-TableParagraph14"/>
              <w:spacing w:before="108"/>
              <w:ind w:left="85"/>
              <w:jc w:val="both"/>
              <w:rPr>
                <w:rFonts w:eastAsia="Cambria"/>
              </w:rPr>
            </w:pPr>
            <w:r>
              <w:t>Други услуги/дейности/функции (1), (2) и (3)</w:t>
            </w:r>
          </w:p>
        </w:tc>
      </w:tr>
      <w:tr w:rsidR="00FE5D64" w14:paraId="7FE1B9D9" w14:textId="77777777">
        <w:tc>
          <w:tcPr>
            <w:tcW w:w="9083" w:type="dxa"/>
            <w:gridSpan w:val="2"/>
            <w:tcBorders>
              <w:top w:val="single" w:sz="4" w:space="0" w:color="1A171C"/>
              <w:left w:val="nil"/>
              <w:bottom w:val="single" w:sz="4" w:space="0" w:color="1A171C"/>
            </w:tcBorders>
          </w:tcPr>
          <w:p w14:paraId="7FE1B9D7" w14:textId="1DCC31B9" w:rsidR="00FE5D64" w:rsidRDefault="00E40776">
            <w:pPr>
              <w:pStyle w:val="P68B1DB1-TableParagraph16"/>
              <w:spacing w:before="108"/>
              <w:ind w:left="85"/>
              <w:jc w:val="both"/>
              <w:rPr>
                <w:b/>
                <w:bCs/>
                <w:color w:val="000000" w:themeColor="text1"/>
                <w:sz w:val="20"/>
                <w:szCs w:val="20"/>
              </w:rPr>
            </w:pPr>
            <w:r>
              <w:t>Z 07.01.5 FUNC 1 WF</w:t>
            </w:r>
          </w:p>
          <w:p w14:paraId="7FE1B9D8" w14:textId="77777777" w:rsidR="00FE5D64" w:rsidRDefault="00E40776">
            <w:pPr>
              <w:pStyle w:val="P68B1DB1-TableParagraph17"/>
              <w:spacing w:before="108"/>
              <w:ind w:left="85"/>
              <w:jc w:val="both"/>
            </w:pPr>
            <w:r>
              <w:t>Дейности за предоставяне и получаване на заеми на пазарите на едро на и от финансови контрагенти (кредитни институции и други финансови корпорации).</w:t>
            </w:r>
          </w:p>
        </w:tc>
      </w:tr>
      <w:tr w:rsidR="00FE5D64"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FE5D64" w:rsidRDefault="00E40776">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FE5D64" w:rsidRDefault="00E40776">
            <w:pPr>
              <w:pStyle w:val="P68B1DB1-TableParagraph14"/>
              <w:spacing w:before="108"/>
              <w:ind w:left="85"/>
              <w:jc w:val="both"/>
              <w:rPr>
                <w:bCs/>
              </w:rPr>
            </w:pPr>
            <w:r>
              <w:t>Получени заеми</w:t>
            </w:r>
          </w:p>
          <w:p w14:paraId="7FE1B9DC" w14:textId="77777777" w:rsidR="00FE5D64" w:rsidRDefault="00E40776">
            <w:pPr>
              <w:pStyle w:val="P68B1DB1-TableParagraph17"/>
              <w:spacing w:before="108"/>
              <w:ind w:left="85"/>
            </w:pPr>
            <w:r>
              <w:t>Получени заеми на пазарите на едро от финансови контрагенти (включително чрез споразумения за обратно изкупуване, междубанкови заеми, търговски ценни книжа, депозитни сертификати, фондове на паричния пазар, кредитни линии, обезпечени с активи търговски ценни книжа и доверителни депозити).</w:t>
            </w:r>
          </w:p>
        </w:tc>
      </w:tr>
      <w:tr w:rsidR="00FE5D64"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FE5D64" w:rsidRDefault="00E40776">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FE5D64" w:rsidRDefault="00E40776">
            <w:pPr>
              <w:pStyle w:val="P68B1DB1-TableParagraph14"/>
              <w:spacing w:before="108"/>
              <w:ind w:left="85"/>
              <w:jc w:val="both"/>
              <w:rPr>
                <w:bCs/>
              </w:rPr>
            </w:pPr>
            <w:r>
              <w:t>Деривати (активи)</w:t>
            </w:r>
          </w:p>
          <w:p w14:paraId="7FE1B9E0" w14:textId="77777777" w:rsidR="00FE5D64" w:rsidRDefault="00E40776">
            <w:pPr>
              <w:pStyle w:val="P68B1DB1-TableParagraph17"/>
              <w:spacing w:before="108"/>
              <w:ind w:left="85"/>
            </w:pPr>
            <w:r>
              <w:t>Всички деривати с финансови контрагенти, вписани в актива на счетоводния баланс. За разлика от „Капиталови пазари„, при „Финансиране на едро“ дериватите включват всички договори за деривати с финансови контрагенти (не се ограничават до високочестотна търговия).</w:t>
            </w:r>
          </w:p>
        </w:tc>
      </w:tr>
      <w:tr w:rsidR="00FE5D64"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FE5D64" w:rsidRDefault="00E40776">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FE5D64" w:rsidRDefault="00E40776">
            <w:pPr>
              <w:pStyle w:val="P68B1DB1-TableParagraph14"/>
              <w:spacing w:before="108"/>
              <w:ind w:left="85"/>
              <w:jc w:val="both"/>
              <w:rPr>
                <w:bCs/>
              </w:rPr>
            </w:pPr>
            <w:r>
              <w:t>Кредитна дейност</w:t>
            </w:r>
          </w:p>
          <w:p w14:paraId="7FE1B9E4" w14:textId="77777777" w:rsidR="00FE5D64" w:rsidRDefault="00E40776">
            <w:pPr>
              <w:pStyle w:val="P68B1DB1-TableParagraph17"/>
              <w:spacing w:before="108"/>
              <w:ind w:left="85"/>
            </w:pPr>
            <w:r>
              <w:t>Предоставени заеми на пазарите на едро на финансови контрагенти (включително чрез кредити по обратни репо споразумения, търговски ценни книжа, депозитни сертификати, фондове на паричния пазар, кредитни линии, обезпечени с активи търговски ценни книжа и доверителни депозити).</w:t>
            </w:r>
          </w:p>
        </w:tc>
      </w:tr>
      <w:tr w:rsidR="00FE5D64"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FE5D64" w:rsidRDefault="00E40776">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FE5D64" w:rsidRDefault="00E40776">
            <w:pPr>
              <w:pStyle w:val="P68B1DB1-TableParagraph14"/>
              <w:spacing w:before="108"/>
              <w:ind w:left="85"/>
              <w:jc w:val="both"/>
              <w:rPr>
                <w:bCs/>
              </w:rPr>
            </w:pPr>
            <w:r>
              <w:t>Деривати (пасиви)</w:t>
            </w:r>
          </w:p>
          <w:p w14:paraId="7FE1B9E8" w14:textId="77777777" w:rsidR="00FE5D64" w:rsidRDefault="00E40776">
            <w:pPr>
              <w:pStyle w:val="P68B1DB1-TableParagraph17"/>
              <w:spacing w:before="108"/>
              <w:ind w:left="85"/>
              <w:jc w:val="both"/>
            </w:pPr>
            <w:r>
              <w:t xml:space="preserve">Всички деривати с финансови контрагенти, вписани в пасива на баланса. </w:t>
            </w:r>
          </w:p>
        </w:tc>
      </w:tr>
      <w:tr w:rsidR="00FE5D64"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FE5D64" w:rsidRDefault="00E40776">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FE5D64" w:rsidRDefault="00E40776">
            <w:pPr>
              <w:pStyle w:val="P68B1DB1-TableParagraph14"/>
              <w:spacing w:before="108"/>
              <w:ind w:left="85"/>
              <w:jc w:val="both"/>
              <w:rPr>
                <w:bCs/>
              </w:rPr>
            </w:pPr>
            <w:r>
              <w:t>Други видове продукти (1), (2) и (3)</w:t>
            </w:r>
          </w:p>
          <w:p w14:paraId="7FE1B9EC" w14:textId="77777777" w:rsidR="00FE5D64" w:rsidRDefault="00E40776">
            <w:pPr>
              <w:pStyle w:val="P68B1DB1-TableParagraph17"/>
              <w:spacing w:before="108"/>
              <w:ind w:left="85"/>
            </w:pPr>
            <w:r>
              <w:t xml:space="preserve">Всички функции на икономическата функция „Финансиране на едро“, които не са </w:t>
            </w:r>
            <w:r>
              <w:lastRenderedPageBreak/>
              <w:t>включени по-горе.</w:t>
            </w:r>
          </w:p>
        </w:tc>
      </w:tr>
    </w:tbl>
    <w:p w14:paraId="7FE1B9EE" w14:textId="77777777" w:rsidR="00FE5D64" w:rsidRDefault="00FE5D64">
      <w:pPr>
        <w:pStyle w:val="InstructionsText2"/>
        <w:numPr>
          <w:ilvl w:val="0"/>
          <w:numId w:val="0"/>
        </w:numPr>
        <w:ind w:left="1440" w:firstLine="18"/>
        <w:rPr>
          <w:rFonts w:ascii="Times New Roman" w:hAnsi="Times New Roman" w:cs="Times New Roman"/>
          <w:sz w:val="20"/>
          <w:szCs w:val="20"/>
        </w:rPr>
      </w:pPr>
    </w:p>
    <w:p w14:paraId="7FE1B9EF" w14:textId="3D9C3A6F" w:rsidR="00FE5D64" w:rsidRDefault="00E40776">
      <w:pPr>
        <w:pStyle w:val="P68B1DB1-Instructionsberschrift25"/>
        <w:numPr>
          <w:ilvl w:val="1"/>
          <w:numId w:val="49"/>
        </w:numPr>
        <w:ind w:left="357" w:hanging="357"/>
      </w:pPr>
      <w:bookmarkStart w:id="108" w:name="_Toc208244463"/>
      <w:r>
        <w:t>Z 07.01.1 FUNC 1 DEP</w:t>
      </w:r>
      <w:bookmarkEnd w:id="108"/>
    </w:p>
    <w:p w14:paraId="7FE1B9F9" w14:textId="77777777" w:rsidR="00FE5D64" w:rsidRDefault="00FE5D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E5D64"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FE5D64" w:rsidRDefault="00E40776">
            <w:pPr>
              <w:pStyle w:val="P68B1DB1-TableParagraph17"/>
              <w:spacing w:before="108"/>
              <w:ind w:left="85"/>
              <w:jc w:val="both"/>
            </w:pPr>
            <w:r>
              <w:t>Колони</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FE5D64" w:rsidRDefault="00E40776">
            <w:pPr>
              <w:pStyle w:val="P68B1DB1-TableParagraph17"/>
              <w:spacing w:before="108"/>
              <w:ind w:left="85" w:right="1"/>
              <w:jc w:val="both"/>
            </w:pPr>
            <w:r>
              <w:t>Указания</w:t>
            </w:r>
          </w:p>
        </w:tc>
      </w:tr>
      <w:tr w:rsidR="00FE5D64"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FE5D64" w:rsidRDefault="00E40776">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FE5D64" w:rsidRDefault="00E40776">
            <w:pPr>
              <w:pStyle w:val="P68B1DB1-TableParagraph14"/>
              <w:spacing w:before="108"/>
              <w:ind w:left="85"/>
              <w:jc w:val="both"/>
              <w:rPr>
                <w:bCs/>
              </w:rPr>
            </w:pPr>
            <w:r>
              <w:t>Описание на икономическата функция</w:t>
            </w:r>
          </w:p>
          <w:p w14:paraId="7FE1B9FF" w14:textId="2DF858EE" w:rsidR="00FE5D64" w:rsidRDefault="00E40776">
            <w:pPr>
              <w:pStyle w:val="P68B1DB1-TableParagraph17"/>
              <w:spacing w:before="108"/>
              <w:ind w:left="85"/>
            </w:pPr>
            <w:r>
              <w:t xml:space="preserve">Когато икономическата функция е от вида „Други“ (функции от r0050 до r0070), се предоставя описание на тази функция. </w:t>
            </w:r>
          </w:p>
        </w:tc>
      </w:tr>
      <w:tr w:rsidR="00FE5D64"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FE5D64" w:rsidRDefault="00E40776">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FE5D64" w:rsidRDefault="00E40776">
            <w:pPr>
              <w:pStyle w:val="P68B1DB1-TableParagraph14"/>
              <w:spacing w:before="108"/>
              <w:ind w:left="85"/>
              <w:jc w:val="both"/>
              <w:rPr>
                <w:bCs/>
              </w:rPr>
            </w:pPr>
            <w:r>
              <w:t xml:space="preserve">Пазарен дял </w:t>
            </w:r>
          </w:p>
          <w:p w14:paraId="7FE1BA03" w14:textId="2B787841" w:rsidR="00FE5D64" w:rsidRDefault="00E40776">
            <w:pPr>
              <w:pStyle w:val="P68B1DB1-TableParagraph17"/>
              <w:spacing w:before="108"/>
              <w:ind w:left="85"/>
            </w:pPr>
            <w:r>
              <w:t>Приблизителна оценка на пазарния дял на институцията или групата за икономическата функция в съответната държава или географска област. Процент от общия пазар от гледна точка на стойността на сметките.</w:t>
            </w:r>
          </w:p>
        </w:tc>
      </w:tr>
      <w:tr w:rsidR="00FE5D64"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FE5D64" w:rsidRDefault="00E40776">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FE5D64" w:rsidRDefault="00E40776">
            <w:pPr>
              <w:pStyle w:val="P68B1DB1-TableParagraph14"/>
              <w:spacing w:before="108"/>
              <w:jc w:val="both"/>
              <w:rPr>
                <w:bCs/>
              </w:rPr>
            </w:pPr>
            <w:r>
              <w:t>Стойност по сметки</w:t>
            </w:r>
          </w:p>
          <w:p w14:paraId="7FE1BA07" w14:textId="77777777" w:rsidR="00FE5D64" w:rsidRDefault="00E40776">
            <w:pPr>
              <w:pStyle w:val="P68B1DB1-TableParagraph17"/>
              <w:spacing w:before="108"/>
            </w:pPr>
            <w:r>
              <w:t>Балансова стойност (включително начислената лихва) на приетите депозити.</w:t>
            </w:r>
          </w:p>
          <w:p w14:paraId="7FE1BA08" w14:textId="77777777" w:rsidR="00FE5D64" w:rsidRDefault="00E40776">
            <w:pPr>
              <w:pStyle w:val="P68B1DB1-TableParagraph17"/>
              <w:spacing w:before="108"/>
            </w:pPr>
            <w:r>
              <w:t>Референтни документи: FINREP, приложения III и IV, образец F 08.01 и приложение V, част 2, параграф 97.</w:t>
            </w:r>
          </w:p>
        </w:tc>
      </w:tr>
      <w:tr w:rsidR="00FE5D64"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FE5D64" w:rsidRDefault="00E40776">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FE5D64" w:rsidRDefault="00E40776">
            <w:pPr>
              <w:pStyle w:val="P68B1DB1-TableParagraph14"/>
              <w:spacing w:before="108"/>
              <w:jc w:val="both"/>
              <w:rPr>
                <w:bCs/>
              </w:rPr>
            </w:pPr>
            <w:bookmarkStart w:id="109" w:name="_Hlk162030772"/>
            <w:r>
              <w:t>От които незастраховани</w:t>
            </w:r>
          </w:p>
          <w:p w14:paraId="7FE1BA0C" w14:textId="464500AA" w:rsidR="00FE5D64" w:rsidRDefault="00E40776">
            <w:pPr>
              <w:pStyle w:val="P68B1DB1-TableParagraph13"/>
              <w:spacing w:before="108"/>
              <w:rPr>
                <w:rFonts w:eastAsia="Cambria"/>
              </w:rPr>
            </w:pPr>
            <w:r>
              <w:t>Балансова стойност (включително начислената лихва) на депозити, приети със салдото по тяхната сметка над</w:t>
            </w:r>
            <w:bookmarkEnd w:id="109"/>
            <w:r>
              <w:t>100 000,00 EUR. Посочва се само сумата, надвишаваща 100 EUR.</w:t>
            </w:r>
          </w:p>
        </w:tc>
      </w:tr>
      <w:tr w:rsidR="00FE5D64"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FE5D64" w:rsidRDefault="00E40776">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FE5D64" w:rsidRDefault="00E40776">
            <w:pPr>
              <w:pStyle w:val="P68B1DB1-TableParagraph14"/>
              <w:spacing w:before="108"/>
              <w:ind w:left="85"/>
              <w:jc w:val="both"/>
              <w:rPr>
                <w:bCs/>
              </w:rPr>
            </w:pPr>
            <w:bookmarkStart w:id="110" w:name="_Hlk162030782"/>
            <w:r>
              <w:t>От които повтарящи се</w:t>
            </w:r>
          </w:p>
          <w:p w14:paraId="7FE1BA12" w14:textId="14AEAE5C" w:rsidR="00FE5D64" w:rsidRDefault="00E40776">
            <w:pPr>
              <w:pStyle w:val="P68B1DB1-TableParagraph13"/>
              <w:spacing w:before="108"/>
              <w:ind w:left="85"/>
              <w:jc w:val="both"/>
            </w:pPr>
            <w:bookmarkStart w:id="111" w:name="_Hlk170377814"/>
            <w:bookmarkStart w:id="112" w:name="_Hlk162030851"/>
            <w:r>
              <w:t xml:space="preserve">Балансовата стойност (включително начислената лихва) на приетите депозити, които се държат по периодична депозитна сметка.  Периодичните депозитни сметки са депозитни сметки, по които сметката е била дебитирана или кредитирана с поне 5 месечни трансакции средно през 6-те месеца, предхождащи крайната дата, с изключение на годишните такси, другите такси и лихвените плащания, свързани със сметката. </w:t>
            </w:r>
            <w:bookmarkEnd w:id="111"/>
          </w:p>
          <w:bookmarkEnd w:id="110"/>
          <w:bookmarkEnd w:id="112"/>
          <w:p w14:paraId="7FE1BA13" w14:textId="0C63C868" w:rsidR="00FE5D64" w:rsidRDefault="00FE5D64">
            <w:pPr>
              <w:pStyle w:val="TableParagraph"/>
              <w:spacing w:before="108"/>
              <w:ind w:left="85"/>
              <w:jc w:val="both"/>
              <w:rPr>
                <w:rFonts w:ascii="Times New Roman" w:hAnsi="Times New Roman" w:cs="Times New Roman"/>
                <w:color w:val="000000" w:themeColor="text1"/>
                <w:sz w:val="20"/>
                <w:szCs w:val="20"/>
              </w:rPr>
            </w:pPr>
          </w:p>
        </w:tc>
      </w:tr>
      <w:tr w:rsidR="00FE5D64"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FE5D64" w:rsidRDefault="00E40776">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FE5D64" w:rsidRDefault="00E40776">
            <w:pPr>
              <w:pStyle w:val="P68B1DB1-TableParagraph14"/>
              <w:spacing w:before="108"/>
              <w:ind w:left="85"/>
              <w:jc w:val="both"/>
              <w:rPr>
                <w:bCs/>
              </w:rPr>
            </w:pPr>
            <w:r>
              <w:t>Брой клиенти</w:t>
            </w:r>
          </w:p>
          <w:p w14:paraId="7FE1BA17" w14:textId="77777777" w:rsidR="00FE5D64" w:rsidRDefault="00E40776">
            <w:pPr>
              <w:pStyle w:val="P68B1DB1-TableParagraph13"/>
              <w:spacing w:before="108"/>
              <w:ind w:left="85"/>
              <w:jc w:val="both"/>
            </w:pPr>
            <w:r>
              <w:t>Общ брой клиенти, които са депозирали стойностите, отчетени в c0030 „стойност по сметки“. Ако един клиент използва повече от един депозитен продукт/депозитна сметка, клиентът се брои само веднъж.</w:t>
            </w:r>
          </w:p>
        </w:tc>
      </w:tr>
      <w:tr w:rsidR="00FE5D64"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FE5D64" w:rsidRDefault="00E40776">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FE5D64" w:rsidRDefault="00E40776">
            <w:pPr>
              <w:pStyle w:val="P68B1DB1-TableParagraph14"/>
              <w:spacing w:before="108"/>
              <w:ind w:left="85"/>
              <w:jc w:val="both"/>
              <w:rPr>
                <w:bCs/>
              </w:rPr>
            </w:pPr>
            <w:r>
              <w:t>Брой сметки</w:t>
            </w:r>
          </w:p>
          <w:p w14:paraId="7FE1BA1B" w14:textId="77777777" w:rsidR="00FE5D64" w:rsidRDefault="00E40776">
            <w:pPr>
              <w:pStyle w:val="P68B1DB1-TableParagraph13"/>
              <w:spacing w:before="108"/>
              <w:ind w:left="85"/>
              <w:jc w:val="both"/>
            </w:pPr>
            <w:r>
              <w:t>Общ брой текущи сметки/овърнайт депозити, депозити с договорен матуритет и</w:t>
            </w:r>
          </w:p>
          <w:p w14:paraId="7FE1BA1C" w14:textId="36D44222" w:rsidR="00FE5D64" w:rsidRDefault="00E40776">
            <w:pPr>
              <w:pStyle w:val="P68B1DB1-TableParagraph13"/>
              <w:spacing w:before="108"/>
              <w:ind w:left="85"/>
              <w:jc w:val="both"/>
            </w:pPr>
            <w:r>
              <w:t>Депозити, договорени за ползване след предизвестие Съвместните сметки се отчитат само веднъж. Вносът</w:t>
            </w:r>
          </w:p>
          <w:p w14:paraId="7FE1BA1D" w14:textId="07F9DB1C" w:rsidR="00FE5D64" w:rsidRDefault="00E40776">
            <w:pPr>
              <w:pStyle w:val="P68B1DB1-TableParagraph13"/>
              <w:spacing w:before="108"/>
              <w:ind w:left="85"/>
              <w:jc w:val="both"/>
            </w:pPr>
            <w:r>
              <w:t>Общият брой на сметките в тази колона съответства на стойността, отчетена в c0030</w:t>
            </w:r>
          </w:p>
          <w:p w14:paraId="7FE1BA1E" w14:textId="77777777" w:rsidR="00FE5D64" w:rsidRDefault="00E40776">
            <w:pPr>
              <w:pStyle w:val="P68B1DB1-TableParagraph13"/>
              <w:spacing w:before="108"/>
              <w:ind w:left="85"/>
              <w:jc w:val="both"/>
              <w:rPr>
                <w:b/>
                <w:bCs/>
              </w:rPr>
            </w:pPr>
            <w:r>
              <w:t>„стойност по сметки“.</w:t>
            </w:r>
          </w:p>
        </w:tc>
      </w:tr>
      <w:tr w:rsidR="00FE5D64"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FE5D64" w:rsidRDefault="00E40776">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FE5D64" w:rsidRDefault="00E40776">
            <w:pPr>
              <w:pStyle w:val="P68B1DB1-TableParagraph14"/>
              <w:spacing w:before="108"/>
              <w:ind w:left="85"/>
              <w:jc w:val="both"/>
              <w:rPr>
                <w:bCs/>
              </w:rPr>
            </w:pPr>
            <w:r>
              <w:t>От които повтарящи се</w:t>
            </w:r>
          </w:p>
          <w:p w14:paraId="7FE1BA22" w14:textId="00C60993" w:rsidR="00FE5D64" w:rsidRDefault="00E40776">
            <w:pPr>
              <w:pStyle w:val="P68B1DB1-TableParagraph13"/>
              <w:spacing w:before="108"/>
              <w:ind w:left="85"/>
              <w:jc w:val="both"/>
            </w:pPr>
            <w:r>
              <w:t>Общ брой повтарящи се сметки, както е определено в c0036</w:t>
            </w:r>
          </w:p>
        </w:tc>
      </w:tr>
      <w:tr w:rsidR="00FE5D64"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FE5D64" w:rsidRDefault="00E40776">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FE5D64" w:rsidRDefault="00E40776">
            <w:pPr>
              <w:pStyle w:val="P68B1DB1-TableParagraph14"/>
              <w:spacing w:before="108"/>
              <w:ind w:left="85"/>
              <w:jc w:val="both"/>
              <w:rPr>
                <w:bCs/>
              </w:rPr>
            </w:pPr>
            <w:r>
              <w:t>Трансгранична стойност</w:t>
            </w:r>
          </w:p>
          <w:p w14:paraId="7FE1BA26" w14:textId="77777777" w:rsidR="00FE5D64" w:rsidRDefault="00E40776">
            <w:pPr>
              <w:pStyle w:val="P68B1DB1-TableParagraph13"/>
              <w:spacing w:before="108"/>
              <w:ind w:left="85"/>
              <w:jc w:val="both"/>
            </w:pPr>
            <w:r>
              <w:t>Стойност по сметки на нерезиденти (чуждестранни лица). Домашните помощници включват: i)</w:t>
            </w:r>
          </w:p>
          <w:p w14:paraId="7FE1BA27" w14:textId="77777777" w:rsidR="00FE5D64" w:rsidRDefault="00E40776">
            <w:pPr>
              <w:pStyle w:val="P68B1DB1-TableParagraph13"/>
              <w:spacing w:before="108"/>
              <w:ind w:left="85"/>
              <w:jc w:val="both"/>
            </w:pPr>
            <w:r>
              <w:t>лица, които имат основен икономически интерес (икономически дейности в продължение на най-малко една година;</w:t>
            </w:r>
          </w:p>
          <w:p w14:paraId="7FE1BA28" w14:textId="77777777" w:rsidR="00FE5D64" w:rsidRDefault="00E40776">
            <w:pPr>
              <w:pStyle w:val="P68B1DB1-TableParagraph13"/>
              <w:spacing w:before="108"/>
              <w:ind w:left="85"/>
              <w:jc w:val="both"/>
            </w:pPr>
            <w:r>
              <w:t>притежаването на материални активи се счита за достатъчно доказателство) в рамките на държавата на</w:t>
            </w:r>
          </w:p>
          <w:p w14:paraId="7FE1BA29" w14:textId="77777777" w:rsidR="00FE5D64" w:rsidRDefault="00E40776">
            <w:pPr>
              <w:pStyle w:val="P68B1DB1-TableParagraph13"/>
              <w:spacing w:before="108"/>
              <w:ind w:left="85"/>
              <w:jc w:val="both"/>
            </w:pPr>
            <w:r>
              <w:t>отчитащо се предприятие и ii) чуждестранни клонове на клиентите на отчитащото се предприятие.</w:t>
            </w:r>
          </w:p>
          <w:p w14:paraId="7FE1BA2A" w14:textId="77777777" w:rsidR="00FE5D64" w:rsidRDefault="00E40776">
            <w:pPr>
              <w:pStyle w:val="P68B1DB1-TableParagraph13"/>
              <w:spacing w:before="108"/>
              <w:ind w:left="85"/>
              <w:jc w:val="both"/>
              <w:rPr>
                <w:b/>
                <w:bCs/>
              </w:rPr>
            </w:pPr>
            <w:r>
              <w:t xml:space="preserve">Референтен номер: </w:t>
            </w:r>
          </w:p>
        </w:tc>
      </w:tr>
      <w:tr w:rsidR="00FE5D64"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FE5D64" w:rsidRDefault="00E40776">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FE5D64" w:rsidRDefault="00E40776">
            <w:pPr>
              <w:pStyle w:val="P68B1DB1-TableParagraph14"/>
              <w:spacing w:before="108"/>
              <w:jc w:val="both"/>
              <w:rPr>
                <w:bCs/>
              </w:rPr>
            </w:pPr>
            <w:r>
              <w:t>Анализи на въздействието и заменяемостта</w:t>
            </w:r>
          </w:p>
          <w:p w14:paraId="7FE1BA2E" w14:textId="2C85C98D" w:rsidR="00FE5D64" w:rsidRDefault="00E40776">
            <w:pPr>
              <w:pStyle w:val="P68B1DB1-Normal31"/>
              <w:spacing w:line="276" w:lineRule="auto"/>
              <w:jc w:val="both"/>
            </w:pPr>
            <w:r>
              <w:t>Критериите за оценка на въздействието върху трети страни включват следните елементи в съответствие с делегиран регламент (ЕС) 2016/778 на Комисията:</w:t>
            </w:r>
          </w:p>
          <w:p w14:paraId="7FE1BA2F" w14:textId="77777777" w:rsidR="00FE5D64" w:rsidRDefault="00E40776">
            <w:pPr>
              <w:pStyle w:val="P68B1DB1-ListParagraph32"/>
              <w:numPr>
                <w:ilvl w:val="0"/>
                <w:numId w:val="131"/>
              </w:numPr>
              <w:spacing w:line="276" w:lineRule="auto"/>
              <w:rPr>
                <w:b/>
                <w:bCs/>
              </w:rPr>
            </w:pPr>
            <w:r>
              <w:rPr>
                <w:b/>
              </w:rPr>
              <w:t>естеството и глобалния, националния или регионалния обхват на дейността</w:t>
            </w:r>
            <w:r>
              <w:t>, както и обема и броя на трансакциите; броя на клиентите и контрагентите; броя на клиентите, за които институцията е единственият или основният банков партньор;</w:t>
            </w:r>
          </w:p>
          <w:p w14:paraId="7FE1BA30" w14:textId="77777777" w:rsidR="00FE5D64" w:rsidRDefault="00E40776">
            <w:pPr>
              <w:pStyle w:val="P68B1DB1-ListParagraph32"/>
              <w:numPr>
                <w:ilvl w:val="0"/>
                <w:numId w:val="131"/>
              </w:numPr>
              <w:spacing w:line="276" w:lineRule="auto"/>
              <w:rPr>
                <w:b/>
                <w:bCs/>
              </w:rPr>
            </w:pPr>
            <w:r>
              <w:rPr>
                <w:b/>
              </w:rPr>
              <w:t>значението на институцията на</w:t>
            </w:r>
            <w:r>
              <w:t xml:space="preserve">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A31" w14:textId="77777777" w:rsidR="00FE5D64" w:rsidRDefault="00E40776">
            <w:pPr>
              <w:pStyle w:val="P68B1DB1-ListParagraph32"/>
              <w:numPr>
                <w:ilvl w:val="0"/>
                <w:numId w:val="131"/>
              </w:numPr>
              <w:spacing w:line="276" w:lineRule="auto"/>
              <w:rPr>
                <w:b/>
                <w:bCs/>
              </w:rPr>
            </w:pPr>
            <w:r>
              <w:rPr>
                <w:b/>
              </w:rPr>
              <w:t>естеството на клиентите и заинтересованите страни, обхванати от функцията</w:t>
            </w:r>
            <w:r>
              <w:t xml:space="preserve"> — например, но не само, индивидуални клиенти, корпоративни клиенти, междубанкови клиенти, централни клирингови къщи и публични субекти; </w:t>
            </w:r>
          </w:p>
          <w:p w14:paraId="7FE1BA32" w14:textId="77777777" w:rsidR="00FE5D64" w:rsidRDefault="00E40776">
            <w:pPr>
              <w:pStyle w:val="P68B1DB1-ListParagraph32"/>
              <w:numPr>
                <w:ilvl w:val="0"/>
                <w:numId w:val="131"/>
              </w:numPr>
              <w:spacing w:line="276" w:lineRule="auto"/>
              <w:rPr>
                <w:b/>
                <w:bCs/>
              </w:rPr>
            </w:pPr>
            <w:r>
              <w:rPr>
                <w:b/>
              </w:rPr>
              <w:t>потенциалното сътресение на функционирането на пазарите, инфраструктурите, клиентите и публичните услуги</w:t>
            </w:r>
            <w:r>
              <w:t xml:space="preserve">. По-конкретно, оценката може да обхване въздействието върху ликвидността на съответните пазари, въздействието и обхвата на сътресенията в отношенията с клиентите, както и краткосрочните потребности от ликвидност; осезаемостта за контрагентите, клиентите и обществеността; капацитета и бързината на реакция на клиентите; значението за функционирането на други пазари; въздействието върху ликвидността, операциите, структурата на друг пазар; въздействието върху други контрагенти, свързани с основните клиенти, и </w:t>
            </w:r>
            <w:r>
              <w:t>взаимовръзките на функцията с други услуги.</w:t>
            </w:r>
          </w:p>
          <w:p w14:paraId="7FE1BA33" w14:textId="77777777" w:rsidR="00FE5D64" w:rsidRDefault="00FE5D64">
            <w:pPr>
              <w:pStyle w:val="TableParagraph"/>
              <w:spacing w:before="108"/>
              <w:ind w:left="85"/>
              <w:jc w:val="both"/>
              <w:rPr>
                <w:rFonts w:ascii="Times New Roman" w:hAnsi="Times New Roman" w:cs="Times New Roman"/>
                <w:b/>
                <w:bCs/>
                <w:color w:val="000000" w:themeColor="text1"/>
                <w:sz w:val="20"/>
                <w:szCs w:val="20"/>
              </w:rPr>
            </w:pPr>
          </w:p>
        </w:tc>
      </w:tr>
      <w:tr w:rsidR="00FE5D64"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FE5D64" w:rsidRDefault="00E40776">
            <w:pPr>
              <w:pStyle w:val="P68B1DB1-TableParagraph17"/>
              <w:spacing w:before="108"/>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FE5D64" w:rsidRDefault="00E40776">
            <w:pPr>
              <w:pStyle w:val="P68B1DB1-TableParagraph14"/>
              <w:spacing w:before="108"/>
              <w:ind w:left="85"/>
              <w:jc w:val="both"/>
              <w:rPr>
                <w:bCs/>
              </w:rPr>
            </w:pPr>
            <w:r>
              <w:t xml:space="preserve">Природа и Reach </w:t>
            </w:r>
          </w:p>
          <w:p w14:paraId="7FE1BA37" w14:textId="77777777" w:rsidR="00FE5D64" w:rsidRDefault="00E40776">
            <w:pPr>
              <w:pStyle w:val="P68B1DB1-TableParagraph33"/>
              <w:spacing w:before="108"/>
              <w:ind w:left="85"/>
              <w:jc w:val="both"/>
              <w:rPr>
                <w:rFonts w:cs="Times New Roman"/>
                <w:b/>
                <w:bCs/>
                <w:color w:val="000000" w:themeColor="text1"/>
              </w:rPr>
            </w:pPr>
            <w:r>
              <w:t>Глобалния, националния или регионалния обхват, обем и брой на сделките; броя на клиентите и контрагентите; броя на клиентите, за които институцията е единственият или основният банков партньор;</w:t>
            </w:r>
          </w:p>
        </w:tc>
      </w:tr>
      <w:tr w:rsidR="00FE5D64"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FE5D64" w:rsidRDefault="00E40776">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FE5D64" w:rsidRDefault="00E40776">
            <w:pPr>
              <w:pStyle w:val="P68B1DB1-TableParagraph14"/>
              <w:spacing w:before="108"/>
              <w:ind w:left="85"/>
              <w:jc w:val="both"/>
              <w:rPr>
                <w:bCs/>
              </w:rPr>
            </w:pPr>
            <w:r>
              <w:t>Показател за размера 1</w:t>
            </w:r>
          </w:p>
          <w:p w14:paraId="7FE1BA3B" w14:textId="0CA29815" w:rsidR="00FE5D64" w:rsidRDefault="00E40776">
            <w:pPr>
              <w:pStyle w:val="P68B1DB1-Normal31"/>
              <w:spacing w:line="276" w:lineRule="auto"/>
              <w:jc w:val="both"/>
            </w:pPr>
            <w:r>
              <w:t xml:space="preserve">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w:t>
            </w:r>
            <w:r>
              <w:lastRenderedPageBreak/>
              <w:t xml:space="preserve">размер на пазара (за капиталовите пазари и финансирането на едро) като референтен показател за тази качествена оценка. </w:t>
            </w:r>
          </w:p>
          <w:p w14:paraId="7FE1BA3C" w14:textId="77777777" w:rsidR="00FE5D64" w:rsidRDefault="00E40776">
            <w:pPr>
              <w:pStyle w:val="P68B1DB1-ListParagraph32"/>
              <w:numPr>
                <w:ilvl w:val="0"/>
                <w:numId w:val="130"/>
              </w:numPr>
              <w:spacing w:line="276" w:lineRule="auto"/>
            </w:pPr>
            <w:r>
              <w:t xml:space="preserve">Експертна оценка на размера на </w:t>
            </w:r>
            <w:r>
              <w:rPr>
                <w:b/>
              </w:rPr>
              <w:t>стойността</w:t>
            </w:r>
            <w:r>
              <w:t xml:space="preserve"> по сметките (c0030) от гледна точка на </w:t>
            </w:r>
            <w:r>
              <w:rPr>
                <w:b/>
              </w:rPr>
              <w:t>ЕС</w:t>
            </w:r>
            <w:r>
              <w:t xml:space="preserve"> </w:t>
            </w:r>
            <w:r>
              <w:rPr>
                <w:i/>
              </w:rPr>
              <w:t>[равнище, по-високо от съответния пазар. Това означава, че когато съответният пазар е регионален, размер 1 = национален; когато е национална, размер 1 = ЕС; когато е ЕС, размер 1 = глобален]</w:t>
            </w:r>
            <w:r>
              <w:t>:</w:t>
            </w:r>
          </w:p>
          <w:p w14:paraId="7FE1BA3D" w14:textId="77777777" w:rsidR="00FE5D64" w:rsidRDefault="00E40776">
            <w:pPr>
              <w:pStyle w:val="P68B1DB1-ListParagraph32"/>
              <w:numPr>
                <w:ilvl w:val="1"/>
                <w:numId w:val="129"/>
              </w:numPr>
              <w:spacing w:line="276" w:lineRule="auto"/>
            </w:pPr>
            <w:r>
              <w:t xml:space="preserve">От гледна точка на ЕС колко голяма според Вас е общата стойност на сметките във Вашата институция? </w:t>
            </w:r>
          </w:p>
          <w:p w14:paraId="7FE1BA3E" w14:textId="77777777" w:rsidR="00FE5D64" w:rsidRDefault="00FE5D64">
            <w:pPr>
              <w:pStyle w:val="TableParagraph"/>
              <w:spacing w:before="108"/>
              <w:ind w:left="85"/>
              <w:jc w:val="both"/>
              <w:rPr>
                <w:rFonts w:ascii="Times New Roman" w:hAnsi="Times New Roman" w:cs="Times New Roman"/>
                <w:b/>
                <w:bCs/>
                <w:color w:val="000000" w:themeColor="text1"/>
                <w:sz w:val="20"/>
                <w:szCs w:val="20"/>
              </w:rPr>
            </w:pPr>
          </w:p>
        </w:tc>
      </w:tr>
      <w:tr w:rsidR="00FE5D64"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FE5D64" w:rsidRDefault="00E40776">
            <w:pPr>
              <w:pStyle w:val="P68B1DB1-TableParagraph17"/>
              <w:spacing w:before="108"/>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FE5D64" w:rsidRDefault="00E40776">
            <w:pPr>
              <w:pStyle w:val="P68B1DB1-TableParagraph14"/>
              <w:spacing w:before="108"/>
              <w:ind w:left="85"/>
              <w:jc w:val="both"/>
              <w:rPr>
                <w:bCs/>
              </w:rPr>
            </w:pPr>
            <w:r>
              <w:t>Показател за размера 2</w:t>
            </w:r>
          </w:p>
          <w:p w14:paraId="3B32AD4C"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A42" w14:textId="7FE1DE6A" w:rsidR="00FE5D64" w:rsidRDefault="00FE5D64">
            <w:pPr>
              <w:spacing w:line="276" w:lineRule="auto"/>
              <w:jc w:val="both"/>
              <w:rPr>
                <w:rFonts w:ascii="Times New Roman" w:eastAsia="Times New Roman" w:hAnsi="Times New Roman" w:cs="Times New Roman"/>
                <w:sz w:val="20"/>
                <w:szCs w:val="20"/>
              </w:rPr>
            </w:pPr>
          </w:p>
          <w:p w14:paraId="7FE1BA43" w14:textId="77777777" w:rsidR="00FE5D64" w:rsidRDefault="00E40776">
            <w:pPr>
              <w:pStyle w:val="P68B1DB1-ListParagraph32"/>
              <w:numPr>
                <w:ilvl w:val="0"/>
                <w:numId w:val="124"/>
              </w:numPr>
              <w:spacing w:line="276" w:lineRule="auto"/>
            </w:pPr>
            <w:r>
              <w:t xml:space="preserve">Експертна оценка на размера на </w:t>
            </w:r>
            <w:r>
              <w:rPr>
                <w:b/>
              </w:rPr>
              <w:t>броя</w:t>
            </w:r>
            <w:r>
              <w:t xml:space="preserve"> клиенти (c0040) от </w:t>
            </w:r>
            <w:r>
              <w:rPr>
                <w:b/>
              </w:rPr>
              <w:t>национална</w:t>
            </w:r>
            <w:r>
              <w:t xml:space="preserve"> гледна точка [</w:t>
            </w:r>
            <w:r>
              <w:rPr>
                <w:i/>
              </w:rPr>
              <w:t>на равнището на съответния пазар</w:t>
            </w:r>
            <w:r>
              <w:t>]:</w:t>
            </w:r>
          </w:p>
          <w:p w14:paraId="7FE1BA44" w14:textId="77777777" w:rsidR="00FE5D64" w:rsidRDefault="00E40776">
            <w:pPr>
              <w:pStyle w:val="P68B1DB1-ListParagraph32"/>
              <w:numPr>
                <w:ilvl w:val="1"/>
                <w:numId w:val="122"/>
              </w:numPr>
              <w:spacing w:line="276" w:lineRule="auto"/>
            </w:pPr>
            <w:r>
              <w:t>От национална гледна точка колко голям е изчисленият общ брой клиенти на институцията?</w:t>
            </w:r>
          </w:p>
          <w:p w14:paraId="7FE1BA45" w14:textId="77777777" w:rsidR="00FE5D64" w:rsidRDefault="00FE5D64">
            <w:pPr>
              <w:pStyle w:val="TableParagraph"/>
              <w:spacing w:before="108"/>
              <w:ind w:left="85"/>
              <w:jc w:val="both"/>
              <w:rPr>
                <w:rFonts w:ascii="Times New Roman" w:hAnsi="Times New Roman" w:cs="Times New Roman"/>
                <w:b/>
                <w:bCs/>
                <w:color w:val="000000" w:themeColor="text1"/>
                <w:sz w:val="20"/>
                <w:szCs w:val="20"/>
              </w:rPr>
            </w:pPr>
          </w:p>
        </w:tc>
      </w:tr>
      <w:tr w:rsidR="00FE5D64"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FE5D64" w:rsidRDefault="00E40776">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FE5D64" w:rsidRDefault="00E40776">
            <w:pPr>
              <w:pStyle w:val="P68B1DB1-TableParagraph14"/>
              <w:spacing w:before="108"/>
              <w:ind w:left="85"/>
              <w:jc w:val="both"/>
              <w:rPr>
                <w:bCs/>
              </w:rPr>
            </w:pPr>
            <w:r>
              <w:t>Трансграничен показател</w:t>
            </w:r>
          </w:p>
          <w:p w14:paraId="7FE1BA49" w14:textId="77777777" w:rsidR="00FE5D64" w:rsidRDefault="00E40776">
            <w:pPr>
              <w:pStyle w:val="P68B1DB1-Normal31"/>
              <w:spacing w:line="276" w:lineRule="auto"/>
              <w:jc w:val="both"/>
            </w:pPr>
            <w:r>
              <w:t>Оценка на относителното значение на трансграничните дейности за различните икономически функции.</w:t>
            </w:r>
          </w:p>
          <w:p w14:paraId="7FE1BA4A" w14:textId="77777777" w:rsidR="00FE5D64" w:rsidRDefault="00E40776">
            <w:pPr>
              <w:pStyle w:val="P68B1DB1-Normal31"/>
              <w:spacing w:line="276" w:lineRule="auto"/>
              <w:jc w:val="both"/>
            </w:pPr>
            <w:r>
              <w:t xml:space="preserve">Това не е необходимо да се оценява в случай на доклади, в които съответният пазар се счита за регионален. </w:t>
            </w:r>
          </w:p>
          <w:p w14:paraId="7FE1BA4B" w14:textId="77777777" w:rsidR="00FE5D64" w:rsidRDefault="00E40776">
            <w:pPr>
              <w:pStyle w:val="P68B1DB1-ListParagraph32"/>
              <w:numPr>
                <w:ilvl w:val="0"/>
                <w:numId w:val="118"/>
              </w:numPr>
              <w:rPr>
                <w:i/>
                <w:iCs/>
              </w:rPr>
            </w:pPr>
            <w:r>
              <w:t xml:space="preserve">Брой на държавите от ЕС, в които се счита, че докладващият субект има национален пазарен дял над 2 %. Доклад: </w:t>
            </w:r>
          </w:p>
          <w:p w14:paraId="7FE1BA4C" w14:textId="380A40CA" w:rsidR="00FE5D64" w:rsidRDefault="00E40776">
            <w:pPr>
              <w:pStyle w:val="P68B1DB1-ListParagraph32"/>
              <w:numPr>
                <w:ilvl w:val="1"/>
                <w:numId w:val="118"/>
              </w:numPr>
              <w:rPr>
                <w:i/>
                <w:iCs/>
              </w:rPr>
            </w:pPr>
            <w:r>
              <w:t xml:space="preserve">≤ 1 държава; </w:t>
            </w:r>
          </w:p>
          <w:p w14:paraId="7FE1BA4D" w14:textId="152EAA32" w:rsidR="00FE5D64" w:rsidRDefault="00E40776">
            <w:pPr>
              <w:pStyle w:val="P68B1DB1-ListParagraph32"/>
              <w:numPr>
                <w:ilvl w:val="1"/>
                <w:numId w:val="118"/>
              </w:numPr>
              <w:rPr>
                <w:i/>
                <w:iCs/>
              </w:rPr>
            </w:pPr>
            <w:r>
              <w:t xml:space="preserve">2—3 държави </w:t>
            </w:r>
          </w:p>
          <w:p w14:paraId="7FE1BA4E" w14:textId="5E1FD2A4" w:rsidR="00FE5D64" w:rsidRDefault="00E40776">
            <w:pPr>
              <w:pStyle w:val="P68B1DB1-ListParagraph32"/>
              <w:numPr>
                <w:ilvl w:val="1"/>
                <w:numId w:val="118"/>
              </w:numPr>
              <w:rPr>
                <w:i/>
                <w:iCs/>
              </w:rPr>
            </w:pPr>
            <w:r>
              <w:t xml:space="preserve">4—5 страни </w:t>
            </w:r>
          </w:p>
          <w:p w14:paraId="7FE1BA4F" w14:textId="744AB982" w:rsidR="00FE5D64" w:rsidRDefault="00E40776">
            <w:pPr>
              <w:pStyle w:val="P68B1DB1-ListParagraph32"/>
              <w:numPr>
                <w:ilvl w:val="1"/>
                <w:numId w:val="118"/>
              </w:numPr>
              <w:rPr>
                <w:i/>
                <w:iCs/>
              </w:rPr>
            </w:pPr>
            <w:r>
              <w:t>&gt; 5 държави.</w:t>
            </w:r>
          </w:p>
          <w:p w14:paraId="7FE1BA50" w14:textId="77777777" w:rsidR="00FE5D64" w:rsidRDefault="00FE5D64">
            <w:pPr>
              <w:pStyle w:val="TableParagraph"/>
              <w:spacing w:before="108"/>
              <w:jc w:val="both"/>
              <w:rPr>
                <w:rFonts w:ascii="Times New Roman" w:hAnsi="Times New Roman" w:cs="Times New Roman"/>
                <w:b/>
                <w:bCs/>
                <w:color w:val="000000" w:themeColor="text1"/>
                <w:sz w:val="20"/>
                <w:szCs w:val="20"/>
              </w:rPr>
            </w:pPr>
          </w:p>
        </w:tc>
      </w:tr>
      <w:tr w:rsidR="00FE5D64"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FE5D64" w:rsidRDefault="00E40776">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FE5D64" w:rsidRDefault="00E40776">
            <w:pPr>
              <w:pStyle w:val="P68B1DB1-TableParagraph14"/>
              <w:spacing w:before="108"/>
              <w:ind w:left="85"/>
              <w:jc w:val="both"/>
              <w:rPr>
                <w:bCs/>
              </w:rPr>
            </w:pPr>
            <w:r>
              <w:t xml:space="preserve">Уместност — </w:t>
            </w:r>
          </w:p>
          <w:p w14:paraId="7FE1BA54" w14:textId="77777777" w:rsidR="00FE5D64" w:rsidRDefault="00E40776">
            <w:pPr>
              <w:pStyle w:val="P68B1DB1-TableParagraph33"/>
              <w:spacing w:before="108"/>
              <w:ind w:left="85"/>
              <w:jc w:val="both"/>
            </w:pPr>
            <w:r>
              <w:t>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A55" w14:textId="77777777" w:rsidR="00FE5D64" w:rsidRDefault="00E40776">
            <w:pPr>
              <w:pStyle w:val="P68B1DB1-TableParagraph14"/>
              <w:spacing w:before="108"/>
              <w:ind w:left="85"/>
              <w:jc w:val="both"/>
              <w:rPr>
                <w:bCs/>
              </w:rPr>
            </w:pPr>
            <w:r>
              <w:t>Пазарен дял</w:t>
            </w:r>
          </w:p>
          <w:p w14:paraId="7FE1BA56" w14:textId="77777777" w:rsidR="00FE5D64" w:rsidRDefault="00E40776">
            <w:pPr>
              <w:pStyle w:val="P68B1DB1-Normal31"/>
              <w:spacing w:line="276" w:lineRule="auto"/>
              <w:jc w:val="both"/>
            </w:pPr>
            <w:r>
              <w:t xml:space="preserve">Преценете колко важен е пазарният дял на отчитащия се субект в сравнение с националния или друг съответен пазар, както е посочено в образеца. Тази оценка е изразена качествено по следния начин: </w:t>
            </w:r>
          </w:p>
          <w:p w14:paraId="7FE1BA57" w14:textId="4FBBC6A6" w:rsidR="00FE5D64" w:rsidRDefault="00E40776">
            <w:pPr>
              <w:pStyle w:val="P68B1DB1-ListParagraph32"/>
              <w:numPr>
                <w:ilvl w:val="0"/>
                <w:numId w:val="276"/>
              </w:numPr>
              <w:spacing w:line="276" w:lineRule="auto"/>
              <w:jc w:val="both"/>
            </w:pPr>
            <w:r>
              <w:t>Висок, ако пазарният дял е голям</w:t>
            </w:r>
          </w:p>
          <w:p w14:paraId="7FE1BA58" w14:textId="71C0B34E" w:rsidR="00FE5D64" w:rsidRDefault="00E40776">
            <w:pPr>
              <w:pStyle w:val="P68B1DB1-ListParagraph32"/>
              <w:numPr>
                <w:ilvl w:val="0"/>
                <w:numId w:val="276"/>
              </w:numPr>
              <w:spacing w:line="276" w:lineRule="auto"/>
              <w:jc w:val="both"/>
            </w:pPr>
            <w:r>
              <w:t>Средно висок, ако пазарният дял е среден</w:t>
            </w:r>
          </w:p>
          <w:p w14:paraId="7FE1BA59" w14:textId="08ABB1D9" w:rsidR="00FE5D64" w:rsidRDefault="00E40776">
            <w:pPr>
              <w:pStyle w:val="P68B1DB1-ListParagraph32"/>
              <w:numPr>
                <w:ilvl w:val="0"/>
                <w:numId w:val="276"/>
              </w:numPr>
              <w:spacing w:line="276" w:lineRule="auto"/>
              <w:jc w:val="both"/>
            </w:pPr>
            <w:r>
              <w:t xml:space="preserve">Средно нисък, ако пазарният дял е малък или </w:t>
            </w:r>
          </w:p>
          <w:p w14:paraId="7FE1BA5A" w14:textId="3DD284B5" w:rsidR="00FE5D64" w:rsidRDefault="00E40776">
            <w:pPr>
              <w:pStyle w:val="P68B1DB1-ListParagraph32"/>
              <w:numPr>
                <w:ilvl w:val="0"/>
                <w:numId w:val="276"/>
              </w:numPr>
              <w:spacing w:line="276" w:lineRule="auto"/>
              <w:jc w:val="both"/>
            </w:pPr>
            <w:r>
              <w:lastRenderedPageBreak/>
              <w:t xml:space="preserve">Нисък, ако пазарният дял е незначителен. </w:t>
            </w:r>
          </w:p>
          <w:p w14:paraId="7FE1BA5B" w14:textId="77777777" w:rsidR="00FE5D64" w:rsidRDefault="00E40776">
            <w:pPr>
              <w:pStyle w:val="P68B1DB1-Normal31"/>
              <w:spacing w:line="276" w:lineRule="auto"/>
              <w:jc w:val="both"/>
            </w:pPr>
            <w:r>
              <w:t xml:space="preserve">При тази оценка се взема предвид пазарната структура на държавата на отчитащото се предприятие (или друг съответен пазар) и пазарните дялове, отчетени частично. </w:t>
            </w:r>
          </w:p>
          <w:p w14:paraId="7FE1BA5C" w14:textId="77777777" w:rsidR="00FE5D64" w:rsidRDefault="00E40776">
            <w:pPr>
              <w:pStyle w:val="P68B1DB1-Normal31"/>
              <w:spacing w:line="276" w:lineRule="auto"/>
              <w:jc w:val="both"/>
            </w:pPr>
            <w:r>
              <w:t>2.Количествени данни:</w:t>
            </w:r>
          </w:p>
          <w:p w14:paraId="7FE1BA5D" w14:textId="77777777" w:rsidR="00FE5D64" w:rsidRDefault="00E40776">
            <w:pPr>
              <w:pStyle w:val="P68B1DB1-ListParagraph32"/>
              <w:numPr>
                <w:ilvl w:val="0"/>
                <w:numId w:val="117"/>
              </w:numPr>
              <w:spacing w:line="276" w:lineRule="auto"/>
              <w:jc w:val="both"/>
              <w:rPr>
                <w:i/>
                <w:iCs/>
              </w:rPr>
            </w:pPr>
            <w:r>
              <w:t xml:space="preserve">Експертна оценка на размера на </w:t>
            </w:r>
            <w:r>
              <w:rPr>
                <w:b/>
              </w:rPr>
              <w:t xml:space="preserve">националния </w:t>
            </w:r>
            <w:r>
              <w:t>пазарен дял (докладвана в c0020, освен в случаите, когато докладът е предоставен за различно съответно пазарно равнище, в който случай се очаква оценка на съответния пазарен дял).</w:t>
            </w:r>
          </w:p>
          <w:p w14:paraId="7FE1BA5E" w14:textId="77777777" w:rsidR="00FE5D64" w:rsidRDefault="00FE5D64">
            <w:pPr>
              <w:spacing w:line="276" w:lineRule="auto"/>
              <w:jc w:val="both"/>
              <w:rPr>
                <w:rFonts w:ascii="Times New Roman" w:eastAsia="Times New Roman" w:hAnsi="Times New Roman" w:cs="Times New Roman"/>
                <w:sz w:val="20"/>
                <w:szCs w:val="20"/>
              </w:rPr>
            </w:pPr>
          </w:p>
          <w:p w14:paraId="7FE1BA5F" w14:textId="77777777" w:rsidR="00FE5D64" w:rsidRDefault="00FE5D64">
            <w:pPr>
              <w:pStyle w:val="TableParagraph"/>
              <w:spacing w:before="108"/>
              <w:ind w:left="85"/>
              <w:jc w:val="both"/>
              <w:rPr>
                <w:rFonts w:ascii="Times New Roman" w:hAnsi="Times New Roman" w:cs="Times New Roman"/>
                <w:b/>
                <w:bCs/>
                <w:color w:val="000000" w:themeColor="text1"/>
                <w:sz w:val="20"/>
                <w:szCs w:val="20"/>
              </w:rPr>
            </w:pPr>
          </w:p>
        </w:tc>
      </w:tr>
      <w:tr w:rsidR="00FE5D64"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FE5D64" w:rsidRDefault="00E40776">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FE5D64" w:rsidRDefault="00E40776">
            <w:pPr>
              <w:pStyle w:val="P68B1DB1-TableParagraph14"/>
              <w:spacing w:before="108"/>
              <w:ind w:left="85"/>
              <w:jc w:val="both"/>
              <w:rPr>
                <w:bCs/>
              </w:rPr>
            </w:pPr>
            <w:r>
              <w:t>Пазарна структура — концентрация на пазара</w:t>
            </w:r>
          </w:p>
          <w:p w14:paraId="7FE1BA63" w14:textId="77777777" w:rsidR="00FE5D64" w:rsidRDefault="00E40776">
            <w:pPr>
              <w:pStyle w:val="P68B1DB1-Normal31"/>
              <w:jc w:val="both"/>
            </w:pPr>
            <w:r>
              <w:t xml:space="preserve">Концентрацията на пазара, измерена чрез броя на конкурентите, които понастоящем функционират </w:t>
            </w:r>
          </w:p>
          <w:p w14:paraId="7FE1BA64" w14:textId="77777777" w:rsidR="00FE5D64" w:rsidRDefault="00E40776">
            <w:pPr>
              <w:pStyle w:val="P68B1DB1-Normal31"/>
              <w:jc w:val="both"/>
            </w:pPr>
            <w:r>
              <w:t xml:space="preserve">сходни икономически функции и/или предлагане на сходни услуги при равни условия (т.е. </w:t>
            </w:r>
          </w:p>
          <w:p w14:paraId="7FE1BA65" w14:textId="77777777" w:rsidR="00FE5D64" w:rsidRDefault="00E40776">
            <w:pPr>
              <w:pStyle w:val="P68B1DB1-Normal31"/>
              <w:jc w:val="both"/>
            </w:pPr>
            <w:r>
              <w:t xml:space="preserve">съпоставима степен и качество и на сравнима цена), които потенциално ще поемат </w:t>
            </w:r>
          </w:p>
          <w:p w14:paraId="7FE1BA66" w14:textId="77777777" w:rsidR="00FE5D64" w:rsidRDefault="00E40776">
            <w:pPr>
              <w:pStyle w:val="P68B1DB1-Normal31"/>
              <w:jc w:val="both"/>
            </w:pPr>
            <w:r>
              <w:t xml:space="preserve">(част от) клиентите и/или стопанската дейност на отчитащото се предприятие в рамките на разумен срок. </w:t>
            </w:r>
          </w:p>
          <w:p w14:paraId="7FE1BA67" w14:textId="77777777" w:rsidR="00FE5D64" w:rsidRDefault="00E40776">
            <w:pPr>
              <w:pStyle w:val="P68B1DB1-Normal31"/>
              <w:jc w:val="both"/>
            </w:pPr>
            <w:r>
              <w:t xml:space="preserve">Това се отчита в групи, които са еднакви за всяка подфункция. </w:t>
            </w:r>
          </w:p>
          <w:p w14:paraId="7FE1BA68" w14:textId="5B483BC6" w:rsidR="00FE5D64" w:rsidRDefault="00E40776">
            <w:pPr>
              <w:pStyle w:val="P68B1DB1-ListParagraph32"/>
              <w:numPr>
                <w:ilvl w:val="0"/>
                <w:numId w:val="277"/>
              </w:numPr>
              <w:jc w:val="both"/>
            </w:pPr>
            <w:bookmarkStart w:id="113" w:name="_Hlk194417513"/>
            <w:r>
              <w:t xml:space="preserve">&gt; 20 конкуренти; </w:t>
            </w:r>
          </w:p>
          <w:p w14:paraId="7FE1BA69" w14:textId="7D2A0C84" w:rsidR="00FE5D64" w:rsidRDefault="00E40776">
            <w:pPr>
              <w:pStyle w:val="P68B1DB1-ListParagraph32"/>
              <w:numPr>
                <w:ilvl w:val="0"/>
                <w:numId w:val="277"/>
              </w:numPr>
              <w:jc w:val="both"/>
            </w:pPr>
            <w:r>
              <w:t xml:space="preserve">11—20 конкуренти; </w:t>
            </w:r>
          </w:p>
          <w:p w14:paraId="7FE1BA6A" w14:textId="5EF3634F" w:rsidR="00FE5D64" w:rsidRDefault="00E40776">
            <w:pPr>
              <w:pStyle w:val="P68B1DB1-ListParagraph32"/>
              <w:numPr>
                <w:ilvl w:val="0"/>
                <w:numId w:val="277"/>
              </w:numPr>
              <w:jc w:val="both"/>
            </w:pPr>
            <w:r>
              <w:t xml:space="preserve">От 5 до 10 състезатели, </w:t>
            </w:r>
          </w:p>
          <w:p w14:paraId="7FE1BA6B" w14:textId="3A6E6804" w:rsidR="00FE5D64" w:rsidRDefault="00E40776">
            <w:pPr>
              <w:pStyle w:val="P68B1DB1-ListParagraph32"/>
              <w:numPr>
                <w:ilvl w:val="0"/>
                <w:numId w:val="277"/>
              </w:numPr>
              <w:jc w:val="both"/>
              <w:rPr>
                <w:b/>
                <w:bCs/>
                <w:color w:val="000000" w:themeColor="text1"/>
              </w:rPr>
            </w:pPr>
            <w:r>
              <w:t>„5</w:t>
            </w:r>
            <w:bookmarkEnd w:id="113"/>
            <w:r>
              <w:t xml:space="preserve"> конкуренти“</w:t>
            </w:r>
          </w:p>
          <w:p w14:paraId="7FE1BA6C" w14:textId="77777777" w:rsidR="00FE5D64" w:rsidRDefault="00E40776">
            <w:pPr>
              <w:pStyle w:val="P68B1DB1-Normal34"/>
              <w:ind w:left="360"/>
              <w:jc w:val="both"/>
              <w:rPr>
                <w:i/>
                <w:iCs/>
              </w:rPr>
            </w:pPr>
            <w:r>
              <w:t xml:space="preserve">Експертна оценка на размера на </w:t>
            </w:r>
            <w:r>
              <w:rPr>
                <w:b/>
              </w:rPr>
              <w:t xml:space="preserve">националния </w:t>
            </w:r>
            <w:r>
              <w:t>пазарен дял (докладвана в c0020, освен в случаите, когато докладът е предоставен за различно съответно пазарно равнище, в който случай се очаква оценка на съответния пазарен дял).</w:t>
            </w:r>
          </w:p>
          <w:p w14:paraId="7FE1BA6D" w14:textId="77777777" w:rsidR="00FE5D64" w:rsidRDefault="00FE5D64">
            <w:pPr>
              <w:jc w:val="both"/>
              <w:rPr>
                <w:rFonts w:ascii="Times New Roman" w:hAnsi="Times New Roman"/>
                <w:b/>
                <w:bCs/>
                <w:color w:val="000000" w:themeColor="text1"/>
                <w:sz w:val="20"/>
                <w:szCs w:val="20"/>
              </w:rPr>
            </w:pPr>
          </w:p>
        </w:tc>
      </w:tr>
      <w:tr w:rsidR="00FE5D64"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FE5D64" w:rsidRDefault="00E40776">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FE5D64" w:rsidRDefault="00E40776">
            <w:pPr>
              <w:pStyle w:val="P68B1DB1-TableParagraph14"/>
              <w:spacing w:before="108"/>
              <w:ind w:left="85"/>
              <w:jc w:val="both"/>
              <w:rPr>
                <w:bCs/>
              </w:rPr>
            </w:pPr>
            <w:r>
              <w:t>График — очаквано време за заместване</w:t>
            </w:r>
          </w:p>
          <w:p w14:paraId="7FE1BA71" w14:textId="77777777" w:rsidR="00FE5D64" w:rsidRDefault="00E40776">
            <w:pPr>
              <w:pStyle w:val="P68B1DB1-Normal31"/>
              <w:jc w:val="both"/>
            </w:pPr>
            <w:r>
              <w:t>Оценка на времето, необходимо за икономическата функция, предоставена от докладването</w:t>
            </w:r>
          </w:p>
          <w:p w14:paraId="7FE1BA72" w14:textId="77777777" w:rsidR="00FE5D64" w:rsidRDefault="00E40776">
            <w:pPr>
              <w:pStyle w:val="P68B1DB1-Normal31"/>
              <w:jc w:val="both"/>
            </w:pPr>
            <w:r>
              <w:t xml:space="preserve">субект, който трябва да бъде поет от пазара в кризисна ситуация. Това включва: </w:t>
            </w:r>
          </w:p>
          <w:p w14:paraId="7FE1BA73" w14:textId="77777777" w:rsidR="00FE5D64" w:rsidRDefault="00E40776">
            <w:pPr>
              <w:pStyle w:val="P68B1DB1-ListParagraph32"/>
              <w:numPr>
                <w:ilvl w:val="0"/>
                <w:numId w:val="274"/>
              </w:numPr>
              <w:jc w:val="both"/>
            </w:pPr>
            <w:r>
              <w:t xml:space="preserve">очакваното време, необходимо на един или няколко конкурента (ите) за изпълнение на правните и техническите стъпки за поемане на функцията; както и  </w:t>
            </w:r>
          </w:p>
          <w:p w14:paraId="7FE1BA74" w14:textId="77777777" w:rsidR="00FE5D64" w:rsidRDefault="00E40776">
            <w:pPr>
              <w:pStyle w:val="P68B1DB1-ListParagraph32"/>
              <w:numPr>
                <w:ilvl w:val="0"/>
                <w:numId w:val="274"/>
              </w:numPr>
              <w:jc w:val="both"/>
            </w:pPr>
            <w:r>
              <w:t xml:space="preserve">времето, необходимо на ползвателите на услугата да се преместят при друг доставчик на услуги. </w:t>
            </w:r>
          </w:p>
          <w:p w14:paraId="7FE1BA75" w14:textId="77777777" w:rsidR="00FE5D64" w:rsidRDefault="00FE5D64">
            <w:pPr>
              <w:jc w:val="both"/>
              <w:rPr>
                <w:rFonts w:ascii="Times New Roman" w:eastAsia="Times New Roman" w:hAnsi="Times New Roman" w:cs="Times New Roman"/>
                <w:sz w:val="20"/>
                <w:szCs w:val="20"/>
              </w:rPr>
            </w:pPr>
          </w:p>
          <w:p w14:paraId="7FE1BA76" w14:textId="77777777" w:rsidR="00FE5D64" w:rsidRDefault="00E40776">
            <w:pPr>
              <w:pStyle w:val="P68B1DB1-Normal31"/>
              <w:jc w:val="both"/>
            </w:pPr>
            <w:r>
              <w:t xml:space="preserve">Що се отнася до депозитите, то се отнася главно до финансовия, оперативния и техническия капацитет на алтернативните доставчици да предлагат услуги по приемане на депозити на клиентите на отчитащата се банка, а не до прехвърлянето на депозитите на друг доставчик вследствие на действие на орган или получаването на компенсация от СГД. </w:t>
            </w:r>
          </w:p>
          <w:p w14:paraId="7FE1BA77" w14:textId="77777777" w:rsidR="00FE5D64" w:rsidRDefault="00FE5D64">
            <w:pPr>
              <w:jc w:val="both"/>
              <w:rPr>
                <w:rFonts w:ascii="Times New Roman" w:eastAsia="Times New Roman" w:hAnsi="Times New Roman" w:cs="Times New Roman"/>
                <w:sz w:val="20"/>
                <w:szCs w:val="20"/>
              </w:rPr>
            </w:pPr>
          </w:p>
          <w:p w14:paraId="7FE1BA78" w14:textId="77777777" w:rsidR="00FE5D64" w:rsidRDefault="00E40776">
            <w:pPr>
              <w:pStyle w:val="P68B1DB1-Normal31"/>
              <w:jc w:val="both"/>
            </w:pPr>
            <w:r>
              <w:t>Като заместител на първия, представете приблизителна оценка на времето, необходимо на отчитащия се субект да поеме в собствената си стопанска дейност (част от) услугата, предоставяна от друга институция, на разумна цена в кризисна ситуация. Докладвайте очакваното време за заместване в групите, посочени в образеца:</w:t>
            </w:r>
          </w:p>
          <w:p w14:paraId="7FE1BA79" w14:textId="77777777" w:rsidR="00FE5D64" w:rsidRDefault="00FE5D64">
            <w:pPr>
              <w:jc w:val="both"/>
              <w:rPr>
                <w:rFonts w:ascii="Times New Roman" w:hAnsi="Times New Roman" w:cs="Times New Roman"/>
                <w:color w:val="000000" w:themeColor="text1"/>
                <w:sz w:val="20"/>
                <w:szCs w:val="20"/>
              </w:rPr>
            </w:pPr>
          </w:p>
          <w:p w14:paraId="7FE1BA7A" w14:textId="77777777" w:rsidR="00FE5D64" w:rsidRDefault="00E40776">
            <w:pPr>
              <w:pStyle w:val="P68B1DB1-Normal31"/>
              <w:jc w:val="both"/>
            </w:pPr>
            <w:bookmarkStart w:id="114" w:name="_Hlk194476514"/>
            <w:r>
              <w:t xml:space="preserve">Кофи: </w:t>
            </w:r>
          </w:p>
          <w:p w14:paraId="7FE1BA7B" w14:textId="013EC0AB" w:rsidR="00FE5D64" w:rsidRDefault="00E40776">
            <w:pPr>
              <w:pStyle w:val="P68B1DB1-ListParagraph32"/>
              <w:numPr>
                <w:ilvl w:val="0"/>
                <w:numId w:val="280"/>
              </w:numPr>
              <w:jc w:val="both"/>
            </w:pPr>
            <w:r>
              <w:t xml:space="preserve">[...] 1 седмица; </w:t>
            </w:r>
          </w:p>
          <w:p w14:paraId="7FE1BA7C" w14:textId="6818EF73" w:rsidR="00FE5D64" w:rsidRDefault="00E40776">
            <w:pPr>
              <w:pStyle w:val="P68B1DB1-ListParagraph32"/>
              <w:numPr>
                <w:ilvl w:val="0"/>
                <w:numId w:val="280"/>
              </w:numPr>
              <w:jc w:val="both"/>
            </w:pPr>
            <w:r>
              <w:t xml:space="preserve">1 седмица — 1 месец; </w:t>
            </w:r>
          </w:p>
          <w:p w14:paraId="7FE1BA7D" w14:textId="05597976" w:rsidR="00FE5D64" w:rsidRDefault="00E40776">
            <w:pPr>
              <w:pStyle w:val="P68B1DB1-ListParagraph32"/>
              <w:numPr>
                <w:ilvl w:val="0"/>
                <w:numId w:val="280"/>
              </w:numPr>
              <w:jc w:val="both"/>
            </w:pPr>
            <w:r>
              <w:t xml:space="preserve">&gt; 1 месеца — 6 месеца, </w:t>
            </w:r>
          </w:p>
          <w:p w14:paraId="7FE1BA7E" w14:textId="0D41F489" w:rsidR="00FE5D64" w:rsidRDefault="00E40776">
            <w:pPr>
              <w:pStyle w:val="P68B1DB1-ListParagraph32"/>
              <w:numPr>
                <w:ilvl w:val="0"/>
                <w:numId w:val="280"/>
              </w:numPr>
              <w:jc w:val="both"/>
            </w:pPr>
            <w:r>
              <w:t xml:space="preserve">&gt; 6 месеца  </w:t>
            </w:r>
          </w:p>
          <w:bookmarkEnd w:id="114"/>
          <w:p w14:paraId="7FE1BA7F" w14:textId="77777777" w:rsidR="00FE5D64" w:rsidRDefault="00FE5D64">
            <w:pPr>
              <w:jc w:val="both"/>
              <w:rPr>
                <w:rFonts w:ascii="Times New Roman" w:eastAsia="Times New Roman" w:hAnsi="Times New Roman" w:cs="Times New Roman"/>
                <w:sz w:val="20"/>
                <w:szCs w:val="20"/>
              </w:rPr>
            </w:pPr>
          </w:p>
          <w:p w14:paraId="7FE1BA80" w14:textId="77777777" w:rsidR="00FE5D64" w:rsidRDefault="00FE5D64">
            <w:pPr>
              <w:jc w:val="both"/>
              <w:rPr>
                <w:rFonts w:ascii="Times New Roman" w:hAnsi="Times New Roman" w:cs="Times New Roman"/>
                <w:color w:val="000000" w:themeColor="text1"/>
                <w:sz w:val="20"/>
                <w:szCs w:val="20"/>
              </w:rPr>
            </w:pPr>
          </w:p>
        </w:tc>
      </w:tr>
      <w:tr w:rsidR="00FE5D64"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FE5D64" w:rsidRDefault="00E40776">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FE5D64" w:rsidRDefault="00E40776">
            <w:pPr>
              <w:pStyle w:val="P68B1DB1-TableParagraph14"/>
              <w:spacing w:before="108"/>
              <w:ind w:left="85"/>
              <w:jc w:val="both"/>
              <w:rPr>
                <w:bCs/>
              </w:rPr>
            </w:pPr>
            <w:r>
              <w:t>Способност за заместване</w:t>
            </w:r>
          </w:p>
        </w:tc>
      </w:tr>
      <w:tr w:rsidR="00FE5D64"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FE5D64" w:rsidRDefault="00E40776">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FE5D64" w:rsidRDefault="00E40776">
            <w:pPr>
              <w:pStyle w:val="P68B1DB1-Normal35"/>
              <w:jc w:val="both"/>
              <w:rPr>
                <w:bCs/>
              </w:rPr>
            </w:pPr>
            <w:r>
              <w:t>Правни пречки за навлизане на пазара или разрастване</w:t>
            </w:r>
          </w:p>
          <w:p w14:paraId="7FE1BA87" w14:textId="77777777" w:rsidR="00FE5D64" w:rsidRDefault="00FE5D64">
            <w:pPr>
              <w:jc w:val="both"/>
              <w:rPr>
                <w:rFonts w:ascii="Times New Roman" w:eastAsia="Times New Roman" w:hAnsi="Times New Roman" w:cs="Times New Roman"/>
                <w:b/>
                <w:bCs/>
                <w:color w:val="000000" w:themeColor="text1"/>
                <w:sz w:val="20"/>
                <w:szCs w:val="20"/>
              </w:rPr>
            </w:pPr>
          </w:p>
          <w:p w14:paraId="7FE1BA88" w14:textId="77777777" w:rsidR="00FE5D64" w:rsidRDefault="00E40776">
            <w:pPr>
              <w:pStyle w:val="P68B1DB1-Normal36"/>
              <w:jc w:val="both"/>
            </w:pPr>
            <w:r>
              <w:t xml:space="preserve">Правни пречки за конкурентите да предлагат услугата. Правните изисквания за извършване на дейността на кредитните институции (напр. банкови лицензи или капиталови изисквания) не следва да се считат за непреодолими пречки при наличието на алтернативни доставчици. Този показател трябва да се отчита в групи, които са еднакви за всяка подфункция: </w:t>
            </w:r>
          </w:p>
          <w:p w14:paraId="7FE1BA89" w14:textId="4702A48A" w:rsidR="00FE5D64" w:rsidRDefault="00E40776">
            <w:pPr>
              <w:pStyle w:val="P68B1DB1-ListParagraph37"/>
              <w:numPr>
                <w:ilvl w:val="0"/>
                <w:numId w:val="275"/>
              </w:numPr>
              <w:jc w:val="both"/>
            </w:pPr>
            <w:r>
              <w:t xml:space="preserve">няма големи пречки, </w:t>
            </w:r>
          </w:p>
          <w:p w14:paraId="7FE1BA8A" w14:textId="10C89312" w:rsidR="00FE5D64" w:rsidRDefault="00E40776">
            <w:pPr>
              <w:pStyle w:val="P68B1DB1-ListParagraph37"/>
              <w:numPr>
                <w:ilvl w:val="0"/>
                <w:numId w:val="275"/>
              </w:numPr>
              <w:jc w:val="both"/>
            </w:pPr>
            <w:r>
              <w:t xml:space="preserve">някои пречки, </w:t>
            </w:r>
          </w:p>
          <w:p w14:paraId="7FE1BA8B" w14:textId="4451FB21" w:rsidR="00FE5D64" w:rsidRDefault="00E40776">
            <w:pPr>
              <w:pStyle w:val="P68B1DB1-ListParagraph37"/>
              <w:numPr>
                <w:ilvl w:val="0"/>
                <w:numId w:val="275"/>
              </w:numPr>
              <w:jc w:val="both"/>
            </w:pPr>
            <w:r>
              <w:t xml:space="preserve">значителни (но непреодолими) бариери, </w:t>
            </w:r>
          </w:p>
          <w:p w14:paraId="7FE1BA8D" w14:textId="48C5B820" w:rsidR="00FE5D64" w:rsidRDefault="00E40776">
            <w:pPr>
              <w:pStyle w:val="P68B1DB1-ListParagraph37"/>
              <w:numPr>
                <w:ilvl w:val="0"/>
                <w:numId w:val="275"/>
              </w:numPr>
              <w:jc w:val="both"/>
              <w:rPr>
                <w:b/>
                <w:bCs/>
              </w:rPr>
            </w:pPr>
            <w:r>
              <w:t>критични (трудни за преодоляване) бариери.</w:t>
            </w:r>
          </w:p>
        </w:tc>
      </w:tr>
      <w:tr w:rsidR="00FE5D64"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FE5D64" w:rsidRDefault="00E40776">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FE5D64" w:rsidRDefault="00E40776">
            <w:pPr>
              <w:pStyle w:val="P68B1DB1-Normal35"/>
              <w:jc w:val="both"/>
              <w:rPr>
                <w:bCs/>
              </w:rPr>
            </w:pPr>
            <w:r>
              <w:t>Експлоатационни изисквания за навлизане или разширяване</w:t>
            </w:r>
          </w:p>
          <w:p w14:paraId="7FE1BA91" w14:textId="77777777" w:rsidR="00FE5D64" w:rsidRDefault="00FE5D64">
            <w:pPr>
              <w:jc w:val="both"/>
              <w:rPr>
                <w:rFonts w:ascii="Times New Roman" w:eastAsia="Times New Roman" w:hAnsi="Times New Roman" w:cs="Times New Roman"/>
                <w:b/>
                <w:bCs/>
                <w:color w:val="000000" w:themeColor="text1"/>
                <w:sz w:val="20"/>
                <w:szCs w:val="20"/>
              </w:rPr>
            </w:pPr>
          </w:p>
          <w:p w14:paraId="7FE1BA92" w14:textId="77777777" w:rsidR="00FE5D64" w:rsidRDefault="00E40776">
            <w:pPr>
              <w:pStyle w:val="P68B1DB1-Normal36"/>
              <w:jc w:val="both"/>
            </w:pPr>
            <w:r>
              <w:t xml:space="preserve">Организационни, технически и инфраструктурни изисквания за конкурентите да предлагат услугата. Предлагането на услуги, свързани с (под) функцията, изисква доставчиците да инвестират в (нова или допълнителна) инфраструктура или да променят своите организации. Оценява способността на пазара да поеме дадена стопанска дейност, например по отношение на капиталовите изисквания. По отношение на отпускането на заеми да се вземат предвид съответните РПЕ (докладвани във въпрос 17). </w:t>
            </w:r>
          </w:p>
          <w:p w14:paraId="7FE1BA93" w14:textId="77777777" w:rsidR="00FE5D64" w:rsidRDefault="00E40776">
            <w:pPr>
              <w:pStyle w:val="P68B1DB1-Normal36"/>
              <w:jc w:val="both"/>
            </w:pPr>
            <w:r>
              <w:t xml:space="preserve">Този показател трябва да се отчита в групи, които са еднакви за всяка подфункция: </w:t>
            </w:r>
          </w:p>
          <w:p w14:paraId="7FE1BA94" w14:textId="2E9A8492" w:rsidR="00FE5D64" w:rsidRDefault="00E40776">
            <w:pPr>
              <w:pStyle w:val="P68B1DB1-ListParagraph37"/>
              <w:numPr>
                <w:ilvl w:val="0"/>
                <w:numId w:val="278"/>
              </w:numPr>
              <w:jc w:val="both"/>
            </w:pPr>
            <w:r>
              <w:t xml:space="preserve">няма съществени изисквания, </w:t>
            </w:r>
          </w:p>
          <w:p w14:paraId="7FE1BA95" w14:textId="2C17AA9E" w:rsidR="00FE5D64" w:rsidRDefault="00E40776">
            <w:pPr>
              <w:pStyle w:val="P68B1DB1-ListParagraph37"/>
              <w:numPr>
                <w:ilvl w:val="0"/>
                <w:numId w:val="278"/>
              </w:numPr>
              <w:jc w:val="both"/>
            </w:pPr>
            <w:r>
              <w:t xml:space="preserve">някои изисквания, </w:t>
            </w:r>
          </w:p>
          <w:p w14:paraId="7FE1BA96" w14:textId="3197B4B5" w:rsidR="00FE5D64" w:rsidRDefault="00E40776">
            <w:pPr>
              <w:pStyle w:val="P68B1DB1-ListParagraph37"/>
              <w:numPr>
                <w:ilvl w:val="0"/>
                <w:numId w:val="278"/>
              </w:numPr>
              <w:jc w:val="both"/>
            </w:pPr>
            <w:r>
              <w:t xml:space="preserve">съществени (но непреодолими) изисквания, </w:t>
            </w:r>
          </w:p>
          <w:p w14:paraId="7FE1BA97" w14:textId="64928FFB" w:rsidR="00FE5D64" w:rsidRDefault="00E40776">
            <w:pPr>
              <w:pStyle w:val="P68B1DB1-ListParagraph37"/>
              <w:numPr>
                <w:ilvl w:val="0"/>
                <w:numId w:val="278"/>
              </w:numPr>
              <w:jc w:val="both"/>
            </w:pPr>
            <w:r>
              <w:t>критични (трудни за допълване) изисквания.</w:t>
            </w:r>
          </w:p>
          <w:p w14:paraId="7FE1BA9D" w14:textId="77777777" w:rsidR="00FE5D64" w:rsidRDefault="00FE5D64">
            <w:pPr>
              <w:pStyle w:val="ListParagraph"/>
              <w:jc w:val="both"/>
              <w:rPr>
                <w:rFonts w:ascii="Times New Roman" w:hAnsi="Times New Roman"/>
                <w:b/>
                <w:bCs/>
                <w:color w:val="000000" w:themeColor="text1"/>
                <w:sz w:val="20"/>
                <w:szCs w:val="20"/>
              </w:rPr>
            </w:pPr>
          </w:p>
        </w:tc>
      </w:tr>
      <w:tr w:rsidR="00FE5D64"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FE5D64" w:rsidRDefault="00E40776">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FE5D64" w:rsidRDefault="00E40776">
            <w:pPr>
              <w:pStyle w:val="P68B1DB1-TableParagraph14"/>
              <w:spacing w:before="108"/>
              <w:jc w:val="both"/>
              <w:rPr>
                <w:bCs/>
              </w:rPr>
            </w:pPr>
            <w:r>
              <w:t>Капацитет за въвеждане — Брой заявления от нови клиенти над 1 работен ден (брой партиди)</w:t>
            </w:r>
          </w:p>
          <w:p w14:paraId="7FE1BAA4" w14:textId="404DC9AB" w:rsidR="00FE5D64" w:rsidRDefault="00E40776">
            <w:pPr>
              <w:pStyle w:val="P68B1DB1-TableParagraph13"/>
              <w:spacing w:before="108"/>
              <w:jc w:val="both"/>
            </w:pPr>
            <w:r>
              <w:t>От институциите се изисква да предоставят най-голям брой заявления, когато институцията е валидирала искането за банкова услуга.</w:t>
            </w:r>
          </w:p>
          <w:p w14:paraId="1312271B" w14:textId="5ECEF0C0" w:rsidR="00FE5D64" w:rsidRDefault="00E40776">
            <w:pPr>
              <w:pStyle w:val="P68B1DB1-TableParagraph13"/>
              <w:spacing w:before="108"/>
              <w:jc w:val="both"/>
            </w:pPr>
            <w:r>
              <w:t>Капацитетът за интегриране по отношение на броя на новите профили се изразява в над 1 работен ден.</w:t>
            </w:r>
          </w:p>
          <w:p w14:paraId="7FE1BAA8" w14:textId="06166E4A" w:rsidR="00FE5D64" w:rsidRDefault="00E40776">
            <w:pPr>
              <w:pStyle w:val="P68B1DB1-TableParagraph13"/>
              <w:spacing w:before="108"/>
              <w:jc w:val="both"/>
              <w:rPr>
                <w:b/>
                <w:bCs/>
              </w:rPr>
            </w:pPr>
            <w:r>
              <w:t>От институциите се очаква да вземат предвид срока за включване на нови клиенти, тъй като нов клиент е кандидатствал за банкова услуга.</w:t>
            </w:r>
          </w:p>
        </w:tc>
      </w:tr>
      <w:tr w:rsidR="00FE5D64"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FE5D64" w:rsidRDefault="00E40776">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FE5D64" w:rsidRDefault="00E40776">
            <w:pPr>
              <w:pStyle w:val="P68B1DB1-TableParagraph14"/>
              <w:spacing w:before="108"/>
              <w:jc w:val="both"/>
              <w:rPr>
                <w:bCs/>
              </w:rPr>
            </w:pPr>
            <w:r>
              <w:t>Оценка на критичността</w:t>
            </w:r>
          </w:p>
        </w:tc>
      </w:tr>
      <w:tr w:rsidR="00FE5D64"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FE5D64" w:rsidRDefault="00E40776">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FE5D64" w:rsidRDefault="00E40776">
            <w:pPr>
              <w:pStyle w:val="P68B1DB1-TableParagraph14"/>
              <w:spacing w:before="108"/>
              <w:jc w:val="both"/>
              <w:rPr>
                <w:bCs/>
              </w:rPr>
            </w:pPr>
            <w:r>
              <w:t xml:space="preserve">Въздействие върху пазара </w:t>
            </w:r>
          </w:p>
          <w:p w14:paraId="7FE1BAAF" w14:textId="77777777" w:rsidR="00FE5D64" w:rsidRDefault="00E40776">
            <w:pPr>
              <w:pStyle w:val="P68B1DB1-TableParagraph13"/>
              <w:spacing w:before="108"/>
              <w:jc w:val="both"/>
            </w:pPr>
            <w:r>
              <w:t>Очакваното въздействие на внезапно прекъсване на функцията върху трети страни, финансовите пазари и реалната икономика, като се вземат предвид размерът, пазарният дял в дадената държава, външните и вътрешните взаимовръзки, сложността и трансграничната дейност на институцията.</w:t>
            </w:r>
          </w:p>
          <w:p w14:paraId="7FE1BAB0" w14:textId="765F6584" w:rsidR="00FE5D64" w:rsidRDefault="00E40776">
            <w:pPr>
              <w:pStyle w:val="P68B1DB1-TableParagraph13"/>
              <w:spacing w:before="108"/>
              <w:jc w:val="both"/>
            </w:pPr>
            <w:r>
              <w:t>Тази оценка се изразява качествено като „висока „, „средна„, „средна „, „средна“ или ниска.</w:t>
            </w:r>
          </w:p>
          <w:p w14:paraId="7FE1BAB1" w14:textId="14727254" w:rsidR="00FE5D64" w:rsidRDefault="00E40776">
            <w:pPr>
              <w:pStyle w:val="P68B1DB1-TableParagraph13"/>
              <w:spacing w:before="108"/>
              <w:jc w:val="both"/>
              <w:rPr>
                <w:b/>
                <w:bCs/>
              </w:rPr>
            </w:pPr>
            <w:r>
              <w:t>„Висок“ се избира, ако прекъсването би оказало силно въздействие върху националния пазар; „Средно-Високо“ — ако въздействието е значително; „Medium-Low“ — ако въздействието е съществено, но ограничено; „Low“ — ако въздействието е слабо.</w:t>
            </w:r>
          </w:p>
        </w:tc>
      </w:tr>
      <w:tr w:rsidR="00FE5D64"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FE5D64" w:rsidRDefault="00E40776">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FE5D64" w:rsidRDefault="00E40776">
            <w:pPr>
              <w:pStyle w:val="P68B1DB1-TableParagraph14"/>
              <w:spacing w:before="108"/>
              <w:jc w:val="both"/>
              <w:rPr>
                <w:bCs/>
              </w:rPr>
            </w:pPr>
            <w:r>
              <w:t>Заменяемост</w:t>
            </w:r>
          </w:p>
          <w:p w14:paraId="7FE1BAB5" w14:textId="77777777" w:rsidR="00FE5D64" w:rsidRDefault="00E40776">
            <w:pPr>
              <w:pStyle w:val="P68B1DB1-TableParagraph13"/>
              <w:spacing w:before="108"/>
              <w:jc w:val="both"/>
            </w:pPr>
            <w:r>
              <w:t>Член 6, параграф 3 от Делегиран регламент (ЕС) 2016/778.</w:t>
            </w:r>
          </w:p>
          <w:p w14:paraId="7FE1BAB6" w14:textId="77777777" w:rsidR="00FE5D64" w:rsidRDefault="00E40776">
            <w:pPr>
              <w:pStyle w:val="P68B1DB1-TableParagraph13"/>
              <w:spacing w:before="108"/>
              <w:jc w:val="both"/>
            </w:pPr>
            <w:r>
              <w:t>Дадена функция се приема за заменяема, ако може да бъде заменена по приемлив начин и в приемлив срок, с което да се избегнат системни проблеми за реалната икономика и финансовите пазари. Взема се предвид следното:</w:t>
            </w:r>
          </w:p>
          <w:p w14:paraId="7FE1BAB7" w14:textId="77777777" w:rsidR="00FE5D64" w:rsidRDefault="00E40776">
            <w:pPr>
              <w:pStyle w:val="P68B1DB1-TableParagraph13"/>
              <w:spacing w:before="108"/>
              <w:jc w:val="both"/>
            </w:pPr>
            <w:r>
              <w:lastRenderedPageBreak/>
              <w:t xml:space="preserve">(a) структурата на пазара за тази функция и наличието на алтернативни доставчици; </w:t>
            </w:r>
          </w:p>
          <w:p w14:paraId="7FE1BAB8" w14:textId="77777777" w:rsidR="00FE5D64" w:rsidRDefault="00E40776">
            <w:pPr>
              <w:pStyle w:val="P68B1DB1-TableParagraph13"/>
              <w:spacing w:before="108"/>
              <w:jc w:val="both"/>
            </w:pPr>
            <w:r>
              <w:t xml:space="preserve">(b) възможностите на останалите доставчици по отношение на капацитета, изискванията за изпълняване на функцията и потенциалните пречки за навлизане на пазара или разрастване; </w:t>
            </w:r>
          </w:p>
          <w:p w14:paraId="7FE1BAB9" w14:textId="77777777" w:rsidR="00FE5D64" w:rsidRDefault="00E40776">
            <w:pPr>
              <w:pStyle w:val="P68B1DB1-TableParagraph13"/>
              <w:spacing w:before="108"/>
              <w:jc w:val="both"/>
            </w:pPr>
            <w:r>
              <w:t xml:space="preserve">(c) стимулът за други доставчици да поемат тези дейности; </w:t>
            </w:r>
          </w:p>
          <w:p w14:paraId="7FE1BABA" w14:textId="77777777" w:rsidR="00FE5D64" w:rsidRDefault="00E40776">
            <w:pPr>
              <w:pStyle w:val="P68B1DB1-TableParagraph13"/>
              <w:spacing w:before="108"/>
              <w:jc w:val="both"/>
            </w:pPr>
            <w:r>
              <w:t>(d) необходимото време за преминаване на ползвателите на услугата към нов доставчик на услуги и свързаните с този преход разходи;необходимото време за поемане на функцията от другите конкуренти и дали този срок е достатъчен, за да се предотвратят сериозни сътресения в зависимост от вида услуга.</w:t>
            </w:r>
          </w:p>
          <w:p w14:paraId="7FE1BABB" w14:textId="48F2EE45" w:rsidR="00FE5D64" w:rsidRDefault="00E40776">
            <w:pPr>
              <w:pStyle w:val="P68B1DB1-TableParagraph13"/>
              <w:spacing w:before="108"/>
              <w:jc w:val="both"/>
            </w:pPr>
            <w:r>
              <w:t xml:space="preserve">Предоставяне на цялостна оценка на очакваната степен на заменяемост за всяка функция, като се вземат предвид различните оценявани по-рано измерения (пазарен дял, пазарна концентрация, време за заместване, правни пречки и оперативни изисквания за навлизане или разширяване). Тази оценка се изразява качествено като „висока „, „средна„, „средна „, „средна“ или ниска. </w:t>
            </w:r>
          </w:p>
          <w:p w14:paraId="7FE1BABC" w14:textId="47D04A62" w:rsidR="00FE5D64" w:rsidRDefault="00E40776">
            <w:pPr>
              <w:pStyle w:val="P68B1DB1-TableParagraph13"/>
              <w:spacing w:before="108"/>
              <w:jc w:val="both"/>
            </w:pPr>
            <w:r>
              <w:t>„Висок“ се избира, ако една функция може лесно да започне да се изпълнява от друга банка при сравними условия и в разумен срок;</w:t>
            </w:r>
          </w:p>
          <w:p w14:paraId="7FE1BABD" w14:textId="7FFD9091" w:rsidR="00FE5D64" w:rsidRDefault="00E40776">
            <w:pPr>
              <w:pStyle w:val="P68B1DB1-TableParagraph13"/>
              <w:spacing w:before="108"/>
              <w:jc w:val="both"/>
            </w:pPr>
            <w:r>
              <w:t xml:space="preserve">„Низко“ ако една функция не може лесно или бързо да бъде заменена; </w:t>
            </w:r>
          </w:p>
          <w:p w14:paraId="7FE1BABE" w14:textId="29287980" w:rsidR="00FE5D64" w:rsidRDefault="00E40776">
            <w:pPr>
              <w:pStyle w:val="P68B1DB1-TableParagraph13"/>
              <w:spacing w:before="108"/>
              <w:jc w:val="both"/>
            </w:pPr>
            <w:r>
              <w:t>„Medium-High„и „Medium-Low“ — за междинните случаи, предвид различните параметри (например пазарен дял, концентрация на пазара, време за замяна, както и правните пречки и оперативните изисквания за навлизане на пазара или разрастване).</w:t>
            </w:r>
          </w:p>
        </w:tc>
      </w:tr>
      <w:tr w:rsidR="00FE5D64"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FE5D64" w:rsidRDefault="00E40776">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FE5D64" w:rsidRDefault="00E40776">
            <w:pPr>
              <w:pStyle w:val="P68B1DB1-TableParagraph14"/>
              <w:spacing w:before="108"/>
              <w:jc w:val="both"/>
              <w:rPr>
                <w:bCs/>
              </w:rPr>
            </w:pPr>
            <w:r>
              <w:t>Критична функция</w:t>
            </w:r>
          </w:p>
          <w:p w14:paraId="7FE1BAC2" w14:textId="77777777" w:rsidR="00FE5D64" w:rsidRDefault="00E40776">
            <w:pPr>
              <w:pStyle w:val="P68B1DB1-TableParagraph13"/>
              <w:spacing w:before="108"/>
              <w:jc w:val="both"/>
            </w:pPr>
            <w:r>
              <w:t>В тази колона се посочва дали икономическата функция се счита за критична на пазара на съответната държава, като се вземат под внимание анализите за въздействие и заместяемост, извършени от институцията.</w:t>
            </w:r>
          </w:p>
          <w:p w14:paraId="7FE1BAC3" w14:textId="77777777" w:rsidR="00FE5D64" w:rsidRDefault="00E40776">
            <w:pPr>
              <w:pStyle w:val="P68B1DB1-TableParagraph13"/>
              <w:spacing w:before="108"/>
              <w:jc w:val="both"/>
            </w:pPr>
            <w:r>
              <w:t>Посочва се „Да„или „Не“.</w:t>
            </w:r>
          </w:p>
        </w:tc>
      </w:tr>
      <w:tr w:rsidR="00FE5D64"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FE5D64" w:rsidRDefault="00E40776">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FE5D64" w:rsidRDefault="00E40776">
            <w:pPr>
              <w:pStyle w:val="P68B1DB1-TableParagraph14"/>
              <w:spacing w:before="108"/>
              <w:jc w:val="both"/>
              <w:rPr>
                <w:bCs/>
              </w:rPr>
            </w:pPr>
            <w:r>
              <w:t>Коментари на групата</w:t>
            </w:r>
          </w:p>
          <w:p w14:paraId="7FE1BAC7" w14:textId="77777777" w:rsidR="00FE5D64" w:rsidRDefault="00E40776">
            <w:pPr>
              <w:pStyle w:val="P68B1DB1-TableParagraph13"/>
              <w:spacing w:before="108"/>
              <w:jc w:val="both"/>
            </w:pPr>
            <w:r>
              <w:t>Това поле дава възможност на докладващия субект да обясни всички допускания, използвани при оценката на критичността на докладваната (ите) функция (и).</w:t>
            </w:r>
          </w:p>
        </w:tc>
      </w:tr>
    </w:tbl>
    <w:p w14:paraId="7FE1BAC9" w14:textId="77777777" w:rsidR="00FE5D64" w:rsidRDefault="00FE5D64">
      <w:pPr>
        <w:rPr>
          <w:rFonts w:ascii="Times New Roman" w:hAnsi="Times New Roman" w:cs="Times New Roman"/>
          <w:color w:val="000000" w:themeColor="text1"/>
          <w:sz w:val="20"/>
          <w:szCs w:val="20"/>
        </w:rPr>
      </w:pPr>
    </w:p>
    <w:p w14:paraId="7FE1BACA" w14:textId="77777777" w:rsidR="00FE5D64" w:rsidRDefault="00FE5D64">
      <w:pPr>
        <w:rPr>
          <w:rFonts w:ascii="Times New Roman" w:hAnsi="Times New Roman" w:cs="Times New Roman"/>
          <w:color w:val="000000" w:themeColor="text1"/>
          <w:sz w:val="20"/>
          <w:szCs w:val="20"/>
        </w:rPr>
      </w:pPr>
    </w:p>
    <w:p w14:paraId="7FE1BACB" w14:textId="48446B8B" w:rsidR="00FE5D64" w:rsidRDefault="00E40776">
      <w:pPr>
        <w:pStyle w:val="P68B1DB1-Instructionsberschrift25"/>
        <w:numPr>
          <w:ilvl w:val="1"/>
          <w:numId w:val="49"/>
        </w:numPr>
        <w:ind w:left="357" w:hanging="357"/>
      </w:pPr>
      <w:bookmarkStart w:id="115" w:name="_Toc208244464"/>
      <w:r>
        <w:t>Z 07.01.2 FUNC 1 LEN</w:t>
      </w:r>
      <w:bookmarkEnd w:id="115"/>
    </w:p>
    <w:p w14:paraId="7FE1BAD5" w14:textId="77777777" w:rsidR="00FE5D64" w:rsidRDefault="00FE5D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E5D64"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FE5D64" w:rsidRDefault="00E40776">
            <w:pPr>
              <w:pStyle w:val="P68B1DB1-TableParagraph17"/>
              <w:spacing w:before="108"/>
              <w:ind w:left="85"/>
              <w:jc w:val="both"/>
            </w:pPr>
            <w:bookmarkStart w:id="116" w:name="_Hlk162013303"/>
            <w:r>
              <w:t>Колони</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FE5D64" w:rsidRDefault="00E40776">
            <w:pPr>
              <w:pStyle w:val="P68B1DB1-TableParagraph17"/>
              <w:spacing w:before="108"/>
              <w:ind w:left="85" w:right="1"/>
              <w:jc w:val="both"/>
            </w:pPr>
            <w:r>
              <w:t>Указания</w:t>
            </w:r>
          </w:p>
        </w:tc>
      </w:tr>
      <w:tr w:rsidR="00FE5D64"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FE5D64" w:rsidRDefault="00E40776">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FE5D64" w:rsidRDefault="00E40776">
            <w:pPr>
              <w:pStyle w:val="P68B1DB1-TableParagraph14"/>
              <w:spacing w:before="108"/>
              <w:ind w:left="85"/>
              <w:jc w:val="both"/>
              <w:rPr>
                <w:bCs/>
              </w:rPr>
            </w:pPr>
            <w:r>
              <w:t>Описание на икономическата функция</w:t>
            </w:r>
          </w:p>
          <w:p w14:paraId="7FE1BADB" w14:textId="0F1FA007" w:rsidR="00FE5D64" w:rsidRDefault="00E40776">
            <w:pPr>
              <w:pStyle w:val="P68B1DB1-TableParagraph17"/>
              <w:spacing w:before="108"/>
              <w:ind w:left="85"/>
            </w:pPr>
            <w:r>
              <w:t xml:space="preserve">Когато икономическата функция е от типа „Други“ (Z 07.01.2 FUNC 1 LEN r0130 — r0150), се предоставя описание на тази функция. </w:t>
            </w:r>
          </w:p>
        </w:tc>
      </w:tr>
      <w:tr w:rsidR="00FE5D64"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FE5D64" w:rsidRDefault="00E40776">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FE5D64" w:rsidRDefault="00E40776">
            <w:pPr>
              <w:pStyle w:val="P68B1DB1-TableParagraph14"/>
              <w:spacing w:before="108"/>
              <w:ind w:left="85"/>
              <w:jc w:val="both"/>
              <w:rPr>
                <w:bCs/>
              </w:rPr>
            </w:pPr>
            <w:r>
              <w:t xml:space="preserve">Пазарен дял </w:t>
            </w:r>
          </w:p>
          <w:p w14:paraId="7FE1BADF" w14:textId="4B4AE08B" w:rsidR="00FE5D64" w:rsidRDefault="00E40776">
            <w:pPr>
              <w:pStyle w:val="P68B1DB1-TableParagraph17"/>
              <w:spacing w:before="108"/>
              <w:ind w:left="85"/>
            </w:pPr>
            <w:r>
              <w:t>Приблизителна оценка на пазарния дял на институцията или групата за икономическата функция в съответната държава или географска област. Процент от общия пазар по отношение на неприключената стойност.</w:t>
            </w:r>
          </w:p>
        </w:tc>
      </w:tr>
      <w:tr w:rsidR="00FE5D64"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FE5D64" w:rsidRDefault="00E40776">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FE5D64" w:rsidRDefault="00E40776">
            <w:pPr>
              <w:pStyle w:val="P68B1DB1-TableParagraph14"/>
              <w:spacing w:before="108"/>
              <w:rPr>
                <w:bCs/>
              </w:rPr>
            </w:pPr>
            <w:r>
              <w:t>Остатъчна стойност</w:t>
            </w:r>
          </w:p>
          <w:p w14:paraId="7FE1BAE3" w14:textId="77777777" w:rsidR="00FE5D64" w:rsidRDefault="00E40776">
            <w:pPr>
              <w:pStyle w:val="P68B1DB1-TableParagraph17"/>
              <w:spacing w:before="108"/>
            </w:pPr>
            <w:r>
              <w:t>Брутна балансова стойност на обслужваните и необслужваните заеми и аванси (включително начислената лихва).</w:t>
            </w:r>
          </w:p>
          <w:p w14:paraId="7FE1BAE4" w14:textId="77777777" w:rsidR="00FE5D64" w:rsidRDefault="00E40776">
            <w:pPr>
              <w:pStyle w:val="P68B1DB1-TableParagraph17"/>
              <w:spacing w:before="108"/>
            </w:pPr>
            <w:r>
              <w:lastRenderedPageBreak/>
              <w:t>лихви). Предоставените в заем ценни книжа се приемат за заместващи очаквано бъдещо кредитиране.</w:t>
            </w:r>
          </w:p>
        </w:tc>
      </w:tr>
      <w:tr w:rsidR="00FE5D64"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FE5D64" w:rsidRDefault="00E40776">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FE5D64" w:rsidRDefault="00E40776">
            <w:pPr>
              <w:pStyle w:val="P68B1DB1-TableParagraph14"/>
              <w:spacing w:before="108"/>
              <w:rPr>
                <w:bCs/>
              </w:rPr>
            </w:pPr>
            <w:r>
              <w:t>Брой клиенти</w:t>
            </w:r>
          </w:p>
          <w:p w14:paraId="7FE1BAE8" w14:textId="77777777" w:rsidR="00FE5D64" w:rsidRDefault="00E40776">
            <w:pPr>
              <w:pStyle w:val="P68B1DB1-TableParagraph17"/>
              <w:spacing w:before="108"/>
            </w:pPr>
            <w:r>
              <w:t>Общ брой клиенти, на които са предоставени стойностите, отчетени в c0030</w:t>
            </w:r>
          </w:p>
          <w:p w14:paraId="7FE1BAE9" w14:textId="77777777" w:rsidR="00FE5D64" w:rsidRDefault="00E40776">
            <w:pPr>
              <w:pStyle w:val="P68B1DB1-TableParagraph17"/>
              <w:spacing w:before="108"/>
            </w:pPr>
            <w:r>
              <w:t>нерешени“. Ако един клиент използва повече от един кредитен продукт/кредитна сметка, клиентът се брои</w:t>
            </w:r>
          </w:p>
          <w:p w14:paraId="7FE1BAEA" w14:textId="77777777" w:rsidR="00FE5D64" w:rsidRDefault="00E40776">
            <w:pPr>
              <w:pStyle w:val="P68B1DB1-TableParagraph17"/>
              <w:spacing w:before="108"/>
            </w:pPr>
            <w:r>
              <w:t>само веднъж.</w:t>
            </w:r>
          </w:p>
        </w:tc>
      </w:tr>
      <w:tr w:rsidR="00FE5D64"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FE5D64" w:rsidRDefault="00E40776">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FE5D64" w:rsidRDefault="00E40776">
            <w:pPr>
              <w:pStyle w:val="P68B1DB1-TableParagraph14"/>
              <w:spacing w:before="108"/>
              <w:ind w:left="85"/>
              <w:jc w:val="both"/>
              <w:rPr>
                <w:bCs/>
              </w:rPr>
            </w:pPr>
            <w:r>
              <w:t>Непогасена стойност — трансгранична стойност</w:t>
            </w:r>
          </w:p>
          <w:p w14:paraId="7FE1BAF3" w14:textId="5BF86183" w:rsidR="00FE5D64" w:rsidRDefault="00E40776">
            <w:pPr>
              <w:pStyle w:val="P68B1DB1-TableParagraph13"/>
              <w:spacing w:before="108"/>
              <w:ind w:left="85"/>
              <w:jc w:val="both"/>
            </w:pPr>
            <w:r>
              <w:t>Непогасена стойност (c0030) на заеми за нерезиденти, вж. Депозити (c0060) „трансгранични“</w:t>
            </w:r>
          </w:p>
          <w:p w14:paraId="7FE1BAF4" w14:textId="77777777" w:rsidR="00FE5D64" w:rsidRDefault="00E40776">
            <w:pPr>
              <w:pStyle w:val="P68B1DB1-TableParagraph13"/>
              <w:spacing w:before="108"/>
              <w:ind w:left="85"/>
              <w:jc w:val="both"/>
              <w:rPr>
                <w:b/>
                <w:bCs/>
              </w:rPr>
            </w:pPr>
            <w:r>
              <w:t>стойност“.</w:t>
            </w:r>
          </w:p>
        </w:tc>
      </w:tr>
      <w:bookmarkEnd w:id="116"/>
      <w:tr w:rsidR="00FE5D64"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FE5D64" w:rsidRDefault="00E40776">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FE5D64" w:rsidRDefault="00E40776">
            <w:pPr>
              <w:pStyle w:val="P68B1DB1-TableParagraph14"/>
              <w:spacing w:before="108"/>
              <w:jc w:val="both"/>
              <w:rPr>
                <w:bCs/>
              </w:rPr>
            </w:pPr>
            <w:r>
              <w:t>Анализи на въздействието и заменяемостта</w:t>
            </w:r>
          </w:p>
          <w:p w14:paraId="7FE1BAFB" w14:textId="77777777" w:rsidR="00FE5D64" w:rsidRDefault="00E40776">
            <w:pPr>
              <w:pStyle w:val="P68B1DB1-TableParagraph13"/>
              <w:spacing w:before="108"/>
            </w:pPr>
            <w:r>
              <w:t>Критериите за оценка на въздействието върху трети страни включват следните елементи в съответствие с делегиран регламент (ЕС) 2016/778 на Комисията относно критичните функции:</w:t>
            </w:r>
          </w:p>
          <w:p w14:paraId="7FE1BAFC" w14:textId="77777777" w:rsidR="00FE5D64" w:rsidRDefault="00E40776">
            <w:pPr>
              <w:pStyle w:val="P68B1DB1-ListParagraph38"/>
              <w:numPr>
                <w:ilvl w:val="0"/>
                <w:numId w:val="131"/>
              </w:numPr>
              <w:spacing w:line="276" w:lineRule="auto"/>
            </w:pPr>
            <w:r>
              <w:t>естеството и глобалния, националния или регионалния обхват на дейността, както и обема и броя на трансакциите; броя на клиентите и контрагентите; броя на клиентите, за които институцията е единственият или основният банков партньор;</w:t>
            </w:r>
          </w:p>
          <w:p w14:paraId="7FE1BAFD" w14:textId="77777777" w:rsidR="00FE5D64" w:rsidRDefault="00E40776">
            <w:pPr>
              <w:pStyle w:val="P68B1DB1-ListParagraph38"/>
              <w:numPr>
                <w:ilvl w:val="0"/>
                <w:numId w:val="131"/>
              </w:numPr>
              <w:spacing w:line="276" w:lineRule="auto"/>
            </w:pPr>
            <w:r>
              <w:t>значението на институцията 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AFE" w14:textId="77777777" w:rsidR="00FE5D64" w:rsidRDefault="00E40776">
            <w:pPr>
              <w:pStyle w:val="P68B1DB1-ListParagraph38"/>
              <w:numPr>
                <w:ilvl w:val="0"/>
                <w:numId w:val="131"/>
              </w:numPr>
              <w:spacing w:line="276" w:lineRule="auto"/>
            </w:pPr>
            <w:r>
              <w:t xml:space="preserve">естеството на клиентите и заинтересованите страни, обхванати от функцията — например, но не само, индивидуални клиенти, корпоративни клиенти, междубанкови клиенти, централни клирингови къщи и публични субекти; </w:t>
            </w:r>
          </w:p>
          <w:p w14:paraId="7FE1BAFF" w14:textId="77777777" w:rsidR="00FE5D64" w:rsidRDefault="00E40776">
            <w:pPr>
              <w:pStyle w:val="P68B1DB1-ListParagraph38"/>
              <w:numPr>
                <w:ilvl w:val="0"/>
                <w:numId w:val="131"/>
              </w:numPr>
              <w:spacing w:line="276" w:lineRule="auto"/>
            </w:pPr>
            <w:r>
              <w:t>потенциалното сътресение на функционирането на пазарите, инфраструктурите, клиентите и публичните услуги. По-конкретно, оценката може да обхване въздействието върху ликвидността на съответните пазари, въздействието и обхвата на сътресенията в отношенията с клиентите, както и краткосрочните потребности от ликвидност; осезаемостта за контрагентите, клиентите и обществеността; капацитета и бързината на реакция на клиентите; значението за функционирането на други пазари; въздействието върху ликвидността, операц</w:t>
            </w:r>
            <w:r>
              <w:t>иите, структурата на друг пазар; въздействието върху други контрагенти, свързани с основните клиенти, и взаимовръзките на функцията с други услуги.</w:t>
            </w:r>
          </w:p>
          <w:p w14:paraId="7FE1BB00"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FE5D64" w:rsidRDefault="00E40776">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FE5D64" w:rsidRDefault="00E40776">
            <w:pPr>
              <w:pStyle w:val="P68B1DB1-TableParagraph14"/>
              <w:spacing w:before="108"/>
              <w:jc w:val="both"/>
              <w:rPr>
                <w:bCs/>
              </w:rPr>
            </w:pPr>
            <w:r>
              <w:t xml:space="preserve">Природа и Reach </w:t>
            </w:r>
          </w:p>
          <w:p w14:paraId="7FE1BB04" w14:textId="77777777" w:rsidR="00FE5D64" w:rsidRDefault="00E40776">
            <w:pPr>
              <w:pStyle w:val="P68B1DB1-TableParagraph13"/>
              <w:spacing w:before="108"/>
              <w:jc w:val="both"/>
            </w:pPr>
            <w:r>
              <w:t>Глобалния, националния или регионалния обхват, обем и брой на сделките; броя на клиентите и контрагентите; броя на клиентите, за които институцията е единственият или основният банков партньор;</w:t>
            </w:r>
          </w:p>
        </w:tc>
      </w:tr>
      <w:tr w:rsidR="00FE5D64"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FE5D64" w:rsidRDefault="00E40776">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FE5D64" w:rsidRDefault="00E40776">
            <w:pPr>
              <w:pStyle w:val="P68B1DB1-TableParagraph14"/>
              <w:spacing w:before="108"/>
              <w:jc w:val="both"/>
              <w:rPr>
                <w:bCs/>
              </w:rPr>
            </w:pPr>
            <w:r>
              <w:t>Показател за размера 1</w:t>
            </w:r>
          </w:p>
          <w:p w14:paraId="50B226E0" w14:textId="77777777" w:rsidR="00FE5D64" w:rsidRDefault="00E40776">
            <w:pPr>
              <w:pStyle w:val="P68B1DB1-Normal31"/>
              <w:spacing w:line="276" w:lineRule="auto"/>
              <w:jc w:val="both"/>
            </w:pPr>
            <w:r>
              <w:t xml:space="preserve">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w:t>
            </w:r>
            <w:r>
              <w:lastRenderedPageBreak/>
              <w:t xml:space="preserve">(за депозити, заеми, плащания, парични средства, сетълмент, клиринг и попечителство) или размер на пазара (за капиталовите пазари и финансирането на едро) като референтен показател за тази качествена оценка. </w:t>
            </w:r>
          </w:p>
          <w:p w14:paraId="7FE1BB08" w14:textId="658E0B92" w:rsidR="00FE5D64" w:rsidRDefault="00FE5D64">
            <w:pPr>
              <w:pStyle w:val="TableParagraph"/>
              <w:spacing w:before="108"/>
              <w:rPr>
                <w:rFonts w:ascii="Times New Roman" w:hAnsi="Times New Roman" w:cs="Times New Roman"/>
                <w:color w:val="000000" w:themeColor="text1"/>
                <w:sz w:val="20"/>
                <w:szCs w:val="20"/>
              </w:rPr>
            </w:pPr>
          </w:p>
          <w:p w14:paraId="7FE1BB09" w14:textId="199C9DE7" w:rsidR="00FE5D64" w:rsidRDefault="00E40776">
            <w:pPr>
              <w:pStyle w:val="P68B1DB1-ListParagraph32"/>
              <w:numPr>
                <w:ilvl w:val="0"/>
                <w:numId w:val="130"/>
              </w:numPr>
              <w:spacing w:line="276" w:lineRule="auto"/>
            </w:pPr>
            <w:r>
              <w:t xml:space="preserve">Експертна оценка на размера на непогасените заеми (c0030) от гледна точка на ЕС </w:t>
            </w:r>
            <w:r>
              <w:rPr>
                <w:i/>
              </w:rPr>
              <w:t>[равнище, по-високо от съответния пазар].</w:t>
            </w:r>
            <w:r>
              <w:t xml:space="preserve"> При оценката на този показател за размер вземете предвид и потенциалните бъдещи кредитни потоци. Можете да използвате наличния кредитен капитал като заместител на бъдещите кредитни потоци, ако смятате, че миналата дейност отразява точно планираната кредитна дейност в краткосрочен до средносрочен план. </w:t>
            </w:r>
          </w:p>
          <w:p w14:paraId="7FE1BB0A" w14:textId="77777777" w:rsidR="00FE5D64" w:rsidRDefault="00E40776">
            <w:pPr>
              <w:pStyle w:val="P68B1DB1-ListParagraph32"/>
              <w:numPr>
                <w:ilvl w:val="1"/>
                <w:numId w:val="127"/>
              </w:numPr>
              <w:spacing w:line="276" w:lineRule="auto"/>
            </w:pPr>
            <w:r>
              <w:t>От гледна точка на ЕС колко голяма според Вас е стойността на заемите, които не са погасени и за които са поети задължения, като заместител на бъдещите кредитни потоци?</w:t>
            </w:r>
          </w:p>
          <w:p w14:paraId="7FE1BB0B"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FE5D64" w:rsidRDefault="00E40776">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FE5D64" w:rsidRDefault="00E40776">
            <w:pPr>
              <w:pStyle w:val="P68B1DB1-TableParagraph14"/>
              <w:spacing w:before="108"/>
              <w:jc w:val="both"/>
              <w:rPr>
                <w:bCs/>
              </w:rPr>
            </w:pPr>
            <w:r>
              <w:t>Показател за размера 2</w:t>
            </w:r>
          </w:p>
          <w:p w14:paraId="68B7FEDE"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B0F" w14:textId="40E27EAB" w:rsidR="00FE5D64" w:rsidRDefault="00FE5D64">
            <w:pPr>
              <w:pStyle w:val="TableParagraph"/>
              <w:spacing w:before="108"/>
              <w:rPr>
                <w:rFonts w:ascii="Times New Roman" w:hAnsi="Times New Roman" w:cs="Times New Roman"/>
                <w:color w:val="000000" w:themeColor="text1"/>
                <w:sz w:val="20"/>
                <w:szCs w:val="20"/>
              </w:rPr>
            </w:pPr>
          </w:p>
          <w:p w14:paraId="7FE1BB10" w14:textId="4C225025" w:rsidR="00FE5D64" w:rsidRDefault="00E40776">
            <w:pPr>
              <w:pStyle w:val="P68B1DB1-ListParagraph32"/>
              <w:numPr>
                <w:ilvl w:val="0"/>
                <w:numId w:val="121"/>
              </w:numPr>
              <w:spacing w:line="276" w:lineRule="auto"/>
            </w:pPr>
            <w:r>
              <w:t xml:space="preserve">Експертна оценка на размера на </w:t>
            </w:r>
            <w:r>
              <w:rPr>
                <w:b/>
              </w:rPr>
              <w:t>броя</w:t>
            </w:r>
            <w:r>
              <w:t xml:space="preserve"> клиенти (c0040) от </w:t>
            </w:r>
            <w:r>
              <w:rPr>
                <w:b/>
              </w:rPr>
              <w:t>национална</w:t>
            </w:r>
            <w:r>
              <w:t xml:space="preserve"> гледна точка </w:t>
            </w:r>
            <w:r>
              <w:rPr>
                <w:i/>
              </w:rPr>
              <w:t>[на равнището на съответния пазар]</w:t>
            </w:r>
            <w:r>
              <w:t>:</w:t>
            </w:r>
          </w:p>
          <w:p w14:paraId="7FE1BB11" w14:textId="77777777" w:rsidR="00FE5D64" w:rsidRDefault="00E40776">
            <w:pPr>
              <w:pStyle w:val="P68B1DB1-ListParagraph32"/>
              <w:numPr>
                <w:ilvl w:val="1"/>
                <w:numId w:val="121"/>
              </w:numPr>
              <w:spacing w:line="276" w:lineRule="auto"/>
            </w:pPr>
            <w:r>
              <w:t>От национална гледна точка колко голям е изчисленият общ брой клиенти на институцията?</w:t>
            </w:r>
          </w:p>
          <w:p w14:paraId="7FE1BB17" w14:textId="77777777" w:rsidR="00FE5D64" w:rsidRDefault="00FE5D64">
            <w:pPr>
              <w:rPr>
                <w:rFonts w:ascii="Times New Roman" w:hAnsi="Times New Roman"/>
                <w:color w:val="000000" w:themeColor="text1"/>
                <w:sz w:val="20"/>
                <w:szCs w:val="20"/>
              </w:rPr>
            </w:pPr>
          </w:p>
        </w:tc>
      </w:tr>
      <w:tr w:rsidR="00FE5D64"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FE5D64" w:rsidRDefault="00E40776">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FE5D64" w:rsidRDefault="00E40776">
            <w:pPr>
              <w:pStyle w:val="P68B1DB1-TableParagraph14"/>
              <w:spacing w:before="108"/>
              <w:jc w:val="both"/>
              <w:rPr>
                <w:bCs/>
              </w:rPr>
            </w:pPr>
            <w:r>
              <w:t>Трансграничен показател</w:t>
            </w:r>
          </w:p>
          <w:p w14:paraId="7FE1BB1B" w14:textId="77777777" w:rsidR="00FE5D64" w:rsidRDefault="00E40776">
            <w:pPr>
              <w:pStyle w:val="P68B1DB1-TableParagraph13"/>
              <w:spacing w:before="108"/>
            </w:pPr>
            <w:r>
              <w:t>Оценка на относителното значение на трансграничните дейности за различните икономически функции.</w:t>
            </w:r>
          </w:p>
          <w:p w14:paraId="7FE1BB1C" w14:textId="77777777" w:rsidR="00FE5D64" w:rsidRDefault="00E40776">
            <w:pPr>
              <w:pStyle w:val="P68B1DB1-TableParagraph13"/>
              <w:spacing w:before="108"/>
            </w:pPr>
            <w:r>
              <w:t xml:space="preserve">Това не е необходимо да се оценява в случай на доклади, в които съответният пазар се счита за регионален. </w:t>
            </w:r>
          </w:p>
          <w:p w14:paraId="7FE1BB1D" w14:textId="77777777" w:rsidR="00FE5D64" w:rsidRDefault="00E40776">
            <w:pPr>
              <w:pStyle w:val="P68B1DB1-TableParagraph33"/>
              <w:spacing w:before="108"/>
              <w:jc w:val="both"/>
            </w:pPr>
            <w:r>
              <w:t xml:space="preserve">Брой на държавите от ЕС, в които отчитащият се субект има пазарен дял над 2 % (изразен като стойност на неизплатените заеми). Доклад: </w:t>
            </w:r>
          </w:p>
          <w:p w14:paraId="7FE1BB1E" w14:textId="1382E45D" w:rsidR="00FE5D64" w:rsidRDefault="00E40776">
            <w:pPr>
              <w:pStyle w:val="P68B1DB1-TableParagraph33"/>
              <w:numPr>
                <w:ilvl w:val="0"/>
                <w:numId w:val="282"/>
              </w:numPr>
              <w:spacing w:before="108"/>
              <w:jc w:val="both"/>
            </w:pPr>
            <w:r>
              <w:t xml:space="preserve">≤ 1 държава; </w:t>
            </w:r>
          </w:p>
          <w:p w14:paraId="7FE1BB1F" w14:textId="1384F453" w:rsidR="00FE5D64" w:rsidRDefault="00E40776">
            <w:pPr>
              <w:pStyle w:val="P68B1DB1-TableParagraph33"/>
              <w:numPr>
                <w:ilvl w:val="0"/>
                <w:numId w:val="282"/>
              </w:numPr>
              <w:spacing w:before="108"/>
              <w:jc w:val="both"/>
            </w:pPr>
            <w:r>
              <w:t xml:space="preserve">2—3 държави </w:t>
            </w:r>
          </w:p>
          <w:p w14:paraId="7FE1BB20" w14:textId="2782B087" w:rsidR="00FE5D64" w:rsidRDefault="00E40776">
            <w:pPr>
              <w:pStyle w:val="P68B1DB1-TableParagraph33"/>
              <w:numPr>
                <w:ilvl w:val="0"/>
                <w:numId w:val="282"/>
              </w:numPr>
              <w:spacing w:before="108"/>
              <w:jc w:val="both"/>
            </w:pPr>
            <w:r>
              <w:t xml:space="preserve">4—5 страни </w:t>
            </w:r>
          </w:p>
          <w:p w14:paraId="7FE1BB21" w14:textId="6E7B19E5" w:rsidR="00FE5D64" w:rsidRDefault="00E40776">
            <w:pPr>
              <w:pStyle w:val="P68B1DB1-TableParagraph33"/>
              <w:numPr>
                <w:ilvl w:val="0"/>
                <w:numId w:val="282"/>
              </w:numPr>
              <w:spacing w:before="108"/>
              <w:jc w:val="both"/>
              <w:rPr>
                <w:rFonts w:cs="Times New Roman"/>
                <w:color w:val="000000" w:themeColor="text1"/>
              </w:rPr>
            </w:pPr>
            <w:r>
              <w:t>&gt; 5 държави</w:t>
            </w:r>
          </w:p>
        </w:tc>
      </w:tr>
      <w:tr w:rsidR="00FE5D64"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FE5D64" w:rsidRDefault="00E40776">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FE5D64" w:rsidRDefault="00E40776">
            <w:pPr>
              <w:pStyle w:val="P68B1DB1-TableParagraph13"/>
              <w:spacing w:before="108"/>
              <w:jc w:val="both"/>
            </w:pPr>
            <w:r>
              <w:rPr>
                <w:b/>
              </w:rPr>
              <w:t xml:space="preserve">Уместност </w:t>
            </w:r>
            <w:r>
              <w:t xml:space="preserve">— </w:t>
            </w:r>
          </w:p>
          <w:p w14:paraId="7FE1BB25" w14:textId="77777777" w:rsidR="00FE5D64" w:rsidRDefault="00E40776">
            <w:pPr>
              <w:pStyle w:val="P68B1DB1-TableParagraph13"/>
              <w:spacing w:before="108"/>
              <w:jc w:val="both"/>
            </w:pPr>
            <w:r>
              <w:t>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B26" w14:textId="77777777" w:rsidR="00FE5D64" w:rsidRDefault="00E40776">
            <w:pPr>
              <w:pStyle w:val="P68B1DB1-TableParagraph14"/>
              <w:spacing w:before="108"/>
              <w:jc w:val="both"/>
              <w:rPr>
                <w:bCs/>
              </w:rPr>
            </w:pPr>
            <w:r>
              <w:t>Пазарен дял</w:t>
            </w:r>
          </w:p>
          <w:p w14:paraId="4A7FDA65" w14:textId="77777777" w:rsidR="00FE5D64" w:rsidRDefault="00E40776">
            <w:pPr>
              <w:pStyle w:val="P68B1DB1-Normal31"/>
              <w:spacing w:line="276" w:lineRule="auto"/>
              <w:jc w:val="both"/>
            </w:pPr>
            <w:r>
              <w:lastRenderedPageBreak/>
              <w:t xml:space="preserve">Преценете колко важен е пазарният дял на отчитащия се субект в сравнение с националния или друг съответен пазар, както е посочено в образеца. Тази оценка е изразена качествено по следния начин: </w:t>
            </w:r>
          </w:p>
          <w:p w14:paraId="25EA33C7" w14:textId="77777777" w:rsidR="00FE5D64" w:rsidRDefault="00E40776">
            <w:pPr>
              <w:pStyle w:val="P68B1DB1-ListParagraph32"/>
              <w:numPr>
                <w:ilvl w:val="0"/>
                <w:numId w:val="276"/>
              </w:numPr>
              <w:spacing w:line="276" w:lineRule="auto"/>
              <w:jc w:val="both"/>
            </w:pPr>
            <w:r>
              <w:t>Висок, ако пазарният дял е голям</w:t>
            </w:r>
          </w:p>
          <w:p w14:paraId="24D12007" w14:textId="77777777" w:rsidR="00FE5D64" w:rsidRDefault="00E40776">
            <w:pPr>
              <w:pStyle w:val="P68B1DB1-ListParagraph32"/>
              <w:numPr>
                <w:ilvl w:val="0"/>
                <w:numId w:val="276"/>
              </w:numPr>
              <w:spacing w:line="276" w:lineRule="auto"/>
              <w:jc w:val="both"/>
            </w:pPr>
            <w:r>
              <w:t>Средно висок, ако пазарният дял е среден</w:t>
            </w:r>
          </w:p>
          <w:p w14:paraId="05C67201" w14:textId="77777777" w:rsidR="00FE5D64" w:rsidRDefault="00E40776">
            <w:pPr>
              <w:pStyle w:val="P68B1DB1-ListParagraph32"/>
              <w:numPr>
                <w:ilvl w:val="0"/>
                <w:numId w:val="276"/>
              </w:numPr>
              <w:spacing w:line="276" w:lineRule="auto"/>
              <w:jc w:val="both"/>
            </w:pPr>
            <w:r>
              <w:t xml:space="preserve">Средно нисък, ако пазарният дял е малък или </w:t>
            </w:r>
          </w:p>
          <w:p w14:paraId="29105274" w14:textId="77777777" w:rsidR="00FE5D64" w:rsidRDefault="00E40776">
            <w:pPr>
              <w:pStyle w:val="P68B1DB1-ListParagraph32"/>
              <w:numPr>
                <w:ilvl w:val="0"/>
                <w:numId w:val="276"/>
              </w:numPr>
              <w:spacing w:line="276" w:lineRule="auto"/>
              <w:jc w:val="both"/>
            </w:pPr>
            <w:r>
              <w:t xml:space="preserve">Нисък, ако пазарният дял е незначителен. </w:t>
            </w:r>
          </w:p>
          <w:p w14:paraId="7FE1BB2B" w14:textId="586F4387" w:rsidR="00FE5D64" w:rsidRDefault="00FE5D64">
            <w:pPr>
              <w:pStyle w:val="ListParagraph"/>
              <w:spacing w:line="276" w:lineRule="auto"/>
              <w:jc w:val="both"/>
              <w:rPr>
                <w:rFonts w:ascii="Times New Roman" w:eastAsiaTheme="minorHAnsi" w:hAnsi="Times New Roman"/>
                <w:color w:val="000000" w:themeColor="text1"/>
                <w:sz w:val="20"/>
                <w:szCs w:val="20"/>
              </w:rPr>
            </w:pPr>
          </w:p>
          <w:p w14:paraId="7FE1BB2C" w14:textId="77777777" w:rsidR="00FE5D64" w:rsidRDefault="00E40776">
            <w:pPr>
              <w:pStyle w:val="P68B1DB1-TableParagraph13"/>
              <w:spacing w:before="108"/>
            </w:pPr>
            <w:r>
              <w:t xml:space="preserve">При тази оценка се взема предвид пазарната структура на държавата на отчитащото се предприятие (или друг съответен пазар) и пазарните дялове, отчетени частично. </w:t>
            </w:r>
          </w:p>
          <w:p w14:paraId="7FE1BB2D" w14:textId="77777777" w:rsidR="00FE5D64" w:rsidRDefault="00E40776">
            <w:pPr>
              <w:pStyle w:val="P68B1DB1-TableParagraph13"/>
              <w:spacing w:before="108"/>
            </w:pPr>
            <w:r>
              <w:t>2.Количествени данни:</w:t>
            </w:r>
          </w:p>
          <w:p w14:paraId="7FE1BB2E" w14:textId="77777777" w:rsidR="00FE5D64" w:rsidRDefault="00E40776">
            <w:pPr>
              <w:pStyle w:val="P68B1DB1-ListParagraph32"/>
              <w:numPr>
                <w:ilvl w:val="0"/>
                <w:numId w:val="117"/>
              </w:numPr>
              <w:spacing w:line="276" w:lineRule="auto"/>
              <w:jc w:val="both"/>
              <w:rPr>
                <w:i/>
                <w:iCs/>
              </w:rPr>
            </w:pPr>
            <w:r>
              <w:t xml:space="preserve">Експертна оценка на размера на </w:t>
            </w:r>
            <w:r>
              <w:rPr>
                <w:b/>
              </w:rPr>
              <w:t xml:space="preserve">националния </w:t>
            </w:r>
            <w:r>
              <w:t>пазарен дял (докладвана в c0020, освен в случаите, когато докладът е предоставен за различно съответно пазарно равнище, в който случай се очаква оценка на съответния пазарен дял).</w:t>
            </w:r>
          </w:p>
          <w:p w14:paraId="7FE1BB2F" w14:textId="77777777" w:rsidR="00FE5D64" w:rsidRDefault="00FE5D64">
            <w:pPr>
              <w:pStyle w:val="TableParagraph"/>
              <w:spacing w:before="108"/>
              <w:rPr>
                <w:rFonts w:ascii="Times New Roman" w:hAnsi="Times New Roman" w:cs="Times New Roman"/>
                <w:color w:val="000000" w:themeColor="text1"/>
                <w:sz w:val="20"/>
                <w:szCs w:val="20"/>
              </w:rPr>
            </w:pPr>
          </w:p>
          <w:p w14:paraId="7FE1BB30"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FE5D64" w:rsidRDefault="00E40776">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FE5D64" w:rsidRDefault="00E40776">
            <w:pPr>
              <w:pStyle w:val="P68B1DB1-TableParagraph14"/>
              <w:spacing w:before="108"/>
              <w:jc w:val="both"/>
              <w:rPr>
                <w:bCs/>
              </w:rPr>
            </w:pPr>
            <w:r>
              <w:t>Пазарна структура — концентрация на пазара</w:t>
            </w:r>
          </w:p>
          <w:p w14:paraId="7FE1BB34" w14:textId="77777777" w:rsidR="00FE5D64" w:rsidRDefault="00E40776">
            <w:pPr>
              <w:pStyle w:val="P68B1DB1-TableParagraph13"/>
              <w:spacing w:before="108"/>
            </w:pPr>
            <w:r>
              <w:t xml:space="preserve">Концентрацията на пазара, измерена чрез броя на конкурентите, които понастоящем функционират </w:t>
            </w:r>
          </w:p>
          <w:p w14:paraId="7FE1BB35" w14:textId="77777777" w:rsidR="00FE5D64" w:rsidRDefault="00E40776">
            <w:pPr>
              <w:pStyle w:val="P68B1DB1-TableParagraph13"/>
              <w:spacing w:before="108"/>
            </w:pPr>
            <w:r>
              <w:t xml:space="preserve">сходни икономически функции и/или предлагане на сходни услуги при равни условия (т.е. </w:t>
            </w:r>
          </w:p>
          <w:p w14:paraId="7FE1BB36" w14:textId="77777777" w:rsidR="00FE5D64" w:rsidRDefault="00E40776">
            <w:pPr>
              <w:pStyle w:val="P68B1DB1-TableParagraph13"/>
              <w:spacing w:before="108"/>
            </w:pPr>
            <w:r>
              <w:t xml:space="preserve">съпоставима степен и качество и на сравнима цена), които потенциално ще поемат </w:t>
            </w:r>
          </w:p>
          <w:p w14:paraId="7FE1BB37" w14:textId="77777777" w:rsidR="00FE5D64" w:rsidRDefault="00E40776">
            <w:pPr>
              <w:pStyle w:val="P68B1DB1-TableParagraph13"/>
              <w:spacing w:before="108"/>
            </w:pPr>
            <w:r>
              <w:t xml:space="preserve">(част от) клиентите и/или стопанската дейност на отчитащото се предприятие в рамките на разумен срок. </w:t>
            </w:r>
          </w:p>
          <w:p w14:paraId="7FE1BB38" w14:textId="77777777" w:rsidR="00FE5D64" w:rsidRDefault="00E40776">
            <w:pPr>
              <w:pStyle w:val="P68B1DB1-TableParagraph13"/>
              <w:spacing w:before="108"/>
            </w:pPr>
            <w:r>
              <w:t xml:space="preserve">Това се отчита в групи, които са еднакви за всяка подфункция. </w:t>
            </w:r>
          </w:p>
          <w:p w14:paraId="6E06F623" w14:textId="77777777" w:rsidR="00FE5D64" w:rsidRDefault="00E40776">
            <w:pPr>
              <w:pStyle w:val="P68B1DB1-ListParagraph32"/>
              <w:numPr>
                <w:ilvl w:val="0"/>
                <w:numId w:val="277"/>
              </w:numPr>
              <w:jc w:val="both"/>
            </w:pPr>
            <w:r>
              <w:t xml:space="preserve">&gt; 20 конкуренти; </w:t>
            </w:r>
          </w:p>
          <w:p w14:paraId="1C1D9521" w14:textId="77777777" w:rsidR="00FE5D64" w:rsidRDefault="00E40776">
            <w:pPr>
              <w:pStyle w:val="P68B1DB1-ListParagraph32"/>
              <w:numPr>
                <w:ilvl w:val="0"/>
                <w:numId w:val="277"/>
              </w:numPr>
              <w:jc w:val="both"/>
            </w:pPr>
            <w:r>
              <w:t xml:space="preserve">11—20 конкуренти; </w:t>
            </w:r>
          </w:p>
          <w:p w14:paraId="35EEC292" w14:textId="77777777" w:rsidR="00FE5D64" w:rsidRDefault="00E40776">
            <w:pPr>
              <w:pStyle w:val="P68B1DB1-ListParagraph32"/>
              <w:numPr>
                <w:ilvl w:val="0"/>
                <w:numId w:val="277"/>
              </w:numPr>
              <w:jc w:val="both"/>
            </w:pPr>
            <w:r>
              <w:t xml:space="preserve">От 5 до 10 състезатели, </w:t>
            </w:r>
          </w:p>
          <w:p w14:paraId="23AB1BA1" w14:textId="77777777" w:rsidR="00FE5D64" w:rsidRDefault="00E40776">
            <w:pPr>
              <w:pStyle w:val="P68B1DB1-ListParagraph32"/>
              <w:numPr>
                <w:ilvl w:val="0"/>
                <w:numId w:val="277"/>
              </w:numPr>
              <w:jc w:val="both"/>
              <w:rPr>
                <w:b/>
                <w:bCs/>
                <w:color w:val="000000" w:themeColor="text1"/>
              </w:rPr>
            </w:pPr>
            <w:r>
              <w:t>„5 конкуренти“</w:t>
            </w:r>
          </w:p>
          <w:p w14:paraId="7FE1BB3C" w14:textId="356BF98D" w:rsidR="00FE5D64" w:rsidRDefault="00FE5D64">
            <w:pPr>
              <w:jc w:val="both"/>
              <w:rPr>
                <w:rFonts w:ascii="Times New Roman" w:hAnsi="Times New Roman"/>
                <w:color w:val="000000" w:themeColor="text1"/>
                <w:sz w:val="20"/>
                <w:szCs w:val="20"/>
              </w:rPr>
            </w:pPr>
          </w:p>
        </w:tc>
      </w:tr>
      <w:tr w:rsidR="00FE5D64"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FE5D64" w:rsidRDefault="00E40776">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FE5D64" w:rsidRDefault="00E40776">
            <w:pPr>
              <w:pStyle w:val="P68B1DB1-TableParagraph14"/>
              <w:spacing w:before="108"/>
              <w:jc w:val="both"/>
              <w:rPr>
                <w:bCs/>
              </w:rPr>
            </w:pPr>
            <w:r>
              <w:t>График — очаквано време за заместване</w:t>
            </w:r>
          </w:p>
          <w:p w14:paraId="7FE1BB40" w14:textId="77777777" w:rsidR="00FE5D64" w:rsidRDefault="00E40776">
            <w:pPr>
              <w:pStyle w:val="P68B1DB1-TableParagraph13"/>
              <w:spacing w:before="108"/>
            </w:pPr>
            <w:r>
              <w:t>Оценка на времето, необходимо за икономическата функция, предоставена от докладването</w:t>
            </w:r>
          </w:p>
          <w:p w14:paraId="7FE1BB41" w14:textId="77777777" w:rsidR="00FE5D64" w:rsidRDefault="00E40776">
            <w:pPr>
              <w:pStyle w:val="P68B1DB1-TableParagraph13"/>
              <w:spacing w:before="108"/>
            </w:pPr>
            <w:r>
              <w:t xml:space="preserve">субект, който трябва да бъде поет от пазара в кризисна ситуация. Това включва: </w:t>
            </w:r>
          </w:p>
          <w:p w14:paraId="7FE1BB42" w14:textId="77777777" w:rsidR="00FE5D64" w:rsidRDefault="00E40776">
            <w:pPr>
              <w:pStyle w:val="P68B1DB1-ListParagraph38"/>
              <w:numPr>
                <w:ilvl w:val="0"/>
                <w:numId w:val="274"/>
              </w:numPr>
              <w:jc w:val="both"/>
            </w:pPr>
            <w:r>
              <w:t xml:space="preserve">очакваното време, необходимо на един или няколко конкурента (ите) за изпълнение на правните и техническите стъпки за поемане на функцията; както и  </w:t>
            </w:r>
          </w:p>
          <w:p w14:paraId="7FE1BB43" w14:textId="77777777" w:rsidR="00FE5D64" w:rsidRDefault="00E40776">
            <w:pPr>
              <w:pStyle w:val="P68B1DB1-ListParagraph38"/>
              <w:numPr>
                <w:ilvl w:val="0"/>
                <w:numId w:val="274"/>
              </w:numPr>
              <w:jc w:val="both"/>
            </w:pPr>
            <w:r>
              <w:t xml:space="preserve">времето, необходимо на ползвателите на услугата да се преместят при друг доставчик на услуги. </w:t>
            </w:r>
          </w:p>
          <w:p w14:paraId="7FE1BB44" w14:textId="77777777" w:rsidR="00FE5D64" w:rsidRDefault="00FE5D64">
            <w:pPr>
              <w:pStyle w:val="TableParagraph"/>
              <w:spacing w:before="108"/>
              <w:rPr>
                <w:rFonts w:ascii="Times New Roman" w:hAnsi="Times New Roman" w:cs="Times New Roman"/>
                <w:color w:val="000000" w:themeColor="text1"/>
                <w:sz w:val="20"/>
                <w:szCs w:val="20"/>
              </w:rPr>
            </w:pPr>
          </w:p>
          <w:p w14:paraId="7FE1BB45" w14:textId="77777777" w:rsidR="00FE5D64" w:rsidRDefault="00E40776">
            <w:pPr>
              <w:pStyle w:val="P68B1DB1-TableParagraph13"/>
              <w:spacing w:before="108"/>
            </w:pPr>
            <w:r>
              <w:t xml:space="preserve">По отношение на кредитирането например това не се отнася до ликвидацията на непогасения портфейл или прехвърлянето на този портфейл на потенциален купувач, а по-скоро до способността на домакинствата, корпоративни предприятия и правителства, да получават подобни заеми от други доставчици. </w:t>
            </w:r>
          </w:p>
          <w:p w14:paraId="7FE1BB46" w14:textId="77777777" w:rsidR="00FE5D64" w:rsidRDefault="00FE5D64">
            <w:pPr>
              <w:pStyle w:val="TableParagraph"/>
              <w:spacing w:before="108"/>
              <w:rPr>
                <w:rFonts w:ascii="Times New Roman" w:hAnsi="Times New Roman" w:cs="Times New Roman"/>
                <w:color w:val="000000" w:themeColor="text1"/>
                <w:sz w:val="20"/>
                <w:szCs w:val="20"/>
              </w:rPr>
            </w:pPr>
          </w:p>
          <w:p w14:paraId="7FE1BB47" w14:textId="77777777" w:rsidR="00FE5D64" w:rsidRDefault="00E40776">
            <w:pPr>
              <w:pStyle w:val="P68B1DB1-TableParagraph13"/>
              <w:spacing w:before="108"/>
            </w:pPr>
            <w:r>
              <w:t xml:space="preserve">Като заместител на първия, представете приблизителна оценка на времето, необходимо на отчитащия се субект да поеме в собствената си стопанска дейност (част от) услугата, предоставяна от друга институция, на разумна цена в кризисна ситуация. Докладвайте </w:t>
            </w:r>
            <w:r>
              <w:lastRenderedPageBreak/>
              <w:t>очакваното време за заместване в групите, посочени в образеца:</w:t>
            </w:r>
          </w:p>
          <w:p w14:paraId="7FE1BB48" w14:textId="77777777" w:rsidR="00FE5D64" w:rsidRDefault="00FE5D64">
            <w:pPr>
              <w:pStyle w:val="TableParagraph"/>
              <w:spacing w:before="108"/>
              <w:rPr>
                <w:rFonts w:ascii="Times New Roman" w:hAnsi="Times New Roman" w:cs="Times New Roman"/>
                <w:color w:val="000000" w:themeColor="text1"/>
                <w:sz w:val="20"/>
                <w:szCs w:val="20"/>
              </w:rPr>
            </w:pPr>
          </w:p>
        </w:tc>
      </w:tr>
      <w:tr w:rsidR="00FE5D64"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FE5D64" w:rsidRDefault="00E40776">
            <w:pPr>
              <w:pStyle w:val="P68B1DB1-TableParagraph17"/>
              <w:spacing w:before="108"/>
              <w:jc w:val="both"/>
            </w:pPr>
            <w:r>
              <w:lastRenderedPageBreak/>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FE5D64" w:rsidRDefault="00E40776">
            <w:pPr>
              <w:pStyle w:val="P68B1DB1-TableParagraph14"/>
              <w:spacing w:before="108"/>
              <w:jc w:val="both"/>
              <w:rPr>
                <w:bCs/>
              </w:rPr>
            </w:pPr>
            <w:r>
              <w:t>Способност за заместване</w:t>
            </w:r>
          </w:p>
        </w:tc>
      </w:tr>
      <w:tr w:rsidR="00FE5D64"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FE5D64" w:rsidRDefault="00E40776">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FE5D64" w:rsidRDefault="00E40776">
            <w:pPr>
              <w:pStyle w:val="P68B1DB1-TableParagraph14"/>
              <w:spacing w:before="108"/>
              <w:rPr>
                <w:bCs/>
              </w:rPr>
            </w:pPr>
            <w:r>
              <w:t>Правни пречки за навлизане на пазара или разрастване</w:t>
            </w:r>
          </w:p>
          <w:p w14:paraId="7FE1BB4F" w14:textId="77777777" w:rsidR="00FE5D64" w:rsidRDefault="00FE5D64">
            <w:pPr>
              <w:pStyle w:val="TableParagraph"/>
              <w:spacing w:before="108"/>
              <w:rPr>
                <w:rFonts w:ascii="Times New Roman" w:hAnsi="Times New Roman" w:cs="Times New Roman"/>
                <w:color w:val="000000" w:themeColor="text1"/>
                <w:sz w:val="20"/>
                <w:szCs w:val="20"/>
              </w:rPr>
            </w:pPr>
          </w:p>
          <w:p w14:paraId="7FE1BB50" w14:textId="77777777" w:rsidR="00FE5D64" w:rsidRDefault="00E40776">
            <w:pPr>
              <w:pStyle w:val="P68B1DB1-TableParagraph13"/>
              <w:spacing w:before="108"/>
            </w:pPr>
            <w:r>
              <w:t xml:space="preserve">Правни пречки за конкурентите да предлагат услугата. Правните изисквания за извършване на дейността на кредитните институции (напр. банкови лицензи или капиталови изисквания) не следва да се считат за непреодолими пречки при наличието на алтернативни доставчици. Този показател трябва да се отчита в групи, които са еднакви за всяка подфункция: </w:t>
            </w:r>
          </w:p>
          <w:p w14:paraId="7FE1BB51" w14:textId="068F91A0" w:rsidR="00FE5D64" w:rsidRDefault="00E40776">
            <w:pPr>
              <w:pStyle w:val="P68B1DB1-ListParagraph39"/>
              <w:numPr>
                <w:ilvl w:val="0"/>
                <w:numId w:val="275"/>
              </w:numPr>
              <w:jc w:val="both"/>
            </w:pPr>
            <w:r>
              <w:t xml:space="preserve">няма големи пречки, </w:t>
            </w:r>
          </w:p>
          <w:p w14:paraId="7FE1BB52" w14:textId="6D8354EB" w:rsidR="00FE5D64" w:rsidRDefault="00E40776">
            <w:pPr>
              <w:pStyle w:val="P68B1DB1-ListParagraph39"/>
              <w:numPr>
                <w:ilvl w:val="0"/>
                <w:numId w:val="275"/>
              </w:numPr>
              <w:jc w:val="both"/>
            </w:pPr>
            <w:r>
              <w:t xml:space="preserve">някои пречки, </w:t>
            </w:r>
          </w:p>
          <w:p w14:paraId="7FE1BB53" w14:textId="1BC21AC5" w:rsidR="00FE5D64" w:rsidRDefault="00E40776">
            <w:pPr>
              <w:pStyle w:val="P68B1DB1-ListParagraph39"/>
              <w:numPr>
                <w:ilvl w:val="0"/>
                <w:numId w:val="275"/>
              </w:numPr>
              <w:jc w:val="both"/>
            </w:pPr>
            <w:r>
              <w:t xml:space="preserve">значителни (но непреодолими) бариери, </w:t>
            </w:r>
          </w:p>
          <w:p w14:paraId="7FE1BB55" w14:textId="539429F5" w:rsidR="00FE5D64" w:rsidRDefault="00E40776">
            <w:pPr>
              <w:pStyle w:val="P68B1DB1-ListParagraph8"/>
              <w:numPr>
                <w:ilvl w:val="0"/>
                <w:numId w:val="275"/>
              </w:numPr>
              <w:jc w:val="both"/>
            </w:pPr>
            <w:r>
              <w:t>критични (трудни за преодоляване) бариери.</w:t>
            </w:r>
          </w:p>
        </w:tc>
      </w:tr>
      <w:tr w:rsidR="00FE5D64"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FE5D64" w:rsidRDefault="00E40776">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FE5D64" w:rsidRDefault="00E40776">
            <w:pPr>
              <w:pStyle w:val="P68B1DB1-TableParagraph14"/>
              <w:spacing w:before="108"/>
              <w:rPr>
                <w:bCs/>
              </w:rPr>
            </w:pPr>
            <w:r>
              <w:t>Експлоатационни изисквания за навлизане или разширяване</w:t>
            </w:r>
          </w:p>
          <w:p w14:paraId="7FE1BB59" w14:textId="77777777" w:rsidR="00FE5D64" w:rsidRDefault="00FE5D64">
            <w:pPr>
              <w:pStyle w:val="TableParagraph"/>
              <w:spacing w:before="108"/>
              <w:rPr>
                <w:rFonts w:ascii="Times New Roman" w:hAnsi="Times New Roman" w:cs="Times New Roman"/>
                <w:color w:val="000000" w:themeColor="text1"/>
                <w:sz w:val="20"/>
                <w:szCs w:val="20"/>
              </w:rPr>
            </w:pPr>
          </w:p>
          <w:p w14:paraId="7FE1BB5A" w14:textId="7291B555" w:rsidR="00FE5D64" w:rsidRDefault="00E40776">
            <w:pPr>
              <w:pStyle w:val="P68B1DB1-TableParagraph13"/>
              <w:spacing w:before="108"/>
            </w:pPr>
            <w:r>
              <w:t xml:space="preserve">Организационни, технически и инфраструктурни изисквания за конкурентите да предлагат услугата. Предлагането на услуги, свързани с (под) функцията, изисква доставчиците да инвестират в (нова или допълнителна) инфраструктура или да променят своите организации. Оценка на способността на пазара да поеме дадения бизнес. </w:t>
            </w:r>
          </w:p>
          <w:p w14:paraId="7FE1BB5B" w14:textId="77777777" w:rsidR="00FE5D64" w:rsidRDefault="00E40776">
            <w:pPr>
              <w:pStyle w:val="P68B1DB1-TableParagraph13"/>
              <w:spacing w:before="108"/>
            </w:pPr>
            <w:r>
              <w:t xml:space="preserve">Този показател трябва да се отчита в групи, които са еднакви за всяка подфункция: </w:t>
            </w:r>
          </w:p>
          <w:p w14:paraId="7FE1BB5C" w14:textId="7C8E68F5" w:rsidR="00FE5D64" w:rsidRDefault="00E40776">
            <w:pPr>
              <w:pStyle w:val="P68B1DB1-ListParagraph39"/>
              <w:numPr>
                <w:ilvl w:val="0"/>
                <w:numId w:val="278"/>
              </w:numPr>
              <w:jc w:val="both"/>
            </w:pPr>
            <w:r>
              <w:t xml:space="preserve">няма съществени изисквания, </w:t>
            </w:r>
          </w:p>
          <w:p w14:paraId="7FE1BB5D" w14:textId="227F4B1C" w:rsidR="00FE5D64" w:rsidRDefault="00E40776">
            <w:pPr>
              <w:pStyle w:val="P68B1DB1-ListParagraph39"/>
              <w:numPr>
                <w:ilvl w:val="0"/>
                <w:numId w:val="278"/>
              </w:numPr>
              <w:jc w:val="both"/>
            </w:pPr>
            <w:r>
              <w:t xml:space="preserve">някои изисквания, </w:t>
            </w:r>
          </w:p>
          <w:p w14:paraId="7FE1BB5E" w14:textId="11C740DB" w:rsidR="00FE5D64" w:rsidRDefault="00E40776">
            <w:pPr>
              <w:pStyle w:val="P68B1DB1-ListParagraph39"/>
              <w:numPr>
                <w:ilvl w:val="0"/>
                <w:numId w:val="278"/>
              </w:numPr>
              <w:jc w:val="both"/>
            </w:pPr>
            <w:r>
              <w:t xml:space="preserve">съществени (но непреодолими) изисквания, </w:t>
            </w:r>
          </w:p>
          <w:p w14:paraId="7FE1BB5F" w14:textId="701458A3" w:rsidR="00FE5D64" w:rsidRDefault="00E40776">
            <w:pPr>
              <w:pStyle w:val="P68B1DB1-ListParagraph39"/>
              <w:numPr>
                <w:ilvl w:val="0"/>
                <w:numId w:val="278"/>
              </w:numPr>
              <w:jc w:val="both"/>
            </w:pPr>
            <w:r>
              <w:t>критични (трудни за допълване) изисквания.</w:t>
            </w:r>
          </w:p>
          <w:p w14:paraId="7FE1BB64" w14:textId="7064EEB7" w:rsidR="00FE5D64" w:rsidRDefault="00E40776">
            <w:pPr>
              <w:pStyle w:val="P68B1DB1-TableParagraph40"/>
              <w:spacing w:before="108"/>
              <w:ind w:left="720"/>
              <w:jc w:val="both"/>
              <w:rPr>
                <w:color w:val="000000" w:themeColor="text1"/>
              </w:rPr>
            </w:pPr>
            <w:r>
              <w:t xml:space="preserve"> </w:t>
            </w:r>
          </w:p>
        </w:tc>
      </w:tr>
      <w:tr w:rsidR="00FE5D64"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FE5D64" w:rsidRDefault="00E40776">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FE5D64" w:rsidRDefault="00E40776">
            <w:pPr>
              <w:pStyle w:val="P68B1DB1-TableParagraph14"/>
              <w:spacing w:before="108"/>
              <w:rPr>
                <w:bCs/>
              </w:rPr>
            </w:pPr>
            <w:r>
              <w:t>Оценка на критичността</w:t>
            </w:r>
          </w:p>
        </w:tc>
      </w:tr>
      <w:tr w:rsidR="00FE5D64"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FE5D64" w:rsidRDefault="00E40776">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FE5D64" w:rsidRDefault="00E40776">
            <w:pPr>
              <w:pStyle w:val="P68B1DB1-TableParagraph14"/>
              <w:spacing w:before="108"/>
              <w:rPr>
                <w:bCs/>
              </w:rPr>
            </w:pPr>
            <w:r>
              <w:t xml:space="preserve">Въздействие върху пазара </w:t>
            </w:r>
          </w:p>
          <w:p w14:paraId="7FE1BB6B" w14:textId="77777777" w:rsidR="00FE5D64" w:rsidRDefault="00E40776">
            <w:pPr>
              <w:pStyle w:val="P68B1DB1-TableParagraph13"/>
              <w:spacing w:before="108"/>
            </w:pPr>
            <w:r>
              <w:t>Очакваното въздействие на внезапно прекъсване на функцията върху трети страни, финансовите пазари и реалната икономика, като се вземат предвид размерът, пазарният дял в дадената държава, външните и вътрешните взаимовръзки, сложността и трансграничната дейност на институцията.</w:t>
            </w:r>
          </w:p>
          <w:p w14:paraId="7FE1BB6C" w14:textId="3006E0F1" w:rsidR="00FE5D64" w:rsidRDefault="00E40776">
            <w:pPr>
              <w:pStyle w:val="P68B1DB1-TableParagraph13"/>
              <w:spacing w:before="108"/>
            </w:pPr>
            <w:r>
              <w:t>Тази оценка се изразява качествено като „висока „, „средна„, „средна „, „средна“ или ниска.</w:t>
            </w:r>
          </w:p>
          <w:p w14:paraId="7FE1BB6D" w14:textId="091B1AD9" w:rsidR="00FE5D64" w:rsidRDefault="00E40776">
            <w:pPr>
              <w:pStyle w:val="P68B1DB1-TableParagraph13"/>
              <w:spacing w:before="108"/>
            </w:pPr>
            <w:r>
              <w:t>„Висок“ се избира, ако прекъсването би оказало силно въздействие върху националния пазар; „Средно-Високо“ — ако въздействието е значително; „Medium-Low“ — ако въздействието е съществено, но ограничено; „Low“ — ако въздействието е слабо.</w:t>
            </w:r>
          </w:p>
        </w:tc>
      </w:tr>
      <w:tr w:rsidR="00FE5D64"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FE5D64" w:rsidRDefault="00E40776">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FE5D64" w:rsidRDefault="00E40776">
            <w:pPr>
              <w:pStyle w:val="P68B1DB1-TableParagraph14"/>
              <w:spacing w:before="108"/>
              <w:rPr>
                <w:bCs/>
              </w:rPr>
            </w:pPr>
            <w:r>
              <w:t>Заменяемост</w:t>
            </w:r>
          </w:p>
          <w:p w14:paraId="7FE1BB71" w14:textId="77777777" w:rsidR="00FE5D64" w:rsidRDefault="00E40776">
            <w:pPr>
              <w:pStyle w:val="P68B1DB1-TableParagraph13"/>
              <w:spacing w:before="108"/>
            </w:pPr>
            <w:r>
              <w:t>Член 6, параграф 3 от Делегиран регламент (ЕС) 2016/778.</w:t>
            </w:r>
          </w:p>
          <w:p w14:paraId="7FE1BB72" w14:textId="77777777" w:rsidR="00FE5D64" w:rsidRDefault="00E40776">
            <w:pPr>
              <w:pStyle w:val="P68B1DB1-TableParagraph13"/>
              <w:spacing w:before="108"/>
            </w:pPr>
            <w:r>
              <w:t>Дадена функция се приема за заменяема, ако може да бъде заменена по приемлив начин и в приемлив срок, с което да се избегнат системни проблеми за реалната икономика и финансовите пазари. Взема се предвид следното:</w:t>
            </w:r>
          </w:p>
          <w:p w14:paraId="7FE1BB73" w14:textId="77777777" w:rsidR="00FE5D64" w:rsidRDefault="00E40776">
            <w:pPr>
              <w:pStyle w:val="P68B1DB1-TableParagraph13"/>
              <w:spacing w:before="108"/>
            </w:pPr>
            <w:r>
              <w:t xml:space="preserve">(a) структурата на пазара за тази функция и наличието на алтернативни доставчици; </w:t>
            </w:r>
          </w:p>
          <w:p w14:paraId="7FE1BB74" w14:textId="77777777" w:rsidR="00FE5D64" w:rsidRDefault="00E40776">
            <w:pPr>
              <w:pStyle w:val="P68B1DB1-TableParagraph13"/>
              <w:spacing w:before="108"/>
            </w:pPr>
            <w:r>
              <w:t xml:space="preserve">(b) възможностите на останалите доставчици по отношение на капацитета, изискванията за изпълняване на функцията и потенциалните пречки за навлизане на пазара или разрастване; </w:t>
            </w:r>
          </w:p>
          <w:p w14:paraId="7FE1BB75" w14:textId="77777777" w:rsidR="00FE5D64" w:rsidRDefault="00E40776">
            <w:pPr>
              <w:pStyle w:val="P68B1DB1-TableParagraph13"/>
              <w:spacing w:before="108"/>
            </w:pPr>
            <w:r>
              <w:lastRenderedPageBreak/>
              <w:t xml:space="preserve">(c) стимулът за други доставчици да поемат тези дейности; </w:t>
            </w:r>
          </w:p>
          <w:p w14:paraId="7FE1BB76" w14:textId="77777777" w:rsidR="00FE5D64" w:rsidRDefault="00E40776">
            <w:pPr>
              <w:pStyle w:val="P68B1DB1-TableParagraph13"/>
              <w:spacing w:before="108"/>
            </w:pPr>
            <w:r>
              <w:t>(d) необходимото време за преминаване на ползвателите на услугата към нов доставчик на услуги и свързаните с този преход разходи;необходимото време за поемане на функцията от другите конкуренти и дали този срок е достатъчен, за да се предотвратят сериозни сътресения в зависимост от вида услуга.</w:t>
            </w:r>
          </w:p>
          <w:p w14:paraId="7FE1BB77" w14:textId="34C328B6" w:rsidR="00FE5D64" w:rsidRDefault="00E40776">
            <w:pPr>
              <w:pStyle w:val="P68B1DB1-TableParagraph13"/>
              <w:spacing w:before="108"/>
            </w:pPr>
            <w:r>
              <w:t xml:space="preserve">Предоставяне на цялостна оценка на очакваната степен на заменяемост за всяка функция, като се вземат предвид различните оценявани по-рано измерения (пазарен дял, пазарна концентрация, време за заместване, правни пречки и оперативни изисквания за навлизане или разширяване). Тази оценка се изразява качествено като „висока „, „средна„, „средна „, „средна“ или ниска. </w:t>
            </w:r>
          </w:p>
          <w:p w14:paraId="7FE1BB78" w14:textId="70240340" w:rsidR="00FE5D64" w:rsidRDefault="00E40776">
            <w:pPr>
              <w:pStyle w:val="P68B1DB1-TableParagraph13"/>
              <w:spacing w:before="108"/>
            </w:pPr>
            <w:r>
              <w:t>„Висок“ се избира, ако една функция може лесно да започне да се изпълнява от друга банка при сравними условия и в разумен срок;</w:t>
            </w:r>
          </w:p>
          <w:p w14:paraId="7FE1BB79" w14:textId="3DFD8C4F" w:rsidR="00FE5D64" w:rsidRDefault="00E40776">
            <w:pPr>
              <w:pStyle w:val="P68B1DB1-TableParagraph13"/>
              <w:spacing w:before="108"/>
            </w:pPr>
            <w:r>
              <w:t xml:space="preserve">„Низко“ ако една функция не може лесно или бързо да бъде заменена; </w:t>
            </w:r>
          </w:p>
          <w:p w14:paraId="7FE1BB7A" w14:textId="4DB7815A" w:rsidR="00FE5D64" w:rsidRDefault="00E40776">
            <w:pPr>
              <w:pStyle w:val="P68B1DB1-TableParagraph13"/>
              <w:spacing w:before="108"/>
            </w:pPr>
            <w:r>
              <w:t>„Medium High„и „Medium Low“ — за междинните случаи, предвид различните параметри (например пазарен дял, концентрация на пазара, време за замяна, както и правните пречки и оперативните изисквания за навлизане на пазара или разрастване).</w:t>
            </w:r>
          </w:p>
        </w:tc>
      </w:tr>
      <w:tr w:rsidR="00FE5D64"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FE5D64" w:rsidRDefault="00E40776">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FE5D64" w:rsidRDefault="00E40776">
            <w:pPr>
              <w:pStyle w:val="P68B1DB1-TableParagraph14"/>
              <w:spacing w:before="108"/>
              <w:rPr>
                <w:bCs/>
              </w:rPr>
            </w:pPr>
            <w:r>
              <w:t>Критична функция</w:t>
            </w:r>
          </w:p>
          <w:p w14:paraId="7FE1BB7E" w14:textId="77777777" w:rsidR="00FE5D64" w:rsidRDefault="00E40776">
            <w:pPr>
              <w:pStyle w:val="P68B1DB1-TableParagraph13"/>
              <w:spacing w:before="108"/>
            </w:pPr>
            <w:r>
              <w:t>В тази колона се посочва дали икономическата функция се счита за критична на пазара на съответната държава, като се вземат под внимание извършените от институцията анализи за въздействие и заместяемост.</w:t>
            </w:r>
          </w:p>
          <w:p w14:paraId="7FE1BB7F" w14:textId="77777777" w:rsidR="00FE5D64" w:rsidRDefault="00E40776">
            <w:pPr>
              <w:pStyle w:val="P68B1DB1-TableParagraph13"/>
              <w:spacing w:before="108"/>
            </w:pPr>
            <w:r>
              <w:t>Посочва се „Да„или „Не“.</w:t>
            </w:r>
          </w:p>
        </w:tc>
      </w:tr>
      <w:tr w:rsidR="00FE5D64"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FE5D64" w:rsidRDefault="00E40776">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FE5D64" w:rsidRDefault="00E40776">
            <w:pPr>
              <w:pStyle w:val="P68B1DB1-TableParagraph14"/>
              <w:spacing w:before="108"/>
              <w:rPr>
                <w:bCs/>
              </w:rPr>
            </w:pPr>
            <w:r>
              <w:t>Коментари на групата</w:t>
            </w:r>
          </w:p>
          <w:p w14:paraId="7FE1BB83" w14:textId="77777777" w:rsidR="00FE5D64" w:rsidRDefault="00E40776">
            <w:pPr>
              <w:pStyle w:val="P68B1DB1-TableParagraph13"/>
              <w:spacing w:before="108"/>
            </w:pPr>
            <w:r>
              <w:t>Това поле дава възможност на докладващия субект да обясни всички допускания, използвани при оценката на критичността на докладваната (ите) функция (и).</w:t>
            </w:r>
          </w:p>
        </w:tc>
      </w:tr>
    </w:tbl>
    <w:p w14:paraId="7FE1BB85" w14:textId="77777777" w:rsidR="00FE5D64" w:rsidRDefault="00FE5D64">
      <w:pPr>
        <w:rPr>
          <w:rFonts w:ascii="Times New Roman" w:hAnsi="Times New Roman" w:cs="Times New Roman"/>
          <w:color w:val="000000" w:themeColor="text1"/>
          <w:sz w:val="20"/>
          <w:szCs w:val="20"/>
        </w:rPr>
      </w:pPr>
    </w:p>
    <w:p w14:paraId="7FE1BB86" w14:textId="61485090" w:rsidR="00FE5D64" w:rsidRDefault="00E40776">
      <w:pPr>
        <w:pStyle w:val="P68B1DB1-Instructionsberschrift25"/>
        <w:numPr>
          <w:ilvl w:val="1"/>
          <w:numId w:val="49"/>
        </w:numPr>
        <w:ind w:left="357" w:hanging="357"/>
      </w:pPr>
      <w:bookmarkStart w:id="117" w:name="_Toc208244465"/>
      <w:r>
        <w:t>Z 07.01.3 FUNC 1 ЗАПЛАТА</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E5D64"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FE5D64" w:rsidRDefault="00E40776">
            <w:pPr>
              <w:pStyle w:val="P68B1DB1-TableParagraph17"/>
              <w:spacing w:before="108"/>
              <w:ind w:left="85"/>
              <w:jc w:val="both"/>
            </w:pPr>
            <w:r>
              <w:t>Колони</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FE5D64" w:rsidRDefault="00E40776">
            <w:pPr>
              <w:pStyle w:val="P68B1DB1-TableParagraph17"/>
              <w:spacing w:before="108"/>
              <w:ind w:left="85" w:right="1"/>
              <w:jc w:val="both"/>
            </w:pPr>
            <w:r>
              <w:t>Указания</w:t>
            </w:r>
          </w:p>
        </w:tc>
      </w:tr>
      <w:tr w:rsidR="00FE5D64"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FE5D64" w:rsidRDefault="00E40776">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FE5D64" w:rsidRDefault="00E40776">
            <w:pPr>
              <w:pStyle w:val="P68B1DB1-TableParagraph14"/>
              <w:spacing w:before="108"/>
              <w:ind w:left="85"/>
              <w:jc w:val="both"/>
              <w:rPr>
                <w:bCs/>
              </w:rPr>
            </w:pPr>
            <w:r>
              <w:t>Описание на икономическата функция</w:t>
            </w:r>
          </w:p>
          <w:p w14:paraId="7FE1BB94" w14:textId="56901CA7" w:rsidR="00FE5D64" w:rsidRDefault="00E40776">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Когато икономическата функция е от вида „Други“ (</w:t>
            </w:r>
            <w:r>
              <w:t>Z 07.01.3 FUNC 1 PAY r0220 — r0240)</w:t>
            </w:r>
            <w:r>
              <w:rPr>
                <w:rFonts w:ascii="Times New Roman" w:eastAsia="Cambria" w:hAnsi="Times New Roman" w:cs="Times New Roman"/>
                <w:color w:val="000000" w:themeColor="text1"/>
                <w:sz w:val="20"/>
                <w:szCs w:val="20"/>
              </w:rPr>
              <w:t xml:space="preserve">, се предоставя описание на тази функция. </w:t>
            </w:r>
          </w:p>
        </w:tc>
      </w:tr>
      <w:tr w:rsidR="00FE5D64"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FE5D64" w:rsidRDefault="00E40776">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FE5D64" w:rsidRDefault="00E40776">
            <w:pPr>
              <w:pStyle w:val="P68B1DB1-TableParagraph14"/>
              <w:spacing w:before="108"/>
              <w:ind w:left="85"/>
              <w:jc w:val="both"/>
              <w:rPr>
                <w:bCs/>
              </w:rPr>
            </w:pPr>
            <w:r>
              <w:t xml:space="preserve">Пазарен дял </w:t>
            </w:r>
          </w:p>
          <w:p w14:paraId="7FE1BB98" w14:textId="71A825FB" w:rsidR="00FE5D64" w:rsidRDefault="00E40776">
            <w:pPr>
              <w:pStyle w:val="P68B1DB1-TableParagraph17"/>
              <w:spacing w:before="108"/>
              <w:ind w:left="85"/>
            </w:pPr>
            <w:r>
              <w:t>Приблизителна оценка на пазарния дял на институцията или групата за икономическата функция в съответната държава или географска област. Процент от общия пазар от гледна точка на паричната стойност. Това съответства на стойността на сделките за платежните услуги към ПФИ и НПФИ, стойността на откритите позиции за клирингови услуги на ЦК и стойността на активите под попечителство за попечителски услуги.</w:t>
            </w:r>
          </w:p>
        </w:tc>
      </w:tr>
      <w:tr w:rsidR="00FE5D64"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FE5D64" w:rsidRDefault="00E40776">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FE5D64" w:rsidRDefault="00E40776">
            <w:pPr>
              <w:pStyle w:val="P68B1DB1-TableParagraph14"/>
              <w:spacing w:before="108"/>
              <w:rPr>
                <w:bCs/>
              </w:rPr>
            </w:pPr>
            <w:r>
              <w:t>Стойност на трансакции</w:t>
            </w:r>
          </w:p>
          <w:p w14:paraId="7FE1BB9C" w14:textId="77777777" w:rsidR="00FE5D64" w:rsidRDefault="00E40776">
            <w:pPr>
              <w:pStyle w:val="P68B1DB1-TableParagraph17"/>
              <w:spacing w:before="108"/>
            </w:pPr>
            <w:r>
              <w:t>По правило се отчита средната дневна стойност на сделките през годината. Ако тя не е налична, може да се отчете средната стойност за по-кратък период (например няколко месеца).</w:t>
            </w:r>
          </w:p>
          <w:p w14:paraId="7FE1BB9D" w14:textId="32F9B039" w:rsidR="00FE5D64" w:rsidRDefault="00E40776">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Платежни услуги (функция ID 3.1 и 3.2): Стойност на операциите по изпращане.</w:t>
            </w:r>
            <w:r>
              <w:t xml:space="preserve"> </w:t>
            </w:r>
            <w:r>
              <w:rPr>
                <w:rFonts w:ascii="Times New Roman" w:eastAsia="Cambria" w:hAnsi="Times New Roman" w:cs="Times New Roman"/>
                <w:color w:val="000000" w:themeColor="text1"/>
                <w:sz w:val="20"/>
                <w:szCs w:val="20"/>
              </w:rPr>
              <w:t xml:space="preserve">Източници: Директива (ЕС) 2015/2366 относно платежните услуги във вътрешния пазар, </w:t>
            </w:r>
            <w:r>
              <w:rPr>
                <w:rFonts w:ascii="Times New Roman" w:eastAsia="Cambria" w:hAnsi="Times New Roman" w:cs="Times New Roman"/>
                <w:color w:val="000000" w:themeColor="text1"/>
                <w:sz w:val="20"/>
                <w:szCs w:val="20"/>
              </w:rPr>
              <w:lastRenderedPageBreak/>
              <w:t>член 4, параграф 5; Регламент (ЕС) 2020/2011 на Европейската централна банка за изменение на Регламент (ЕС) № 1409/2013 относно статистиката на плащанията (ECB/2020/59)</w:t>
            </w:r>
          </w:p>
          <w:p w14:paraId="7FE1BB9E" w14:textId="77777777" w:rsidR="00FE5D64" w:rsidRDefault="00E40776">
            <w:pPr>
              <w:pStyle w:val="P68B1DB1-TableParagraph17"/>
              <w:spacing w:before="108"/>
            </w:pPr>
            <w:r>
              <w:t>Касови услуги (function ID 3.3): Стойност на операциите по УВД при банкомати на докладването</w:t>
            </w:r>
          </w:p>
          <w:p w14:paraId="7FE1BB9F" w14:textId="34BA0294" w:rsidR="00FE5D64" w:rsidRDefault="00E40776">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институция съгласно определението в Регламент (ЕС) № 1409/2013 на Европейската централна банка за статистиката на плащанията ( ECB/2013/43), таблица 5а, както и извънборсовите парични средства</w:t>
            </w:r>
          </w:p>
          <w:p w14:paraId="7FE1BBA0" w14:textId="0D8555C2" w:rsidR="00FE5D64" w:rsidRDefault="00E40776">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тегления в клонове на отчитащото се предприятие, както е определено в</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таблица ECB/2014/15</w:t>
            </w:r>
          </w:p>
          <w:p w14:paraId="7FE1BBA1" w14:textId="77777777" w:rsidR="00FE5D64" w:rsidRDefault="00E40776">
            <w:pPr>
              <w:pStyle w:val="P68B1DB1-TableParagraph17"/>
              <w:spacing w:before="108"/>
            </w:pPr>
            <w:r>
              <w:t>Услуги по сетълмент на ценни книжа (функция ID 3.4): Стойност на обработените прехвърляния на ценни книжа</w:t>
            </w:r>
          </w:p>
          <w:p w14:paraId="7FE1BBA2" w14:textId="77777777" w:rsidR="00FE5D64" w:rsidRDefault="00E40776">
            <w:pPr>
              <w:pStyle w:val="P68B1DB1-TableParagraph17"/>
              <w:spacing w:before="108"/>
            </w:pPr>
            <w:r>
              <w:t>от името на клиенти Това включва сделки, чийто сетълмент е извършен със сетълмент на ценни книжа.</w:t>
            </w:r>
          </w:p>
          <w:p w14:paraId="7FE1BBA3" w14:textId="77777777" w:rsidR="00FE5D64" w:rsidRDefault="00E40776">
            <w:pPr>
              <w:pStyle w:val="P68B1DB1-TableParagraph17"/>
              <w:spacing w:before="108"/>
            </w:pPr>
            <w:r>
              <w:t>система или вътрешно уредена от отчитащите се субекти и „освободена от плащане“</w:t>
            </w:r>
          </w:p>
          <w:p w14:paraId="7FE1BBA4" w14:textId="77777777" w:rsidR="00FE5D64" w:rsidRDefault="00E40776">
            <w:pPr>
              <w:pStyle w:val="P68B1DB1-TableParagraph17"/>
              <w:spacing w:before="108"/>
            </w:pPr>
            <w:r>
              <w:t>жалбоподателя. Отчита се само стойността на изпратените трансакции.</w:t>
            </w:r>
          </w:p>
        </w:tc>
      </w:tr>
      <w:tr w:rsidR="00FE5D64"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FE5D64" w:rsidRDefault="00E40776">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FE5D64" w:rsidRDefault="00E40776">
            <w:pPr>
              <w:pStyle w:val="P68B1DB1-TableParagraph14"/>
              <w:spacing w:before="108"/>
              <w:rPr>
                <w:bCs/>
              </w:rPr>
            </w:pPr>
            <w:r>
              <w:t>Стойност на сделките, от които повтарящи се</w:t>
            </w:r>
          </w:p>
          <w:p w14:paraId="7FE1BBA8" w14:textId="484D97FA" w:rsidR="00FE5D64" w:rsidRDefault="00E40776">
            <w:pPr>
              <w:pStyle w:val="P68B1DB1-TableParagraph17"/>
              <w:spacing w:before="108"/>
            </w:pPr>
            <w:r>
              <w:t>Стойност на трансакциите, отчетени в (c0030), от които се извършват по периодична сметка за платежни услуги.  Периодичните сметки за платежни услуги са сметки за платежни услуги, при които сметката е била дебитирана или заверена с поне 5 месечни трансакции средно през 6-те месеца, предхождащи крайната дата, с изключение на годишните такси, другите такси и лихвените плащания, свързани със сметката.</w:t>
            </w:r>
            <w:r>
              <w:tab/>
            </w:r>
            <w:r>
              <w:tab/>
            </w:r>
            <w:r>
              <w:tab/>
            </w:r>
            <w:r>
              <w:tab/>
            </w:r>
            <w:r>
              <w:tab/>
            </w:r>
            <w:r>
              <w:tab/>
            </w:r>
            <w:r>
              <w:tab/>
            </w:r>
            <w:r>
              <w:tab/>
            </w:r>
          </w:p>
        </w:tc>
      </w:tr>
      <w:tr w:rsidR="00FE5D64"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FE5D64" w:rsidRDefault="00E40776">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FE5D64" w:rsidRDefault="00E40776">
            <w:pPr>
              <w:pStyle w:val="P68B1DB1-Normal42"/>
              <w:rPr>
                <w:bCs/>
              </w:rPr>
            </w:pPr>
            <w:r>
              <w:t>Стойност на откритите позиции</w:t>
            </w:r>
          </w:p>
          <w:p w14:paraId="7FE1BBAC" w14:textId="77777777" w:rsidR="00FE5D64" w:rsidRDefault="00E40776">
            <w:pPr>
              <w:pStyle w:val="P68B1DB1-TableParagraph17"/>
              <w:spacing w:before="108"/>
              <w:jc w:val="both"/>
            </w:pPr>
            <w:r>
              <w:t>Докладва се само за функция ID 3.5 „клирингови услуги на ЦК“: позициите (експозицията), които</w:t>
            </w:r>
          </w:p>
          <w:p w14:paraId="7FE1BBAD" w14:textId="77777777" w:rsidR="00FE5D64" w:rsidRDefault="00E40776">
            <w:pPr>
              <w:pStyle w:val="P68B1DB1-TableParagraph17"/>
              <w:spacing w:before="108"/>
              <w:jc w:val="both"/>
            </w:pPr>
            <w:r>
              <w:t>ЦК, в които институцията е член, поемат с институцията от името на нейната</w:t>
            </w:r>
          </w:p>
          <w:p w14:paraId="7FE1BBAE" w14:textId="63CC2224" w:rsidR="00FE5D64" w:rsidRDefault="00E40776">
            <w:pPr>
              <w:pStyle w:val="P68B1DB1-TableParagraph17"/>
              <w:spacing w:before="108"/>
              <w:jc w:val="both"/>
            </w:pPr>
            <w:r>
              <w:t>клиенти. Отчита се средната дневна стойност на откритите позиции, свързани с дейността на клиента, към</w:t>
            </w:r>
          </w:p>
          <w:p w14:paraId="7FE1BBAF" w14:textId="77777777" w:rsidR="00FE5D64" w:rsidRDefault="00E40776">
            <w:pPr>
              <w:pStyle w:val="P68B1DB1-TableParagraph17"/>
              <w:spacing w:before="108"/>
              <w:jc w:val="both"/>
            </w:pPr>
            <w:r>
              <w:t>ЦК. Ако тя не е налична, може да отчетете средната стойност за по-кратък период (например няколко месеца).</w:t>
            </w:r>
          </w:p>
          <w:p w14:paraId="7FE1BBB0" w14:textId="77777777" w:rsidR="00FE5D64" w:rsidRDefault="00E40776">
            <w:pPr>
              <w:pStyle w:val="P68B1DB1-TableParagraph17"/>
              <w:spacing w:before="108"/>
              <w:jc w:val="both"/>
            </w:pPr>
            <w:r>
              <w:t>или открити позиции в края на годината.</w:t>
            </w:r>
          </w:p>
        </w:tc>
      </w:tr>
      <w:tr w:rsidR="00FE5D64"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FE5D64" w:rsidRDefault="00E40776">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FE5D64" w:rsidRDefault="00E40776">
            <w:pPr>
              <w:pStyle w:val="P68B1DB1-Normal42"/>
              <w:rPr>
                <w:bCs/>
              </w:rPr>
            </w:pPr>
            <w:r>
              <w:t>Стойност на активите под попечителство</w:t>
            </w:r>
          </w:p>
          <w:p w14:paraId="7FE1BBB4" w14:textId="77777777" w:rsidR="00FE5D64" w:rsidRDefault="00E40776">
            <w:pPr>
              <w:pStyle w:val="P68B1DB1-TableParagraph13"/>
              <w:spacing w:before="108"/>
              <w:jc w:val="both"/>
            </w:pPr>
            <w:r>
              <w:t>Доклад само за функция ID 3.6 „Услуги за упражняване на родителски права“: сумата на активите под попечителство,</w:t>
            </w:r>
          </w:p>
          <w:p w14:paraId="7FE1BBB5" w14:textId="77777777" w:rsidR="00FE5D64" w:rsidRDefault="00E40776">
            <w:pPr>
              <w:pStyle w:val="P68B1DB1-TableParagraph13"/>
              <w:spacing w:before="108"/>
              <w:jc w:val="both"/>
            </w:pPr>
            <w:r>
              <w:t>използване на справедливата стойност. Могат да се прилагат други бази за оценка, включително номинална стойност, ако справедливата стойност не е налична.</w:t>
            </w:r>
          </w:p>
          <w:p w14:paraId="7FE1BBB6" w14:textId="77777777" w:rsidR="00FE5D64" w:rsidRDefault="00E40776">
            <w:pPr>
              <w:pStyle w:val="P68B1DB1-TableParagraph13"/>
              <w:spacing w:before="108"/>
              <w:jc w:val="both"/>
            </w:pPr>
            <w:r>
              <w:t>стойността не е налична. В случаите, когато институцията предоставя услуги на субекти</w:t>
            </w:r>
          </w:p>
          <w:p w14:paraId="7FE1BBB7" w14:textId="77777777" w:rsidR="00FE5D64" w:rsidRDefault="00E40776">
            <w:pPr>
              <w:pStyle w:val="P68B1DB1-TableParagraph13"/>
              <w:spacing w:before="108"/>
              <w:jc w:val="both"/>
            </w:pPr>
            <w:r>
              <w:t xml:space="preserve">като например предприятия за колективно инвестиране или пенсионни фондове, съответните </w:t>
            </w:r>
            <w:r>
              <w:lastRenderedPageBreak/>
              <w:t>активи могат:</w:t>
            </w:r>
          </w:p>
          <w:p w14:paraId="7FE1BBB8" w14:textId="77777777" w:rsidR="00FE5D64" w:rsidRDefault="00E40776">
            <w:pPr>
              <w:pStyle w:val="P68B1DB1-TableParagraph13"/>
              <w:spacing w:before="108"/>
              <w:jc w:val="both"/>
            </w:pPr>
            <w:r>
              <w:t>се представят по стойността, по която тези субекти отчитат активите в собствения си баланс.</w:t>
            </w:r>
          </w:p>
          <w:p w14:paraId="7FE1BBB9" w14:textId="77777777" w:rsidR="00FE5D64" w:rsidRDefault="00E40776">
            <w:pPr>
              <w:pStyle w:val="P68B1DB1-TableParagraph13"/>
              <w:spacing w:before="108"/>
              <w:jc w:val="both"/>
              <w:rPr>
                <w:b/>
                <w:bCs/>
              </w:rPr>
            </w:pPr>
            <w:r>
              <w:t>Отчетените суми включват начислената лихва, ако е целесъобразно.</w:t>
            </w:r>
          </w:p>
        </w:tc>
      </w:tr>
      <w:tr w:rsidR="00FE5D64"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FE5D64" w:rsidRDefault="00E40776">
            <w:pPr>
              <w:pStyle w:val="P68B1DB1-TableParagraph17"/>
              <w:spacing w:before="108"/>
              <w:ind w:left="85"/>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FE5D64" w:rsidRDefault="00E40776">
            <w:pPr>
              <w:pStyle w:val="P68B1DB1-TableParagraph14"/>
              <w:spacing w:before="108"/>
              <w:ind w:left="85"/>
              <w:jc w:val="both"/>
              <w:rPr>
                <w:bCs/>
              </w:rPr>
            </w:pPr>
            <w:r>
              <w:t>Трансгранична стойност</w:t>
            </w:r>
          </w:p>
          <w:p w14:paraId="7FE1BBBD" w14:textId="77777777" w:rsidR="00FE5D64" w:rsidRDefault="00E40776">
            <w:pPr>
              <w:pStyle w:val="P68B1DB1-TableParagraph13"/>
              <w:spacing w:before="108"/>
              <w:ind w:left="85"/>
              <w:jc w:val="both"/>
            </w:pPr>
            <w:r>
              <w:t>В случай на изпратени сделки, за да се избегне двойното отчитане, трансграничните сделки са:</w:t>
            </w:r>
          </w:p>
          <w:p w14:paraId="7FE1BBBE" w14:textId="77777777" w:rsidR="00FE5D64" w:rsidRDefault="00E40776">
            <w:pPr>
              <w:pStyle w:val="P68B1DB1-TableParagraph13"/>
              <w:spacing w:before="108"/>
              <w:ind w:left="85"/>
              <w:jc w:val="both"/>
              <w:rPr>
                <w:b/>
                <w:bCs/>
              </w:rPr>
            </w:pPr>
            <w:r>
              <w:t>броени в държавата, от която произхожда сделката.</w:t>
            </w:r>
          </w:p>
        </w:tc>
      </w:tr>
      <w:tr w:rsidR="00FE5D64"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FE5D64" w:rsidRDefault="00E40776">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FE5D64" w:rsidRDefault="00E40776">
            <w:pPr>
              <w:pStyle w:val="P68B1DB1-Normal42"/>
              <w:rPr>
                <w:bCs/>
              </w:rPr>
            </w:pPr>
            <w:r>
              <w:t>Брой операции</w:t>
            </w:r>
          </w:p>
          <w:p w14:paraId="7FE1BBC2" w14:textId="18871174" w:rsidR="00FE5D64" w:rsidRDefault="00E40776">
            <w:pPr>
              <w:pStyle w:val="P68B1DB1-TableParagraph16"/>
              <w:spacing w:before="108"/>
              <w:jc w:val="both"/>
            </w:pPr>
            <w:r>
              <w:t xml:space="preserve">Като общо правило се докладва средният брой сделки на ден през годината, съответстващ на стойностите, докладвани по функции с идентификационен номер 3.1—3.4, редове 0160—0190, колона 0030. Ако те не са налични, може да се даде средната стойност за по-кратък период (например няколко месеца). Конкретно по отношение на различните функции се използват следните оценки13: </w:t>
            </w:r>
          </w:p>
          <w:p w14:paraId="7FE1BBC3" w14:textId="77777777" w:rsidR="00FE5D64" w:rsidRDefault="00E40776">
            <w:pPr>
              <w:pStyle w:val="P68B1DB1-TableParagraph16"/>
              <w:spacing w:before="108"/>
              <w:jc w:val="both"/>
            </w:pPr>
            <w:r>
              <w:t xml:space="preserve">Платежни услуги (ID 3.1—3.2): Брой извършени операции по изпращане. Източници: Директива на ЕС за платежните услуги във вътрешния пазар (2015/2366) член 4, параграф 5; Регламент на ЕЦБ относно статистиката на плащанията (ECB/2013/43). </w:t>
            </w:r>
          </w:p>
          <w:p w14:paraId="7FE1BBC4" w14:textId="176A1AD0" w:rsidR="00FE5D64" w:rsidRDefault="00E40776">
            <w:pPr>
              <w:pStyle w:val="P68B1DB1-TableParagraph16"/>
              <w:spacing w:before="108"/>
              <w:jc w:val="both"/>
            </w:pPr>
            <w:r>
              <w:t xml:space="preserve">Касови услуги (ID 3.3): Брой на операциите на терминално устройство АТМ съгласно определението в ECB/2021/16, таблица 5а, както и извънборсови тегления на пари в брой съгласно определението в ECB/2014/15, таблица 4. </w:t>
            </w:r>
          </w:p>
          <w:p w14:paraId="7FE1BBC5" w14:textId="77777777" w:rsidR="00FE5D64" w:rsidRDefault="00E40776">
            <w:pPr>
              <w:pStyle w:val="P68B1DB1-TableParagraph16"/>
              <w:spacing w:before="108"/>
              <w:jc w:val="both"/>
              <w:rPr>
                <w:b/>
                <w:bCs/>
                <w:color w:val="000000" w:themeColor="text1"/>
                <w:sz w:val="20"/>
                <w:szCs w:val="20"/>
              </w:rPr>
            </w:pPr>
            <w:r>
              <w:t>Услуги по сетълмент на ценни книжа (ID 3.4): Брой обработени от името на клиенти прехвърляния на ценни книжа. Тук спадат операциите, уредени чрез система за сетълмент на ценни книжа или уредени вътрешно от отчитащите институции, както и операциите „без плащане“.</w:t>
            </w:r>
          </w:p>
        </w:tc>
      </w:tr>
      <w:tr w:rsidR="00FE5D64"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FE5D64" w:rsidRDefault="00E40776">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FE5D64" w:rsidRDefault="00E40776">
            <w:pPr>
              <w:pStyle w:val="P68B1DB1-TableParagraph14"/>
              <w:spacing w:before="108"/>
              <w:ind w:left="85"/>
              <w:jc w:val="both"/>
              <w:rPr>
                <w:bCs/>
              </w:rPr>
            </w:pPr>
            <w:r>
              <w:t>Брой клиенти</w:t>
            </w:r>
          </w:p>
          <w:p w14:paraId="7FE1BBC9" w14:textId="5C934B58" w:rsidR="00FE5D64" w:rsidRDefault="00E40776">
            <w:pPr>
              <w:pStyle w:val="P68B1DB1-TableParagraph13"/>
              <w:spacing w:before="108"/>
              <w:ind w:left="85"/>
              <w:jc w:val="both"/>
            </w:pPr>
            <w:r>
              <w:t>Брой (резидентни и нерезидентни) клиенти, на които се предоставя услугата. Ако един клиент използва услуга в рамките на дадена подфункция повече от веднъж, клиентът се брои само веднъж.</w:t>
            </w:r>
          </w:p>
        </w:tc>
      </w:tr>
      <w:tr w:rsidR="00FE5D64"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FE5D64" w:rsidRDefault="00E40776">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FE5D64" w:rsidRDefault="00E40776">
            <w:pPr>
              <w:pStyle w:val="P68B1DB1-TableParagraph14"/>
              <w:spacing w:before="108"/>
              <w:jc w:val="both"/>
              <w:rPr>
                <w:bCs/>
              </w:rPr>
            </w:pPr>
            <w:r>
              <w:t>Анализи на въздействието и заменяемостта</w:t>
            </w:r>
          </w:p>
          <w:p w14:paraId="7FE1BBD0" w14:textId="77777777" w:rsidR="00FE5D64" w:rsidRDefault="00E40776">
            <w:pPr>
              <w:pStyle w:val="P68B1DB1-TableParagraph13"/>
              <w:spacing w:before="108"/>
              <w:jc w:val="both"/>
            </w:pPr>
            <w:r>
              <w:t>Критериите за оценка на въздействието върху трети страни включват следните елементи в съответствие с делегиран регламент (ЕС) 2016/778 на Комисията относно критичните функции:</w:t>
            </w:r>
          </w:p>
          <w:p w14:paraId="7FE1BBD1" w14:textId="77777777" w:rsidR="00FE5D64" w:rsidRDefault="00E40776">
            <w:pPr>
              <w:pStyle w:val="P68B1DB1-ListParagraph38"/>
              <w:numPr>
                <w:ilvl w:val="0"/>
                <w:numId w:val="131"/>
              </w:numPr>
              <w:spacing w:line="276" w:lineRule="auto"/>
            </w:pPr>
            <w:r>
              <w:t>естеството и глобалния, националния или регионалния обхват на дейността, както и обема и броя на трансакциите; броя на клиентите и контрагентите; броя на клиентите, за които институцията е единственият или основният банков партньор;</w:t>
            </w:r>
          </w:p>
          <w:p w14:paraId="7FE1BBD2" w14:textId="77777777" w:rsidR="00FE5D64" w:rsidRDefault="00E40776">
            <w:pPr>
              <w:pStyle w:val="P68B1DB1-ListParagraph38"/>
              <w:numPr>
                <w:ilvl w:val="0"/>
                <w:numId w:val="131"/>
              </w:numPr>
              <w:spacing w:line="276" w:lineRule="auto"/>
            </w:pPr>
            <w:r>
              <w:t>значението на институцията 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BD3" w14:textId="77777777" w:rsidR="00FE5D64" w:rsidRDefault="00E40776">
            <w:pPr>
              <w:pStyle w:val="P68B1DB1-ListParagraph38"/>
              <w:numPr>
                <w:ilvl w:val="0"/>
                <w:numId w:val="131"/>
              </w:numPr>
              <w:spacing w:line="276" w:lineRule="auto"/>
            </w:pPr>
            <w:r>
              <w:t xml:space="preserve">естеството на клиентите и заинтересованите страни, обхванати от функцията — например, но не само, индивидуални клиенти, корпоративни клиенти, междубанкови клиенти, централни клирингови къщи и публични субекти; </w:t>
            </w:r>
          </w:p>
          <w:p w14:paraId="7FE1BBD4" w14:textId="77777777" w:rsidR="00FE5D64" w:rsidRDefault="00E40776">
            <w:pPr>
              <w:pStyle w:val="P68B1DB1-ListParagraph38"/>
              <w:numPr>
                <w:ilvl w:val="0"/>
                <w:numId w:val="131"/>
              </w:numPr>
              <w:spacing w:line="276" w:lineRule="auto"/>
            </w:pPr>
            <w:r>
              <w:t xml:space="preserve">потенциалното сътресение на функционирането на пазарите, инфраструктурите, клиентите и публичните услуги. По-конкретно, оценката може да обхване въздействието върху ликвидността на съответните пазари, въздействието и обхвата на сътресенията в отношенията с клиентите, както и краткосрочните потребности </w:t>
            </w:r>
            <w:r>
              <w:lastRenderedPageBreak/>
              <w:t>от ликвидност; осезаемостта за контрагентите, клиентите и обществеността; капацитета и бързината на реакция на клиентите; значението за функционирането на други пазари; въздействието върху ликвидността, операциите, структурата на друг пазар; въздействието върху други контрагенти, свързани с основните клиенти, и взаимовръзките на функцията с други услуги.</w:t>
            </w:r>
          </w:p>
          <w:p w14:paraId="7FE1BBD5"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FE5D64" w:rsidRDefault="00E40776">
            <w:pPr>
              <w:pStyle w:val="P68B1DB1-TableParagraph17"/>
              <w:spacing w:before="108"/>
              <w:jc w:val="both"/>
            </w:pPr>
            <w:r>
              <w:lastRenderedPageBreak/>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FE5D64" w:rsidRDefault="00E40776">
            <w:pPr>
              <w:pStyle w:val="P68B1DB1-TableParagraph14"/>
              <w:spacing w:before="108"/>
              <w:jc w:val="both"/>
              <w:rPr>
                <w:bCs/>
              </w:rPr>
            </w:pPr>
            <w:r>
              <w:t xml:space="preserve">Природа и Reach </w:t>
            </w:r>
          </w:p>
          <w:p w14:paraId="7FE1BBD9" w14:textId="77777777" w:rsidR="00FE5D64" w:rsidRDefault="00E40776">
            <w:pPr>
              <w:pStyle w:val="P68B1DB1-TableParagraph13"/>
              <w:spacing w:before="108"/>
              <w:jc w:val="both"/>
            </w:pPr>
            <w:r>
              <w:t>Глобалния, националния или регионалния обхват, обем и брой на сделките; броя на клиентите и контрагентите; броя на клиентите, за които институцията е единственият или основният банков партньор;</w:t>
            </w:r>
          </w:p>
        </w:tc>
      </w:tr>
      <w:tr w:rsidR="00FE5D64"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FE5D64" w:rsidRDefault="00E40776">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FE5D64" w:rsidRDefault="00E40776">
            <w:pPr>
              <w:pStyle w:val="P68B1DB1-TableParagraph14"/>
              <w:spacing w:before="108"/>
              <w:jc w:val="both"/>
              <w:rPr>
                <w:bCs/>
              </w:rPr>
            </w:pPr>
            <w:r>
              <w:t>Показател за размера 1</w:t>
            </w:r>
          </w:p>
          <w:p w14:paraId="0D530995"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BDD" w14:textId="31D8226E" w:rsidR="00FE5D64" w:rsidRDefault="00FE5D64">
            <w:pPr>
              <w:pStyle w:val="TableParagraph"/>
              <w:spacing w:before="108"/>
              <w:jc w:val="both"/>
              <w:rPr>
                <w:rFonts w:ascii="Times New Roman" w:hAnsi="Times New Roman" w:cs="Times New Roman"/>
                <w:color w:val="000000" w:themeColor="text1"/>
                <w:sz w:val="20"/>
                <w:szCs w:val="20"/>
              </w:rPr>
            </w:pPr>
          </w:p>
          <w:p w14:paraId="7FE1BBDE" w14:textId="19F9153D" w:rsidR="00FE5D64" w:rsidRDefault="00E40776">
            <w:pPr>
              <w:pStyle w:val="P68B1DB1-ListParagraph32"/>
              <w:numPr>
                <w:ilvl w:val="0"/>
                <w:numId w:val="300"/>
              </w:numPr>
              <w:spacing w:line="276" w:lineRule="auto"/>
            </w:pPr>
            <w:r>
              <w:t xml:space="preserve">Експертна оценка на размера на </w:t>
            </w:r>
            <w:r>
              <w:rPr>
                <w:b/>
              </w:rPr>
              <w:t>стойността</w:t>
            </w:r>
            <w:r>
              <w:t xml:space="preserve"> на сделките (c0030 за функции с идентификатор 3.1, 3.2, 3.3 и 3.4); открити позиции (c0050 за ID 3.5); или общо активи под попечителство (c0060 за ID 3.6) от гледна точка на </w:t>
            </w:r>
            <w:r>
              <w:rPr>
                <w:b/>
              </w:rPr>
              <w:t>ЕС</w:t>
            </w:r>
            <w:r>
              <w:t xml:space="preserve"> [с</w:t>
            </w:r>
            <w:r>
              <w:rPr>
                <w:i/>
              </w:rPr>
              <w:t>едно ниво по-високо от съответния пазар]</w:t>
            </w:r>
            <w:r>
              <w:t xml:space="preserve">: </w:t>
            </w:r>
          </w:p>
          <w:p w14:paraId="7FE1BBDF" w14:textId="77777777" w:rsidR="00FE5D64" w:rsidRDefault="00E40776">
            <w:pPr>
              <w:pStyle w:val="P68B1DB1-ListParagraph32"/>
              <w:numPr>
                <w:ilvl w:val="0"/>
                <w:numId w:val="126"/>
              </w:numPr>
              <w:spacing w:line="276" w:lineRule="auto"/>
            </w:pPr>
            <w:r>
              <w:t xml:space="preserve">От гледна точка на ЕС колко голяма считате, че стойността на сделките, обработвани от Вашата банка, </w:t>
            </w:r>
            <w:r>
              <w:rPr>
                <w:i/>
              </w:rPr>
              <w:t>или</w:t>
            </w:r>
            <w:r>
              <w:t xml:space="preserve"> откритите позиции на клиентите на Вашата банка в ЦК, </w:t>
            </w:r>
            <w:r>
              <w:rPr>
                <w:i/>
              </w:rPr>
              <w:t>или</w:t>
            </w:r>
            <w:r>
              <w:t xml:space="preserve"> общите активи, които Вашата институция държи под попечителство за своите клиенти, са:</w:t>
            </w:r>
          </w:p>
        </w:tc>
      </w:tr>
      <w:tr w:rsidR="00FE5D64"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FE5D64" w:rsidRDefault="00E40776">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FE5D64" w:rsidRDefault="00E40776">
            <w:pPr>
              <w:pStyle w:val="P68B1DB1-TableParagraph14"/>
              <w:spacing w:before="108"/>
              <w:jc w:val="both"/>
              <w:rPr>
                <w:bCs/>
              </w:rPr>
            </w:pPr>
            <w:r>
              <w:t>Показател за размера 2</w:t>
            </w:r>
          </w:p>
          <w:p w14:paraId="7D6A05E9"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BE3" w14:textId="27BCCC99" w:rsidR="00FE5D64" w:rsidRDefault="00E40776">
            <w:pPr>
              <w:pStyle w:val="P68B1DB1-TableParagraph13"/>
              <w:spacing w:before="108"/>
              <w:jc w:val="both"/>
            </w:pPr>
            <w:r>
              <w:t xml:space="preserve"> </w:t>
            </w:r>
          </w:p>
          <w:p w14:paraId="7FE1BBE4" w14:textId="0FB26117" w:rsidR="00FE5D64" w:rsidRDefault="00E40776">
            <w:pPr>
              <w:pStyle w:val="P68B1DB1-ListParagraph32"/>
              <w:numPr>
                <w:ilvl w:val="0"/>
                <w:numId w:val="120"/>
              </w:numPr>
              <w:spacing w:line="276" w:lineRule="auto"/>
            </w:pPr>
            <w:r>
              <w:t xml:space="preserve">Експертна преценка за размера на </w:t>
            </w:r>
            <w:r>
              <w:rPr>
                <w:b/>
              </w:rPr>
              <w:t>броя</w:t>
            </w:r>
            <w:r>
              <w:t xml:space="preserve"> на сделките (c0100 за функция с идентификационен номер 3.1, 3.2, 3.3 и 3.4); или брой клиенти (c0110 за ID 3.5 и 3.6) от </w:t>
            </w:r>
            <w:r>
              <w:rPr>
                <w:b/>
              </w:rPr>
              <w:t>национална</w:t>
            </w:r>
            <w:r>
              <w:t xml:space="preserve"> гледна точка [</w:t>
            </w:r>
            <w:r>
              <w:rPr>
                <w:i/>
              </w:rPr>
              <w:t>на равнището на съответния пазар</w:t>
            </w:r>
            <w:r>
              <w:t>]:</w:t>
            </w:r>
          </w:p>
          <w:p w14:paraId="7FE1BBE5" w14:textId="77777777" w:rsidR="00FE5D64" w:rsidRDefault="00E40776">
            <w:pPr>
              <w:pStyle w:val="P68B1DB1-ListParagraph32"/>
              <w:numPr>
                <w:ilvl w:val="1"/>
                <w:numId w:val="124"/>
              </w:numPr>
              <w:spacing w:line="276" w:lineRule="auto"/>
            </w:pPr>
            <w:r>
              <w:t>От национална гледна точка колко голям е прогнозният общ брой сделки</w:t>
            </w:r>
            <w:r>
              <w:rPr>
                <w:i/>
              </w:rPr>
              <w:t xml:space="preserve"> или</w:t>
            </w:r>
            <w:r>
              <w:t xml:space="preserve"> приблизителният брой клиенти на Вашата институция?</w:t>
            </w:r>
          </w:p>
          <w:p w14:paraId="7FE1BBE6" w14:textId="77777777" w:rsidR="00FE5D64" w:rsidRDefault="00FE5D64">
            <w:pPr>
              <w:spacing w:line="276" w:lineRule="auto"/>
              <w:rPr>
                <w:rFonts w:ascii="Times New Roman" w:hAnsi="Times New Roman"/>
                <w:color w:val="000000" w:themeColor="text1"/>
                <w:sz w:val="20"/>
                <w:szCs w:val="20"/>
              </w:rPr>
            </w:pPr>
          </w:p>
        </w:tc>
      </w:tr>
      <w:tr w:rsidR="00FE5D64"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FE5D64" w:rsidRDefault="00E40776">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FE5D64" w:rsidRDefault="00E40776">
            <w:pPr>
              <w:pStyle w:val="P68B1DB1-TableParagraph14"/>
              <w:spacing w:before="108"/>
              <w:jc w:val="both"/>
              <w:rPr>
                <w:bCs/>
              </w:rPr>
            </w:pPr>
            <w:r>
              <w:t>Трансграничен показател</w:t>
            </w:r>
          </w:p>
          <w:p w14:paraId="7FE1BBEA" w14:textId="77777777" w:rsidR="00FE5D64" w:rsidRDefault="00E40776">
            <w:pPr>
              <w:pStyle w:val="P68B1DB1-TableParagraph13"/>
              <w:spacing w:before="108"/>
              <w:jc w:val="both"/>
            </w:pPr>
            <w:r>
              <w:t>Оценка на относителното значение на трансграничните дейности за различните икономически функции.</w:t>
            </w:r>
          </w:p>
          <w:p w14:paraId="7FE1BBEB" w14:textId="77777777" w:rsidR="00FE5D64" w:rsidRDefault="00E40776">
            <w:pPr>
              <w:pStyle w:val="P68B1DB1-TableParagraph13"/>
              <w:spacing w:before="108"/>
              <w:jc w:val="both"/>
            </w:pPr>
            <w:r>
              <w:lastRenderedPageBreak/>
              <w:t xml:space="preserve">Това не е необходимо да се оценява в случай на доклади, в които съответният пазар се счита за регионален. </w:t>
            </w:r>
          </w:p>
          <w:p w14:paraId="31893031" w14:textId="17F40C8B" w:rsidR="00FE5D64" w:rsidRDefault="00E40776">
            <w:pPr>
              <w:pStyle w:val="P68B1DB1-TableParagraph33"/>
              <w:spacing w:before="108"/>
              <w:jc w:val="both"/>
            </w:pPr>
            <w:r>
              <w:t xml:space="preserve">Брой на държавите от ЕС, в които докладващият субект има пазарен дял над 2 % (изразен като стойност на плащания, ценни книжа или парични сделки, открити позиции на клиенти в ЦК или общо активи под попечителство). Доклад: </w:t>
            </w:r>
          </w:p>
          <w:p w14:paraId="58BCAA6E" w14:textId="090336B0" w:rsidR="00FE5D64" w:rsidRDefault="00E40776">
            <w:pPr>
              <w:pStyle w:val="P68B1DB1-TableParagraph33"/>
              <w:numPr>
                <w:ilvl w:val="0"/>
                <w:numId w:val="282"/>
              </w:numPr>
              <w:spacing w:before="108"/>
              <w:jc w:val="both"/>
            </w:pPr>
            <w:r>
              <w:t xml:space="preserve">≤ 1 държава; </w:t>
            </w:r>
          </w:p>
          <w:p w14:paraId="5B55A7F9" w14:textId="6B3C23F3" w:rsidR="00FE5D64" w:rsidRDefault="00E40776">
            <w:pPr>
              <w:pStyle w:val="P68B1DB1-TableParagraph33"/>
              <w:numPr>
                <w:ilvl w:val="0"/>
                <w:numId w:val="282"/>
              </w:numPr>
              <w:spacing w:before="108"/>
              <w:jc w:val="both"/>
            </w:pPr>
            <w:r>
              <w:t>2—3 държави</w:t>
            </w:r>
          </w:p>
          <w:p w14:paraId="6A334CED" w14:textId="15F946E0" w:rsidR="00FE5D64" w:rsidRDefault="00E40776">
            <w:pPr>
              <w:pStyle w:val="P68B1DB1-TableParagraph33"/>
              <w:numPr>
                <w:ilvl w:val="0"/>
                <w:numId w:val="282"/>
              </w:numPr>
              <w:spacing w:before="108"/>
              <w:jc w:val="both"/>
            </w:pPr>
            <w:r>
              <w:t xml:space="preserve">4—5 страни; </w:t>
            </w:r>
          </w:p>
          <w:p w14:paraId="4D1B0AB8" w14:textId="03F4FDF2" w:rsidR="00FE5D64" w:rsidRDefault="00E40776">
            <w:pPr>
              <w:pStyle w:val="P68B1DB1-TableParagraph33"/>
              <w:numPr>
                <w:ilvl w:val="0"/>
                <w:numId w:val="282"/>
              </w:numPr>
              <w:spacing w:before="108"/>
              <w:jc w:val="both"/>
            </w:pPr>
            <w:r>
              <w:t xml:space="preserve">&gt; 5 държави, </w:t>
            </w:r>
          </w:p>
          <w:p w14:paraId="7FE1BBED" w14:textId="6A2A41A1" w:rsidR="00FE5D64" w:rsidRDefault="00E40776">
            <w:pPr>
              <w:pStyle w:val="P68B1DB1-TableParagraph33"/>
              <w:spacing w:before="108"/>
              <w:jc w:val="both"/>
              <w:rPr>
                <w:rFonts w:cs="Times New Roman"/>
                <w:color w:val="000000" w:themeColor="text1"/>
              </w:rPr>
            </w:pPr>
            <w:r>
              <w:t xml:space="preserve"> </w:t>
            </w:r>
          </w:p>
        </w:tc>
      </w:tr>
      <w:tr w:rsidR="00FE5D64"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FE5D64" w:rsidRDefault="00E40776">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FE5D64" w:rsidRDefault="00E40776">
            <w:pPr>
              <w:pStyle w:val="P68B1DB1-TableParagraph14"/>
              <w:spacing w:before="108"/>
              <w:jc w:val="both"/>
              <w:rPr>
                <w:bCs/>
              </w:rPr>
            </w:pPr>
            <w:r>
              <w:t xml:space="preserve">Уместност — </w:t>
            </w:r>
          </w:p>
          <w:p w14:paraId="7FE1BBF1" w14:textId="77777777" w:rsidR="00FE5D64" w:rsidRDefault="00E40776">
            <w:pPr>
              <w:pStyle w:val="P68B1DB1-TableParagraph13"/>
              <w:spacing w:before="108"/>
              <w:jc w:val="both"/>
            </w:pPr>
            <w:r>
              <w:t>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BF2" w14:textId="77777777" w:rsidR="00FE5D64" w:rsidRDefault="00E40776">
            <w:pPr>
              <w:pStyle w:val="P68B1DB1-TableParagraph14"/>
              <w:spacing w:before="108"/>
              <w:jc w:val="both"/>
              <w:rPr>
                <w:bCs/>
              </w:rPr>
            </w:pPr>
            <w:r>
              <w:t>Пазарен дял</w:t>
            </w:r>
          </w:p>
          <w:p w14:paraId="30AC503F" w14:textId="77777777" w:rsidR="00FE5D64" w:rsidRDefault="00E40776">
            <w:pPr>
              <w:pStyle w:val="P68B1DB1-Normal31"/>
              <w:spacing w:line="276" w:lineRule="auto"/>
              <w:jc w:val="both"/>
            </w:pPr>
            <w:r>
              <w:t xml:space="preserve">Преценете колко важен е пазарният дял на отчитащия се субект в сравнение с националния или друг съответен пазар, както е посочено в образеца. Тази оценка е изразена качествено по следния начин: </w:t>
            </w:r>
          </w:p>
          <w:p w14:paraId="5D8F45F8" w14:textId="77777777" w:rsidR="00FE5D64" w:rsidRDefault="00E40776">
            <w:pPr>
              <w:pStyle w:val="P68B1DB1-ListParagraph32"/>
              <w:numPr>
                <w:ilvl w:val="0"/>
                <w:numId w:val="276"/>
              </w:numPr>
              <w:spacing w:line="276" w:lineRule="auto"/>
              <w:jc w:val="both"/>
            </w:pPr>
            <w:r>
              <w:t>Висок, ако пазарният дял е голям</w:t>
            </w:r>
          </w:p>
          <w:p w14:paraId="5C7C2710" w14:textId="77777777" w:rsidR="00FE5D64" w:rsidRDefault="00E40776">
            <w:pPr>
              <w:pStyle w:val="P68B1DB1-ListParagraph32"/>
              <w:numPr>
                <w:ilvl w:val="0"/>
                <w:numId w:val="276"/>
              </w:numPr>
              <w:spacing w:line="276" w:lineRule="auto"/>
              <w:jc w:val="both"/>
            </w:pPr>
            <w:r>
              <w:t>Средно висок, ако пазарният дял е среден</w:t>
            </w:r>
          </w:p>
          <w:p w14:paraId="21F38734" w14:textId="77777777" w:rsidR="00FE5D64" w:rsidRDefault="00E40776">
            <w:pPr>
              <w:pStyle w:val="P68B1DB1-ListParagraph32"/>
              <w:numPr>
                <w:ilvl w:val="0"/>
                <w:numId w:val="276"/>
              </w:numPr>
              <w:spacing w:line="276" w:lineRule="auto"/>
              <w:jc w:val="both"/>
            </w:pPr>
            <w:r>
              <w:t xml:space="preserve">Средно нисък, ако пазарният дял е малък или </w:t>
            </w:r>
          </w:p>
          <w:p w14:paraId="16968912" w14:textId="77777777" w:rsidR="00FE5D64" w:rsidRDefault="00E40776">
            <w:pPr>
              <w:pStyle w:val="P68B1DB1-ListParagraph32"/>
              <w:numPr>
                <w:ilvl w:val="0"/>
                <w:numId w:val="276"/>
              </w:numPr>
              <w:spacing w:line="276" w:lineRule="auto"/>
              <w:jc w:val="both"/>
            </w:pPr>
            <w:r>
              <w:t xml:space="preserve">Нисък, ако пазарният дял е незначителен. </w:t>
            </w:r>
          </w:p>
          <w:p w14:paraId="7FE1BBF7" w14:textId="3931B1D9" w:rsidR="00FE5D64" w:rsidRDefault="00FE5D64">
            <w:pPr>
              <w:pStyle w:val="ListParagraph"/>
              <w:spacing w:line="276" w:lineRule="auto"/>
              <w:jc w:val="both"/>
              <w:rPr>
                <w:rFonts w:ascii="Times New Roman" w:eastAsiaTheme="minorHAnsi" w:hAnsi="Times New Roman"/>
                <w:color w:val="000000" w:themeColor="text1"/>
                <w:sz w:val="20"/>
                <w:szCs w:val="20"/>
              </w:rPr>
            </w:pPr>
          </w:p>
          <w:p w14:paraId="7FE1BBF8" w14:textId="77777777" w:rsidR="00FE5D64" w:rsidRDefault="00E40776">
            <w:pPr>
              <w:pStyle w:val="P68B1DB1-TableParagraph13"/>
              <w:spacing w:before="108"/>
              <w:jc w:val="both"/>
            </w:pPr>
            <w:r>
              <w:t xml:space="preserve">При тази оценка се взема предвид пазарната структура на държавата на отчитащото се предприятие (или друг съответен пазар) и пазарните дялове, отчетени частично. </w:t>
            </w:r>
          </w:p>
          <w:p w14:paraId="7FE1BBF9" w14:textId="77777777" w:rsidR="00FE5D64" w:rsidRDefault="00E40776">
            <w:pPr>
              <w:pStyle w:val="P68B1DB1-TableParagraph13"/>
              <w:spacing w:before="108"/>
              <w:jc w:val="both"/>
            </w:pPr>
            <w:r>
              <w:t>2.Количествени данни:</w:t>
            </w:r>
          </w:p>
          <w:p w14:paraId="7FE1BBFA" w14:textId="77777777" w:rsidR="00FE5D64" w:rsidRDefault="00E40776">
            <w:pPr>
              <w:pStyle w:val="P68B1DB1-ListParagraph32"/>
              <w:numPr>
                <w:ilvl w:val="0"/>
                <w:numId w:val="117"/>
              </w:numPr>
              <w:jc w:val="both"/>
              <w:rPr>
                <w:i/>
                <w:iCs/>
              </w:rPr>
            </w:pPr>
            <w:r>
              <w:t xml:space="preserve">Експертна оценка на размера на </w:t>
            </w:r>
            <w:r>
              <w:rPr>
                <w:b/>
              </w:rPr>
              <w:t xml:space="preserve">националния </w:t>
            </w:r>
            <w:r>
              <w:t>пазарен дял (докладвана в c0020, освен в случаите, когато докладът е предоставен за различно съответно пазарно равнище, в който случай се очаква оценка на съответния пазарен дял).</w:t>
            </w:r>
          </w:p>
          <w:p w14:paraId="7FE1BBFB"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BFC"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FE5D64" w:rsidRDefault="00E40776">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FE5D64" w:rsidRDefault="00E40776">
            <w:pPr>
              <w:pStyle w:val="P68B1DB1-TableParagraph14"/>
              <w:spacing w:before="108"/>
              <w:jc w:val="both"/>
              <w:rPr>
                <w:bCs/>
              </w:rPr>
            </w:pPr>
            <w:r>
              <w:t>Пазарна структура — концентрация на пазара</w:t>
            </w:r>
          </w:p>
          <w:p w14:paraId="7FE1BC00" w14:textId="77777777" w:rsidR="00FE5D64" w:rsidRDefault="00E40776">
            <w:pPr>
              <w:pStyle w:val="P68B1DB1-TableParagraph13"/>
              <w:spacing w:before="108"/>
              <w:jc w:val="both"/>
            </w:pPr>
            <w:r>
              <w:t xml:space="preserve">Концентрацията на пазара, измерена чрез броя на конкурентите, които понастоящем функционират </w:t>
            </w:r>
          </w:p>
          <w:p w14:paraId="7FE1BC01" w14:textId="77777777" w:rsidR="00FE5D64" w:rsidRDefault="00E40776">
            <w:pPr>
              <w:pStyle w:val="P68B1DB1-TableParagraph13"/>
              <w:spacing w:before="108"/>
              <w:jc w:val="both"/>
            </w:pPr>
            <w:r>
              <w:t xml:space="preserve">сходни икономически функции и/или предлагане на сходни услуги при равни условия (т.е. </w:t>
            </w:r>
          </w:p>
          <w:p w14:paraId="7FE1BC02" w14:textId="77777777" w:rsidR="00FE5D64" w:rsidRDefault="00E40776">
            <w:pPr>
              <w:pStyle w:val="P68B1DB1-TableParagraph13"/>
              <w:spacing w:before="108"/>
              <w:jc w:val="both"/>
            </w:pPr>
            <w:r>
              <w:t xml:space="preserve">съпоставима степен и качество и на сравнима цена), които потенциално ще поемат </w:t>
            </w:r>
          </w:p>
          <w:p w14:paraId="7FE1BC03" w14:textId="77777777" w:rsidR="00FE5D64" w:rsidRDefault="00E40776">
            <w:pPr>
              <w:pStyle w:val="P68B1DB1-TableParagraph13"/>
              <w:spacing w:before="108"/>
              <w:jc w:val="both"/>
            </w:pPr>
            <w:r>
              <w:t xml:space="preserve">(част от) клиентите и/или стопанската дейност на отчитащото се предприятие в рамките на разумен срок. </w:t>
            </w:r>
          </w:p>
          <w:p w14:paraId="7FE1BC04" w14:textId="77777777" w:rsidR="00FE5D64" w:rsidRDefault="00E40776">
            <w:pPr>
              <w:pStyle w:val="P68B1DB1-TableParagraph13"/>
              <w:spacing w:before="108"/>
              <w:jc w:val="both"/>
            </w:pPr>
            <w:r>
              <w:t xml:space="preserve">Това се отчита в групи, които са еднакви за всяка подфункция. </w:t>
            </w:r>
          </w:p>
          <w:p w14:paraId="4C2F14CB" w14:textId="77777777" w:rsidR="00FE5D64" w:rsidRDefault="00E40776">
            <w:pPr>
              <w:pStyle w:val="P68B1DB1-ListParagraph32"/>
              <w:numPr>
                <w:ilvl w:val="0"/>
                <w:numId w:val="277"/>
              </w:numPr>
              <w:jc w:val="both"/>
            </w:pPr>
            <w:r>
              <w:t xml:space="preserve">&gt; 20 конкуренти; </w:t>
            </w:r>
          </w:p>
          <w:p w14:paraId="453D853E" w14:textId="77777777" w:rsidR="00FE5D64" w:rsidRDefault="00E40776">
            <w:pPr>
              <w:pStyle w:val="P68B1DB1-ListParagraph32"/>
              <w:numPr>
                <w:ilvl w:val="0"/>
                <w:numId w:val="277"/>
              </w:numPr>
              <w:jc w:val="both"/>
            </w:pPr>
            <w:r>
              <w:t xml:space="preserve">11—20 конкуренти; </w:t>
            </w:r>
          </w:p>
          <w:p w14:paraId="642D6421" w14:textId="77777777" w:rsidR="00FE5D64" w:rsidRDefault="00E40776">
            <w:pPr>
              <w:pStyle w:val="P68B1DB1-ListParagraph32"/>
              <w:numPr>
                <w:ilvl w:val="0"/>
                <w:numId w:val="277"/>
              </w:numPr>
              <w:jc w:val="both"/>
            </w:pPr>
            <w:r>
              <w:t xml:space="preserve">От 5 до 10 състезатели, </w:t>
            </w:r>
          </w:p>
          <w:p w14:paraId="3C672034" w14:textId="77777777" w:rsidR="00FE5D64" w:rsidRDefault="00E40776">
            <w:pPr>
              <w:pStyle w:val="P68B1DB1-ListParagraph32"/>
              <w:numPr>
                <w:ilvl w:val="0"/>
                <w:numId w:val="277"/>
              </w:numPr>
              <w:jc w:val="both"/>
              <w:rPr>
                <w:b/>
                <w:bCs/>
                <w:color w:val="000000" w:themeColor="text1"/>
              </w:rPr>
            </w:pPr>
            <w:r>
              <w:t>„5 конкуренти“</w:t>
            </w:r>
          </w:p>
          <w:p w14:paraId="7FE1BC08" w14:textId="3B09659F" w:rsidR="00FE5D64" w:rsidRDefault="00FE5D64">
            <w:pPr>
              <w:jc w:val="both"/>
              <w:rPr>
                <w:rFonts w:ascii="Times New Roman" w:hAnsi="Times New Roman"/>
                <w:color w:val="000000" w:themeColor="text1"/>
                <w:sz w:val="20"/>
                <w:szCs w:val="20"/>
              </w:rPr>
            </w:pPr>
          </w:p>
        </w:tc>
      </w:tr>
      <w:tr w:rsidR="00FE5D64"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FE5D64" w:rsidRDefault="00E40776">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FE5D64" w:rsidRDefault="00E40776">
            <w:pPr>
              <w:pStyle w:val="P68B1DB1-TableParagraph14"/>
              <w:spacing w:before="108"/>
              <w:jc w:val="both"/>
              <w:rPr>
                <w:bCs/>
              </w:rPr>
            </w:pPr>
            <w:r>
              <w:t>График — очаквано време за заместване</w:t>
            </w:r>
          </w:p>
          <w:p w14:paraId="7FE1BC0C" w14:textId="77777777" w:rsidR="00FE5D64" w:rsidRDefault="00E40776">
            <w:pPr>
              <w:pStyle w:val="P68B1DB1-TableParagraph13"/>
              <w:spacing w:before="108"/>
              <w:jc w:val="both"/>
            </w:pPr>
            <w:r>
              <w:t>Оценка на времето, необходимо за икономическата функция, предоставена от докладването</w:t>
            </w:r>
          </w:p>
          <w:p w14:paraId="7FE1BC0D" w14:textId="77777777" w:rsidR="00FE5D64" w:rsidRDefault="00E40776">
            <w:pPr>
              <w:pStyle w:val="P68B1DB1-TableParagraph13"/>
              <w:spacing w:before="108"/>
              <w:jc w:val="both"/>
            </w:pPr>
            <w:r>
              <w:t xml:space="preserve">субект, който трябва да бъде поет от пазара в кризисна ситуация. Това включва: </w:t>
            </w:r>
          </w:p>
          <w:p w14:paraId="7FE1BC0E" w14:textId="77777777" w:rsidR="00FE5D64" w:rsidRDefault="00E40776">
            <w:pPr>
              <w:pStyle w:val="P68B1DB1-ListParagraph38"/>
              <w:numPr>
                <w:ilvl w:val="0"/>
                <w:numId w:val="274"/>
              </w:numPr>
              <w:jc w:val="both"/>
            </w:pPr>
            <w:r>
              <w:t xml:space="preserve">очакваното време, необходимо на един или няколко конкурента (ите) за изпълнение на правните и техническите стъпки за поемане на функцията; както и  </w:t>
            </w:r>
          </w:p>
          <w:p w14:paraId="7FE1BC0F" w14:textId="77777777" w:rsidR="00FE5D64" w:rsidRDefault="00E40776">
            <w:pPr>
              <w:pStyle w:val="P68B1DB1-ListParagraph38"/>
              <w:numPr>
                <w:ilvl w:val="0"/>
                <w:numId w:val="274"/>
              </w:numPr>
              <w:jc w:val="both"/>
            </w:pPr>
            <w:r>
              <w:t xml:space="preserve">времето, необходимо на ползвателите на услугата да се преместят при друг доставчик на услуги. </w:t>
            </w:r>
          </w:p>
          <w:p w14:paraId="7FE1BC10"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C11" w14:textId="77777777" w:rsidR="00FE5D64" w:rsidRDefault="00E40776">
            <w:pPr>
              <w:pStyle w:val="P68B1DB1-TableParagraph13"/>
              <w:spacing w:before="108"/>
              <w:jc w:val="both"/>
            </w:pPr>
            <w:r>
              <w:t>Като заместител на първия, представете приблизителна оценка на времето, необходимо на отчитащия се субект да поеме в собствената си стопанска дейност (част от) услугата, предоставяна от друга институция, на разумна цена в кризисна ситуация. Докладвайте очакваното време за заместване в групите, посочени в образеца:</w:t>
            </w:r>
          </w:p>
          <w:p w14:paraId="7FE1BC12" w14:textId="77777777" w:rsidR="00FE5D64" w:rsidRDefault="00FE5D64">
            <w:pPr>
              <w:jc w:val="both"/>
              <w:rPr>
                <w:rFonts w:ascii="Times New Roman" w:eastAsia="Times New Roman" w:hAnsi="Times New Roman" w:cs="Times New Roman"/>
                <w:sz w:val="20"/>
                <w:szCs w:val="20"/>
              </w:rPr>
            </w:pPr>
          </w:p>
          <w:p w14:paraId="7FE1BC13" w14:textId="77777777" w:rsidR="00FE5D64" w:rsidRDefault="00E40776">
            <w:pPr>
              <w:pStyle w:val="P68B1DB1-Normal31"/>
              <w:jc w:val="both"/>
            </w:pPr>
            <w:bookmarkStart w:id="118" w:name="_Hlk194476081"/>
            <w:r>
              <w:t xml:space="preserve">Кофи: </w:t>
            </w:r>
          </w:p>
          <w:p w14:paraId="7FE1BC14" w14:textId="728C4DE4" w:rsidR="00FE5D64" w:rsidRDefault="00E40776">
            <w:pPr>
              <w:pStyle w:val="P68B1DB1-ListParagraph32"/>
              <w:numPr>
                <w:ilvl w:val="0"/>
                <w:numId w:val="284"/>
              </w:numPr>
              <w:jc w:val="both"/>
            </w:pPr>
            <w:r>
              <w:t xml:space="preserve">[...] 1 ден; </w:t>
            </w:r>
          </w:p>
          <w:p w14:paraId="7FE1BC15" w14:textId="15883A0D" w:rsidR="00FE5D64" w:rsidRDefault="00E40776">
            <w:pPr>
              <w:pStyle w:val="P68B1DB1-ListParagraph32"/>
              <w:numPr>
                <w:ilvl w:val="0"/>
                <w:numId w:val="284"/>
              </w:numPr>
              <w:jc w:val="both"/>
            </w:pPr>
            <w:r>
              <w:t xml:space="preserve">1—2 дни; </w:t>
            </w:r>
          </w:p>
          <w:p w14:paraId="7FE1BC16" w14:textId="0B950876" w:rsidR="00FE5D64" w:rsidRDefault="00E40776">
            <w:pPr>
              <w:pStyle w:val="P68B1DB1-ListParagraph32"/>
              <w:numPr>
                <w:ilvl w:val="0"/>
                <w:numId w:val="284"/>
              </w:numPr>
              <w:jc w:val="both"/>
            </w:pPr>
            <w:r>
              <w:t xml:space="preserve">&gt; 2 дни ≤ 1 седмица </w:t>
            </w:r>
          </w:p>
          <w:p w14:paraId="7FE1BC17" w14:textId="0973D87D" w:rsidR="00FE5D64" w:rsidRDefault="00E40776">
            <w:pPr>
              <w:pStyle w:val="P68B1DB1-ListParagraph32"/>
              <w:numPr>
                <w:ilvl w:val="0"/>
                <w:numId w:val="284"/>
              </w:numPr>
              <w:jc w:val="both"/>
            </w:pPr>
            <w:r>
              <w:t xml:space="preserve">&gt; 1 седмица </w:t>
            </w:r>
          </w:p>
          <w:bookmarkEnd w:id="118"/>
          <w:p w14:paraId="7FE1BC18"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FE5D64" w:rsidRDefault="00E40776">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FE5D64" w:rsidRDefault="00E40776">
            <w:pPr>
              <w:pStyle w:val="P68B1DB1-TableParagraph14"/>
              <w:spacing w:before="108"/>
              <w:jc w:val="both"/>
              <w:rPr>
                <w:bCs/>
              </w:rPr>
            </w:pPr>
            <w:r>
              <w:t>Способност за заместване</w:t>
            </w:r>
          </w:p>
        </w:tc>
      </w:tr>
      <w:tr w:rsidR="00FE5D64"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FE5D64" w:rsidRDefault="00E40776">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FE5D64" w:rsidRDefault="00E40776">
            <w:pPr>
              <w:pStyle w:val="P68B1DB1-TableParagraph14"/>
              <w:spacing w:before="108"/>
              <w:jc w:val="both"/>
              <w:rPr>
                <w:bCs/>
              </w:rPr>
            </w:pPr>
            <w:r>
              <w:t>Правни пречки за навлизане на пазара или разрастване</w:t>
            </w:r>
          </w:p>
          <w:p w14:paraId="7FE1BC1F"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C20" w14:textId="77777777" w:rsidR="00FE5D64" w:rsidRDefault="00E40776">
            <w:pPr>
              <w:pStyle w:val="P68B1DB1-TableParagraph13"/>
              <w:spacing w:before="108"/>
              <w:jc w:val="both"/>
            </w:pPr>
            <w:r>
              <w:t xml:space="preserve">Правни пречки за конкурентите да предлагат услугата. Правните изисквания за извършване на дейността на кредитните институции (напр. банкови лицензи или капиталови изисквания) не следва да се считат за непреодолими пречки при наличието на алтернативни доставчици. Този показател трябва да се отчита в групи, които са еднакви за всяка подфункция: </w:t>
            </w:r>
          </w:p>
          <w:p w14:paraId="7FE1BC21" w14:textId="474C67C3" w:rsidR="00FE5D64" w:rsidRDefault="00E40776">
            <w:pPr>
              <w:pStyle w:val="P68B1DB1-ListParagraph39"/>
              <w:numPr>
                <w:ilvl w:val="0"/>
                <w:numId w:val="275"/>
              </w:numPr>
              <w:jc w:val="both"/>
            </w:pPr>
            <w:r>
              <w:t xml:space="preserve">няма големи пречки, </w:t>
            </w:r>
          </w:p>
          <w:p w14:paraId="7FE1BC22" w14:textId="2597009C" w:rsidR="00FE5D64" w:rsidRDefault="00E40776">
            <w:pPr>
              <w:pStyle w:val="P68B1DB1-ListParagraph39"/>
              <w:numPr>
                <w:ilvl w:val="0"/>
                <w:numId w:val="275"/>
              </w:numPr>
              <w:jc w:val="both"/>
            </w:pPr>
            <w:r>
              <w:t xml:space="preserve">някои пречки, </w:t>
            </w:r>
          </w:p>
          <w:p w14:paraId="7FE1BC23" w14:textId="78601E46" w:rsidR="00FE5D64" w:rsidRDefault="00E40776">
            <w:pPr>
              <w:pStyle w:val="P68B1DB1-ListParagraph39"/>
              <w:numPr>
                <w:ilvl w:val="0"/>
                <w:numId w:val="275"/>
              </w:numPr>
              <w:jc w:val="both"/>
            </w:pPr>
            <w:r>
              <w:t xml:space="preserve">значителни (но непреодолими) бариери, </w:t>
            </w:r>
          </w:p>
          <w:p w14:paraId="7FE1BC25" w14:textId="12D666ED" w:rsidR="00FE5D64" w:rsidRDefault="00E40776">
            <w:pPr>
              <w:pStyle w:val="P68B1DB1-ListParagraph8"/>
              <w:numPr>
                <w:ilvl w:val="0"/>
                <w:numId w:val="275"/>
              </w:numPr>
              <w:jc w:val="both"/>
            </w:pPr>
            <w:r>
              <w:t>критични (трудни за преодоляване) бариери.</w:t>
            </w:r>
          </w:p>
        </w:tc>
      </w:tr>
      <w:tr w:rsidR="00FE5D64"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FE5D64" w:rsidRDefault="00E40776">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FE5D64" w:rsidRDefault="00E40776">
            <w:pPr>
              <w:pStyle w:val="P68B1DB1-TableParagraph14"/>
              <w:spacing w:before="108"/>
              <w:jc w:val="both"/>
              <w:rPr>
                <w:bCs/>
              </w:rPr>
            </w:pPr>
            <w:r>
              <w:t>Експлоатационни изисквания за навлизане или разширяване</w:t>
            </w:r>
          </w:p>
          <w:p w14:paraId="7FE1BC29"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C2A" w14:textId="46374DD1" w:rsidR="00FE5D64" w:rsidRDefault="00E40776">
            <w:pPr>
              <w:pStyle w:val="P68B1DB1-TableParagraph13"/>
              <w:spacing w:before="108"/>
              <w:jc w:val="both"/>
            </w:pPr>
            <w:r>
              <w:t xml:space="preserve">Организационни, технически и инфраструктурни изисквания за конкурентите да предлагат услугата. Предлагането на услуги, свързани с (под) функцията, изисква доставчиците да инвестират в (нова или допълнителна) инфраструктура или да променят своите организации. Оценява способността на пазара да поеме дадена стопанска дейност, например по отношение на капиталовите изисквания. </w:t>
            </w:r>
          </w:p>
          <w:p w14:paraId="7FE1BC2B" w14:textId="77777777" w:rsidR="00FE5D64" w:rsidRDefault="00E40776">
            <w:pPr>
              <w:pStyle w:val="P68B1DB1-TableParagraph13"/>
              <w:spacing w:before="108"/>
              <w:jc w:val="both"/>
            </w:pPr>
            <w:r>
              <w:t xml:space="preserve">Този показател трябва да се отчита в групи, които са еднакви за всяка подфункция: </w:t>
            </w:r>
          </w:p>
          <w:p w14:paraId="7FE1BC2C" w14:textId="59F4E6B2" w:rsidR="00FE5D64" w:rsidRDefault="00E40776">
            <w:pPr>
              <w:pStyle w:val="P68B1DB1-ListParagraph39"/>
              <w:numPr>
                <w:ilvl w:val="0"/>
                <w:numId w:val="278"/>
              </w:numPr>
              <w:jc w:val="both"/>
            </w:pPr>
            <w:r>
              <w:t xml:space="preserve">няма съществени изисквания, </w:t>
            </w:r>
          </w:p>
          <w:p w14:paraId="7FE1BC2D" w14:textId="17A47EF8" w:rsidR="00FE5D64" w:rsidRDefault="00E40776">
            <w:pPr>
              <w:pStyle w:val="P68B1DB1-ListParagraph39"/>
              <w:numPr>
                <w:ilvl w:val="0"/>
                <w:numId w:val="278"/>
              </w:numPr>
              <w:jc w:val="both"/>
            </w:pPr>
            <w:r>
              <w:t xml:space="preserve">някои изисквания, </w:t>
            </w:r>
          </w:p>
          <w:p w14:paraId="7FE1BC2E" w14:textId="6B2B459E" w:rsidR="00FE5D64" w:rsidRDefault="00E40776">
            <w:pPr>
              <w:pStyle w:val="P68B1DB1-ListParagraph39"/>
              <w:numPr>
                <w:ilvl w:val="0"/>
                <w:numId w:val="278"/>
              </w:numPr>
              <w:jc w:val="both"/>
            </w:pPr>
            <w:r>
              <w:t xml:space="preserve">съществени (но непреодолими) изисквания, </w:t>
            </w:r>
          </w:p>
          <w:p w14:paraId="7FE1BC2F" w14:textId="79851C7C" w:rsidR="00FE5D64" w:rsidRDefault="00E40776">
            <w:pPr>
              <w:pStyle w:val="P68B1DB1-ListParagraph39"/>
              <w:numPr>
                <w:ilvl w:val="0"/>
                <w:numId w:val="278"/>
              </w:numPr>
              <w:jc w:val="both"/>
            </w:pPr>
            <w:r>
              <w:t>критични (трудни за допълване) изисквания.</w:t>
            </w:r>
          </w:p>
          <w:p w14:paraId="7FE1BC30"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FE5D64" w:rsidRDefault="00E40776">
            <w:pPr>
              <w:pStyle w:val="P68B1DB1-TableParagraph17"/>
              <w:spacing w:before="108"/>
              <w:jc w:val="both"/>
            </w:pPr>
            <w:r>
              <w:t>0200 Г. — 0210 Г.</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FE5D64" w:rsidRDefault="00E40776">
            <w:pPr>
              <w:pStyle w:val="P68B1DB1-TableParagraph14"/>
              <w:spacing w:before="108"/>
              <w:jc w:val="both"/>
              <w:rPr>
                <w:bCs/>
              </w:rPr>
            </w:pPr>
            <w:r>
              <w:t>Капацитет за качване</w:t>
            </w:r>
          </w:p>
        </w:tc>
      </w:tr>
      <w:tr w:rsidR="00FE5D64"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FE5D64" w:rsidRDefault="00E40776">
            <w:pPr>
              <w:pStyle w:val="P68B1DB1-TableParagraph17"/>
              <w:spacing w:before="108"/>
              <w:jc w:val="both"/>
            </w:pPr>
            <w:r>
              <w:lastRenderedPageBreak/>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FE5D64" w:rsidRDefault="00E40776">
            <w:pPr>
              <w:pStyle w:val="P68B1DB1-TableParagraph14"/>
              <w:spacing w:before="108"/>
              <w:rPr>
                <w:bCs/>
              </w:rPr>
            </w:pPr>
            <w:r>
              <w:t>Капацитет за въвеждане — брой заявления от нов клиент 1 работен ден (брой)</w:t>
            </w:r>
          </w:p>
          <w:p w14:paraId="2BBAFCB8" w14:textId="77777777" w:rsidR="00FE5D64" w:rsidRDefault="00E40776">
            <w:pPr>
              <w:pStyle w:val="P68B1DB1-TableParagraph13"/>
              <w:spacing w:before="108"/>
            </w:pPr>
            <w:r>
              <w:t>От институциите се изисква да предоставят най-голям брой заявления, когато институцията е валидирала искането за банкова услуга.</w:t>
            </w:r>
          </w:p>
          <w:p w14:paraId="3F7DDDEF"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5AB7F16A" w14:textId="77777777" w:rsidR="00FE5D64" w:rsidRDefault="00E40776">
            <w:pPr>
              <w:pStyle w:val="P68B1DB1-TableParagraph13"/>
              <w:spacing w:before="108"/>
              <w:jc w:val="both"/>
              <w:rPr>
                <w:b/>
                <w:bCs/>
              </w:rPr>
            </w:pPr>
            <w:r>
              <w:t xml:space="preserve">Капацитетът за въвеждане на платежни услуги за ПФИ, платежни услуги за НПФИ и услуги в брой като брой нови сметки се изразява в над 1 работен ден. </w:t>
            </w:r>
          </w:p>
          <w:p w14:paraId="10BCF6A2" w14:textId="77777777" w:rsidR="00FE5D64" w:rsidRDefault="00E40776">
            <w:pPr>
              <w:pStyle w:val="P68B1DB1-TableParagraph13"/>
              <w:spacing w:before="108"/>
              <w:jc w:val="both"/>
              <w:rPr>
                <w:b/>
                <w:bCs/>
              </w:rPr>
            </w:pPr>
            <w:r>
              <w:t>От институциите се очаква да вземат предвид срока за включване на нови клиенти, тъй като нов клиент е кандидатствал за банкова услуга.</w:t>
            </w:r>
          </w:p>
          <w:p w14:paraId="54138520" w14:textId="77777777" w:rsidR="00FE5D64" w:rsidRDefault="00FE5D64">
            <w:pPr>
              <w:pStyle w:val="TableParagraph"/>
              <w:spacing w:before="108"/>
              <w:rPr>
                <w:rFonts w:ascii="Times New Roman" w:hAnsi="Times New Roman" w:cs="Times New Roman"/>
                <w:b/>
                <w:bCs/>
                <w:color w:val="000000" w:themeColor="text1"/>
                <w:sz w:val="20"/>
                <w:szCs w:val="20"/>
              </w:rPr>
            </w:pPr>
          </w:p>
        </w:tc>
      </w:tr>
      <w:tr w:rsidR="00FE5D64"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FE5D64" w:rsidRDefault="00E40776">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FE5D64" w:rsidRDefault="00E40776">
            <w:pPr>
              <w:pStyle w:val="P68B1DB1-TableParagraph14"/>
              <w:spacing w:before="108"/>
              <w:rPr>
                <w:bCs/>
              </w:rPr>
            </w:pPr>
            <w:r>
              <w:t>Капацитет за въвеждане — брой заявления от нови клиенти за 7 работни дни (брой)</w:t>
            </w:r>
          </w:p>
          <w:p w14:paraId="6C6045B8" w14:textId="77777777" w:rsidR="00FE5D64" w:rsidRDefault="00E40776">
            <w:pPr>
              <w:pStyle w:val="P68B1DB1-TableParagraph13"/>
              <w:spacing w:before="108"/>
            </w:pPr>
            <w:r>
              <w:t>От институциите се изисква да предоставят най-голям брой заявления, когато институцията е валидирала искането за банкова услуга.</w:t>
            </w:r>
          </w:p>
          <w:p w14:paraId="59CBAFC9" w14:textId="77777777" w:rsidR="00FE5D64" w:rsidRDefault="00E40776">
            <w:pPr>
              <w:pStyle w:val="P68B1DB1-TableParagraph13"/>
              <w:spacing w:before="108"/>
              <w:jc w:val="both"/>
            </w:pPr>
            <w:r>
              <w:t>Капацитетът за въвеждане на услуги по сетълмент на ценни книжа, клирингови услуги на ЦК, попечителски услуги по отношение на броя на новите сметки се изразява за период от 7 работни дни.</w:t>
            </w:r>
          </w:p>
          <w:p w14:paraId="7623A7E1" w14:textId="77777777" w:rsidR="00FE5D64" w:rsidRDefault="00E40776">
            <w:pPr>
              <w:pStyle w:val="P68B1DB1-TableParagraph13"/>
              <w:spacing w:before="108"/>
              <w:jc w:val="both"/>
              <w:rPr>
                <w:b/>
                <w:bCs/>
              </w:rPr>
            </w:pPr>
            <w:r>
              <w:t>От институциите се очаква да вземат предвид срока за включване на нови клиенти, тъй като нов клиент е кандидатствал за банкова услуга.</w:t>
            </w:r>
          </w:p>
          <w:p w14:paraId="6541ECB8" w14:textId="7269F4A9" w:rsidR="00FE5D64" w:rsidRDefault="00FE5D64">
            <w:pPr>
              <w:pStyle w:val="TableParagraph"/>
              <w:spacing w:before="108"/>
              <w:rPr>
                <w:rFonts w:ascii="Times New Roman" w:hAnsi="Times New Roman" w:cs="Times New Roman"/>
                <w:b/>
                <w:bCs/>
                <w:color w:val="000000" w:themeColor="text1"/>
                <w:sz w:val="20"/>
                <w:szCs w:val="20"/>
              </w:rPr>
            </w:pPr>
          </w:p>
        </w:tc>
      </w:tr>
      <w:tr w:rsidR="00FE5D64"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FE5D64" w:rsidRDefault="00E40776">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FE5D64" w:rsidRDefault="00E40776">
            <w:pPr>
              <w:pStyle w:val="P68B1DB1-TableParagraph14"/>
              <w:spacing w:before="108"/>
              <w:rPr>
                <w:bCs/>
              </w:rPr>
            </w:pPr>
            <w:r>
              <w:t>Оценка на критичността</w:t>
            </w:r>
          </w:p>
        </w:tc>
      </w:tr>
      <w:tr w:rsidR="00FE5D64"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FE5D64" w:rsidRDefault="00E40776">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FE5D64" w:rsidRDefault="00E40776">
            <w:pPr>
              <w:pStyle w:val="P68B1DB1-TableParagraph13"/>
              <w:spacing w:before="108"/>
            </w:pPr>
            <w:r>
              <w:t xml:space="preserve">Въздействие върху пазара </w:t>
            </w:r>
          </w:p>
          <w:p w14:paraId="7FE1BC42" w14:textId="77777777" w:rsidR="00FE5D64" w:rsidRDefault="00E40776">
            <w:pPr>
              <w:pStyle w:val="P68B1DB1-TableParagraph13"/>
              <w:spacing w:before="108"/>
            </w:pPr>
            <w:r>
              <w:t>Очакваното въздействие на внезапно прекъсване на функцията върху трети страни, финансовите пазари и реалната икономика, като се вземат предвид размерът, пазарният дял в дадената държава, външните и вътрешните взаимовръзки, сложността и трансграничната дейност на институцията.</w:t>
            </w:r>
          </w:p>
          <w:p w14:paraId="7FE1BC43" w14:textId="46266FB9" w:rsidR="00FE5D64" w:rsidRDefault="00E40776">
            <w:pPr>
              <w:pStyle w:val="P68B1DB1-TableParagraph13"/>
              <w:spacing w:before="108"/>
            </w:pPr>
            <w:r>
              <w:t>Тази оценка се изразява качествено като „висока „, „средна„, „средна „, „средна“ или ниска.</w:t>
            </w:r>
          </w:p>
          <w:p w14:paraId="7FE1BC44" w14:textId="7CCB4614" w:rsidR="00FE5D64" w:rsidRDefault="00E40776">
            <w:pPr>
              <w:pStyle w:val="P68B1DB1-TableParagraph13"/>
              <w:spacing w:before="108"/>
            </w:pPr>
            <w:r>
              <w:t>„Висок“ се избира, ако прекъсването би оказало силно въздействие върху националния пазар; „Средно-Високо“ — ако въздействието е значително; „Medium-Low“ — ако въздействието е съществено, но ограничено; „Low“ — ако въздействието е слабо.</w:t>
            </w:r>
          </w:p>
        </w:tc>
      </w:tr>
      <w:tr w:rsidR="00FE5D64"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FE5D64" w:rsidRDefault="00E40776">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FE5D64" w:rsidRDefault="00E40776">
            <w:pPr>
              <w:pStyle w:val="P68B1DB1-TableParagraph14"/>
              <w:spacing w:before="108"/>
              <w:rPr>
                <w:bCs/>
              </w:rPr>
            </w:pPr>
            <w:r>
              <w:t>Заменяемост</w:t>
            </w:r>
          </w:p>
          <w:p w14:paraId="7FE1BC48" w14:textId="77777777" w:rsidR="00FE5D64" w:rsidRDefault="00E40776">
            <w:pPr>
              <w:pStyle w:val="P68B1DB1-TableParagraph13"/>
              <w:spacing w:before="108"/>
            </w:pPr>
            <w:r>
              <w:t>Член 6, параграф 3 от Делегиран регламент (ЕС) 2016/778.</w:t>
            </w:r>
          </w:p>
          <w:p w14:paraId="7FE1BC49" w14:textId="77777777" w:rsidR="00FE5D64" w:rsidRDefault="00E40776">
            <w:pPr>
              <w:pStyle w:val="P68B1DB1-TableParagraph13"/>
              <w:spacing w:before="108"/>
            </w:pPr>
            <w:r>
              <w:t>Дадена функция се приема за заменяема, ако може да бъде заменена по приемлив начин и в приемлив срок, с което да се избегнат системни проблеми за реалната икономика и финансовите пазари. Взема се предвид следното:</w:t>
            </w:r>
          </w:p>
          <w:p w14:paraId="7FE1BC4A" w14:textId="77777777" w:rsidR="00FE5D64" w:rsidRDefault="00E40776">
            <w:pPr>
              <w:pStyle w:val="P68B1DB1-TableParagraph13"/>
              <w:spacing w:before="108"/>
            </w:pPr>
            <w:r>
              <w:t xml:space="preserve">(a) структурата на пазара за тази функция и наличието на алтернативни доставчици; </w:t>
            </w:r>
          </w:p>
          <w:p w14:paraId="7FE1BC4B" w14:textId="77777777" w:rsidR="00FE5D64" w:rsidRDefault="00E40776">
            <w:pPr>
              <w:pStyle w:val="P68B1DB1-TableParagraph13"/>
              <w:spacing w:before="108"/>
            </w:pPr>
            <w:r>
              <w:t xml:space="preserve">(b) възможностите на останалите доставчици по отношение на капацитета, изискванията за изпълняване на функцията и потенциалните пречки за навлизане на пазара или разрастване; </w:t>
            </w:r>
          </w:p>
          <w:p w14:paraId="7FE1BC4C" w14:textId="77777777" w:rsidR="00FE5D64" w:rsidRDefault="00E40776">
            <w:pPr>
              <w:pStyle w:val="P68B1DB1-TableParagraph13"/>
              <w:spacing w:before="108"/>
            </w:pPr>
            <w:r>
              <w:t xml:space="preserve">(c) стимулът за други доставчици да поемат тези дейности; </w:t>
            </w:r>
          </w:p>
          <w:p w14:paraId="7FE1BC4D" w14:textId="77777777" w:rsidR="00FE5D64" w:rsidRDefault="00E40776">
            <w:pPr>
              <w:pStyle w:val="P68B1DB1-TableParagraph13"/>
              <w:spacing w:before="108"/>
            </w:pPr>
            <w:r>
              <w:t>(d) необходимото време за преминаване на ползвателите на услугата към нов доставчик на услуги и свързаните с този преход разходи;необходимото време за поемане на функцията от другите конкуренти и дали този срок е достатъчен, за да се предотвратят сериозни сътресения в зависимост от вида услуга.</w:t>
            </w:r>
          </w:p>
          <w:p w14:paraId="7FE1BC4E" w14:textId="5259F9E9" w:rsidR="00FE5D64" w:rsidRDefault="00E40776">
            <w:pPr>
              <w:pStyle w:val="P68B1DB1-TableParagraph13"/>
              <w:spacing w:before="108"/>
            </w:pPr>
            <w:r>
              <w:t xml:space="preserve">Предоставяне на цялостна оценка на очакваната степен на заменяемост за всяка функция, като се вземат предвид различните оценявани по-рано измерения (пазарен дял, пазарна </w:t>
            </w:r>
            <w:r>
              <w:lastRenderedPageBreak/>
              <w:t xml:space="preserve">концентрация, време за заместване, правни пречки и оперативни изисквания за навлизане или разширяване). Тази оценка се изразява качествено като „висока „, „средна„, „средна „, „средна“ или ниска. </w:t>
            </w:r>
          </w:p>
          <w:p w14:paraId="7FE1BC4F" w14:textId="2848C2C9" w:rsidR="00FE5D64" w:rsidRDefault="00E40776">
            <w:pPr>
              <w:pStyle w:val="P68B1DB1-TableParagraph13"/>
              <w:spacing w:before="108"/>
            </w:pPr>
            <w:r>
              <w:t>„Висок“ се избира, ако една функция може лесно да започне да се изпълнява от друга банка при сравними условия и в разумен срок;</w:t>
            </w:r>
          </w:p>
          <w:p w14:paraId="7FE1BC50" w14:textId="60D54ED6" w:rsidR="00FE5D64" w:rsidRDefault="00E40776">
            <w:pPr>
              <w:pStyle w:val="P68B1DB1-TableParagraph13"/>
              <w:spacing w:before="108"/>
            </w:pPr>
            <w:r>
              <w:t xml:space="preserve">„Низко“ ако една функция не може лесно или бързо да бъде заменена; </w:t>
            </w:r>
          </w:p>
          <w:p w14:paraId="7FE1BC51" w14:textId="0F9A1660" w:rsidR="00FE5D64" w:rsidRDefault="00E40776">
            <w:pPr>
              <w:pStyle w:val="P68B1DB1-TableParagraph13"/>
              <w:spacing w:before="108"/>
            </w:pPr>
            <w:r>
              <w:t>„Medium High„и „Medium Low“ — за междинните случаи, предвид различните параметри (например пазарен дял, концентрация на пазара, време за замяна, както и правните пречки и оперативните изисквания за навлизане на пазара или разрастване).</w:t>
            </w:r>
          </w:p>
        </w:tc>
      </w:tr>
      <w:tr w:rsidR="00FE5D64"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FE5D64" w:rsidRDefault="00E40776">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FE5D64" w:rsidRDefault="00E40776">
            <w:pPr>
              <w:pStyle w:val="P68B1DB1-TableParagraph14"/>
              <w:spacing w:before="108"/>
              <w:rPr>
                <w:bCs/>
              </w:rPr>
            </w:pPr>
            <w:r>
              <w:t>Критична функция</w:t>
            </w:r>
          </w:p>
          <w:p w14:paraId="7FE1BC55" w14:textId="77777777" w:rsidR="00FE5D64" w:rsidRDefault="00E40776">
            <w:pPr>
              <w:pStyle w:val="P68B1DB1-TableParagraph13"/>
              <w:spacing w:before="108"/>
            </w:pPr>
            <w:r>
              <w:t>В тази колона се посочва дали икономическата функция се счита за критична на пазара на съответната държава, като се вземат под внимание извършените от институцията анализи за въздействие и заместяемост.</w:t>
            </w:r>
          </w:p>
          <w:p w14:paraId="7FE1BC56" w14:textId="77777777" w:rsidR="00FE5D64" w:rsidRDefault="00E40776">
            <w:pPr>
              <w:pStyle w:val="P68B1DB1-TableParagraph13"/>
              <w:spacing w:before="108"/>
            </w:pPr>
            <w:r>
              <w:t>Посочва се „Да„или „Не“.</w:t>
            </w:r>
          </w:p>
        </w:tc>
      </w:tr>
      <w:tr w:rsidR="00FE5D64"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FE5D64" w:rsidRDefault="00E40776">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FE5D64" w:rsidRDefault="00E40776">
            <w:pPr>
              <w:pStyle w:val="P68B1DB1-TableParagraph14"/>
              <w:spacing w:before="108"/>
              <w:rPr>
                <w:bCs/>
              </w:rPr>
            </w:pPr>
            <w:r>
              <w:t>Коментари на групата</w:t>
            </w:r>
          </w:p>
          <w:p w14:paraId="7FE1BC5A" w14:textId="77777777" w:rsidR="00FE5D64" w:rsidRDefault="00E40776">
            <w:pPr>
              <w:pStyle w:val="P68B1DB1-TableParagraph13"/>
              <w:spacing w:before="108"/>
            </w:pPr>
            <w:r>
              <w:t>Това поле дава възможност на докладващия субект да обясни всички допускания, използвани при оценката на критичността на докладваната (ите) функция (и).</w:t>
            </w:r>
          </w:p>
        </w:tc>
      </w:tr>
    </w:tbl>
    <w:p w14:paraId="7FE1BC5C" w14:textId="77777777" w:rsidR="00FE5D64" w:rsidRDefault="00FE5D64">
      <w:pPr>
        <w:pStyle w:val="Instructionsberschrift2"/>
        <w:rPr>
          <w:rFonts w:ascii="Times New Roman" w:hAnsi="Times New Roman" w:cs="Times New Roman"/>
        </w:rPr>
      </w:pPr>
    </w:p>
    <w:p w14:paraId="7FE1BC5D" w14:textId="5C971E12" w:rsidR="00FE5D64" w:rsidRDefault="00E40776">
      <w:pPr>
        <w:pStyle w:val="P68B1DB1-Instructionsberschrift25"/>
      </w:pPr>
      <w:bookmarkStart w:id="119" w:name="_Toc208244466"/>
      <w:r>
        <w:t>II.13</w:t>
      </w:r>
      <w:r>
        <w:tab/>
        <w:t>Z 07.01.4 FUNC 1 CM</w:t>
      </w:r>
      <w:bookmarkEnd w:id="119"/>
    </w:p>
    <w:p w14:paraId="7FE1BC65" w14:textId="77777777" w:rsidR="00FE5D64" w:rsidRDefault="00FE5D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E5D64"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FE5D64" w:rsidRDefault="00E40776">
            <w:pPr>
              <w:pStyle w:val="P68B1DB1-TableParagraph17"/>
              <w:spacing w:before="108"/>
              <w:ind w:left="85"/>
              <w:jc w:val="both"/>
            </w:pPr>
            <w:r>
              <w:t>Колони</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FE5D64" w:rsidRDefault="00E40776">
            <w:pPr>
              <w:pStyle w:val="P68B1DB1-TableParagraph17"/>
              <w:spacing w:before="108"/>
              <w:ind w:left="85" w:right="1"/>
              <w:jc w:val="both"/>
            </w:pPr>
            <w:r>
              <w:t>Указания</w:t>
            </w:r>
          </w:p>
        </w:tc>
      </w:tr>
      <w:tr w:rsidR="00FE5D64"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FE5D64" w:rsidRDefault="00E40776">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FE5D64" w:rsidRDefault="00E40776">
            <w:pPr>
              <w:pStyle w:val="P68B1DB1-TableParagraph14"/>
              <w:spacing w:before="108"/>
              <w:ind w:left="85"/>
              <w:jc w:val="both"/>
              <w:rPr>
                <w:bCs/>
              </w:rPr>
            </w:pPr>
            <w:r>
              <w:t>Описание на икономическата функция</w:t>
            </w:r>
          </w:p>
          <w:p w14:paraId="7FE1BC6B" w14:textId="673475F1" w:rsidR="00FE5D64" w:rsidRDefault="00E40776">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Когато икономическата функция е от вида „Други“ (</w:t>
            </w:r>
            <w:r>
              <w:t xml:space="preserve">Z 07.01.4 FUNC 1 CM </w:t>
            </w:r>
            <w:r>
              <w:rPr>
                <w:rFonts w:ascii="Times New Roman" w:eastAsia="Cambria" w:hAnsi="Times New Roman" w:cs="Times New Roman"/>
                <w:color w:val="000000" w:themeColor="text1"/>
                <w:sz w:val="20"/>
                <w:szCs w:val="20"/>
              </w:rPr>
              <w:t xml:space="preserve">r0290 — r0310), се предоставя описание на тази функция. </w:t>
            </w:r>
          </w:p>
        </w:tc>
      </w:tr>
      <w:tr w:rsidR="00FE5D64"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FE5D64" w:rsidRDefault="00E40776">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FE5D64" w:rsidRDefault="00E40776">
            <w:pPr>
              <w:pStyle w:val="P68B1DB1-TableParagraph14"/>
              <w:spacing w:before="108"/>
              <w:ind w:left="85"/>
              <w:jc w:val="both"/>
              <w:rPr>
                <w:bCs/>
              </w:rPr>
            </w:pPr>
            <w:r>
              <w:t xml:space="preserve">Пазарен дял </w:t>
            </w:r>
          </w:p>
          <w:p w14:paraId="7FE1BC6F" w14:textId="629D801B" w:rsidR="00FE5D64" w:rsidRDefault="00E40776">
            <w:pPr>
              <w:pStyle w:val="P68B1DB1-TableParagraph17"/>
              <w:spacing w:before="108"/>
              <w:ind w:left="85"/>
            </w:pPr>
            <w:r>
              <w:t>Приблизителна оценка на пазарния дял на институцията или групата за икономическата функция в съответната държава или географска област. Процент от общия пазар по отношение на условната стойност на дериватите; балансовата стойност за вторичните пазари и приходите от такси за първичните пазари.</w:t>
            </w:r>
          </w:p>
        </w:tc>
      </w:tr>
      <w:tr w:rsidR="00FE5D64"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FE5D64" w:rsidRDefault="00E40776">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FE5D64" w:rsidRDefault="00E40776">
            <w:pPr>
              <w:pStyle w:val="P68B1DB1-TableParagraph14"/>
              <w:spacing w:before="108"/>
              <w:rPr>
                <w:bCs/>
              </w:rPr>
            </w:pPr>
            <w:r>
              <w:t>Условна стойност</w:t>
            </w:r>
          </w:p>
          <w:p w14:paraId="7FE1BC73" w14:textId="77777777" w:rsidR="00FE5D64" w:rsidRDefault="00E40776">
            <w:pPr>
              <w:pStyle w:val="P68B1DB1-TableParagraph17"/>
              <w:spacing w:before="108"/>
            </w:pPr>
            <w:r>
              <w:t xml:space="preserve">брутната номинална сума на всички сделки, сключени и все още неуредени към референтната дата. </w:t>
            </w:r>
          </w:p>
          <w:p w14:paraId="7FE1BC74" w14:textId="77777777" w:rsidR="00FE5D64" w:rsidRDefault="00E40776">
            <w:pPr>
              <w:pStyle w:val="P68B1DB1-TableParagraph17"/>
              <w:spacing w:before="108"/>
            </w:pPr>
            <w:r>
              <w:t>Референтни документи: За определението вж. FINREP, приложение V, част 2, параграф 133 за данните вж. FINREP, приложение III; IV и V:</w:t>
            </w:r>
          </w:p>
          <w:p w14:paraId="7FE1BC75" w14:textId="77777777" w:rsidR="00FE5D64" w:rsidRDefault="00E40776">
            <w:pPr>
              <w:pStyle w:val="P68B1DB1-TableParagraph17"/>
              <w:spacing w:before="108"/>
            </w:pPr>
            <w:r>
              <w:t>— Деривати общо (4.1—4.2): Образец F 10.00 колона 030 ред 290.</w:t>
            </w:r>
          </w:p>
          <w:p w14:paraId="7FE1BC76" w14:textId="77777777" w:rsidR="00FE5D64" w:rsidRDefault="00E40776">
            <w:pPr>
              <w:pStyle w:val="P68B1DB1-TableParagraph17"/>
              <w:spacing w:before="108"/>
            </w:pPr>
            <w:r>
              <w:t>— Извънборсови деривативни инструменти (4.1): Образец F 10.00 колона 030 редове 300+ 310+ 320.</w:t>
            </w:r>
          </w:p>
        </w:tc>
      </w:tr>
      <w:tr w:rsidR="00FE5D64"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FE5D64" w:rsidRDefault="00E40776">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FE5D64" w:rsidRDefault="00E40776">
            <w:pPr>
              <w:pStyle w:val="P68B1DB1-TableParagraph14"/>
              <w:spacing w:before="108"/>
              <w:rPr>
                <w:bCs/>
              </w:rPr>
            </w:pPr>
            <w:r>
              <w:t>Балансова стойност</w:t>
            </w:r>
          </w:p>
          <w:p w14:paraId="7FE1BC7A" w14:textId="77777777" w:rsidR="00FE5D64" w:rsidRDefault="00E40776">
            <w:pPr>
              <w:pStyle w:val="P68B1DB1-TableParagraph17"/>
              <w:spacing w:before="108"/>
            </w:pPr>
            <w:r>
              <w:t xml:space="preserve">Балансова стойност на активи — балансовата стойност, която се отчита в актива на счетоводния баланса, включително начислената лихва [FINREP: Приложение V, част 1, </w:t>
            </w:r>
            <w:r>
              <w:lastRenderedPageBreak/>
              <w:t>параграф 27] за капиталовите инструменти и дълговите ценни книжа [FINREP: Приложение V, част 1, параграф 31], класифицирани като „Държани за търгуване“ [FINREP: Приложение V, част 1, точка 15, буква а) и параграф 16, буква а)].</w:t>
            </w:r>
          </w:p>
          <w:p w14:paraId="7FE1BC7B" w14:textId="77777777" w:rsidR="00FE5D64" w:rsidRDefault="00E40776">
            <w:pPr>
              <w:pStyle w:val="P68B1DB1-TableParagraph17"/>
              <w:spacing w:before="108"/>
            </w:pPr>
            <w:r>
              <w:t>Референтен номер: INREP: Приложение III, образец F 04.01, колона 010, редове 010+ 060+ 120.</w:t>
            </w:r>
          </w:p>
        </w:tc>
      </w:tr>
      <w:tr w:rsidR="00FE5D64"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FE5D64" w:rsidRDefault="00E40776">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FE5D64" w:rsidRDefault="00E40776">
            <w:pPr>
              <w:pStyle w:val="P68B1DB1-TableParagraph14"/>
              <w:spacing w:before="108"/>
              <w:jc w:val="both"/>
              <w:rPr>
                <w:bCs/>
              </w:rPr>
            </w:pPr>
            <w:r>
              <w:t>Приходи от хонорари</w:t>
            </w:r>
          </w:p>
          <w:p w14:paraId="7FE1BC7F" w14:textId="77777777" w:rsidR="00FE5D64" w:rsidRDefault="00E40776">
            <w:pPr>
              <w:pStyle w:val="P68B1DB1-TableParagraph13"/>
              <w:spacing w:before="108"/>
              <w:jc w:val="both"/>
            </w:pPr>
            <w:r>
              <w:t>Такси и комисиони, получени за участие в поемането или емитирането на ценни книжа, които не са поети или емитирани от институцията.</w:t>
            </w:r>
          </w:p>
          <w:p w14:paraId="7FE1BC80" w14:textId="77777777" w:rsidR="00FE5D64" w:rsidRDefault="00E40776">
            <w:pPr>
              <w:pStyle w:val="P68B1DB1-TableParagraph13"/>
              <w:spacing w:before="108"/>
              <w:jc w:val="both"/>
            </w:pPr>
            <w:r>
              <w:t>Референтен номер: INREP: Приложения III и IV, образец F 22.01, колона 010, редове 030+ 180.</w:t>
            </w:r>
          </w:p>
        </w:tc>
      </w:tr>
      <w:tr w:rsidR="00FE5D64"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FE5D64" w:rsidRDefault="00E40776">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FE5D64" w:rsidRDefault="00E40776">
            <w:pPr>
              <w:pStyle w:val="P68B1DB1-TableParagraph14"/>
              <w:spacing w:before="108"/>
              <w:jc w:val="both"/>
              <w:rPr>
                <w:bCs/>
              </w:rPr>
            </w:pPr>
            <w:r>
              <w:t>Трансгранична стойност</w:t>
            </w:r>
          </w:p>
          <w:p w14:paraId="7FE1BC84" w14:textId="4F4878AE" w:rsidR="00FE5D64" w:rsidRDefault="00E40776">
            <w:pPr>
              <w:pStyle w:val="P68B1DB1-TableParagraph13"/>
              <w:spacing w:before="108"/>
              <w:jc w:val="both"/>
            </w:pPr>
            <w:r>
              <w:t xml:space="preserve">Деривати: непогасената условна стойност извън държавата по произход или съответната държава. </w:t>
            </w:r>
          </w:p>
          <w:p w14:paraId="7FE1BC85" w14:textId="77777777" w:rsidR="00FE5D64" w:rsidRDefault="00E40776">
            <w:pPr>
              <w:pStyle w:val="P68B1DB1-TableParagraph13"/>
              <w:spacing w:before="108"/>
              <w:jc w:val="both"/>
            </w:pPr>
            <w:r>
              <w:t>Вторични пазари: брутна балансова стойност, непогасена извън държавата по произход или съответната държава. Справочна информация за контекста: FINREP приложение III, таблица 20.04, колона 011, редове 040 + 080, всички държави с изключение на държавата по произход или съответната държава.</w:t>
            </w:r>
          </w:p>
          <w:p w14:paraId="7FE1BC86" w14:textId="68837303" w:rsidR="00FE5D64" w:rsidRDefault="00E40776">
            <w:pPr>
              <w:pStyle w:val="P68B1DB1-TableParagraph13"/>
              <w:spacing w:before="108"/>
              <w:jc w:val="both"/>
            </w:pPr>
            <w:r>
              <w:t>Първични пазари: приходите от такси, генерирани извън държавата по произход или съответната държава.</w:t>
            </w:r>
          </w:p>
        </w:tc>
      </w:tr>
      <w:tr w:rsidR="00FE5D64"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FE5D64" w:rsidRDefault="00E40776">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FE5D64" w:rsidRDefault="00E40776">
            <w:pPr>
              <w:pStyle w:val="P68B1DB1-TableParagraph14"/>
              <w:spacing w:before="108"/>
              <w:jc w:val="both"/>
              <w:rPr>
                <w:bCs/>
              </w:rPr>
            </w:pPr>
            <w:r>
              <w:t>Брой контрагенти ИЛИ операции.</w:t>
            </w:r>
          </w:p>
          <w:p w14:paraId="7FE1BC8A" w14:textId="77777777" w:rsidR="00FE5D64" w:rsidRDefault="00E40776">
            <w:pPr>
              <w:pStyle w:val="P68B1DB1-TableParagraph13"/>
              <w:spacing w:before="108"/>
              <w:jc w:val="both"/>
              <w:rPr>
                <w:b/>
                <w:bCs/>
              </w:rPr>
            </w:pPr>
            <w:r>
              <w:t>За деривати и вторични пазари — общ брой контрагенти. За първичните пазари — общ брой на поетите сделки.</w:t>
            </w:r>
          </w:p>
        </w:tc>
      </w:tr>
      <w:tr w:rsidR="00FE5D64"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FE5D64" w:rsidRDefault="00E40776">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FE5D64" w:rsidRDefault="00E40776">
            <w:pPr>
              <w:pStyle w:val="P68B1DB1-TableParagraph14"/>
              <w:spacing w:before="108"/>
              <w:jc w:val="both"/>
              <w:rPr>
                <w:bCs/>
              </w:rPr>
            </w:pPr>
            <w:r>
              <w:t>Анализи на въздействието и заменяемостта</w:t>
            </w:r>
          </w:p>
          <w:p w14:paraId="7FE1BC8E" w14:textId="77777777" w:rsidR="00FE5D64" w:rsidRDefault="00E40776">
            <w:pPr>
              <w:pStyle w:val="P68B1DB1-TableParagraph13"/>
              <w:spacing w:before="108"/>
              <w:jc w:val="both"/>
            </w:pPr>
            <w:r>
              <w:t>Критериите за оценка на въздействието върху трети страни включват следните елементи в съответствие с делегиран регламент (ЕС) 2016/778 на Комисията относно критичните функции:</w:t>
            </w:r>
          </w:p>
          <w:p w14:paraId="7FE1BC8F" w14:textId="77777777" w:rsidR="00FE5D64" w:rsidRDefault="00E40776">
            <w:pPr>
              <w:pStyle w:val="P68B1DB1-ListParagraph38"/>
              <w:numPr>
                <w:ilvl w:val="0"/>
                <w:numId w:val="131"/>
              </w:numPr>
              <w:spacing w:line="276" w:lineRule="auto"/>
            </w:pPr>
            <w:r>
              <w:t>естеството и глобалния, националния или регионалния обхват на дейността, както и обема и броя на трансакциите; броя на клиентите и контрагентите; броя на клиентите, за които институцията е единственият или основният банков партньор;</w:t>
            </w:r>
          </w:p>
          <w:p w14:paraId="7FE1BC90" w14:textId="77777777" w:rsidR="00FE5D64" w:rsidRDefault="00E40776">
            <w:pPr>
              <w:pStyle w:val="P68B1DB1-ListParagraph38"/>
              <w:numPr>
                <w:ilvl w:val="0"/>
                <w:numId w:val="131"/>
              </w:numPr>
              <w:spacing w:line="276" w:lineRule="auto"/>
            </w:pPr>
            <w:r>
              <w:t>значението на институцията 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C91" w14:textId="77777777" w:rsidR="00FE5D64" w:rsidRDefault="00E40776">
            <w:pPr>
              <w:pStyle w:val="P68B1DB1-ListParagraph38"/>
              <w:numPr>
                <w:ilvl w:val="0"/>
                <w:numId w:val="131"/>
              </w:numPr>
              <w:spacing w:line="276" w:lineRule="auto"/>
            </w:pPr>
            <w:r>
              <w:t xml:space="preserve">естеството на клиентите и заинтересованите страни, обхванати от функцията — например, но не само, индивидуални клиенти, корпоративни клиенти, междубанкови клиенти, централни клирингови къщи и публични субекти; </w:t>
            </w:r>
          </w:p>
          <w:p w14:paraId="7FE1BC92" w14:textId="77777777" w:rsidR="00FE5D64" w:rsidRDefault="00E40776">
            <w:pPr>
              <w:pStyle w:val="P68B1DB1-ListParagraph38"/>
              <w:numPr>
                <w:ilvl w:val="0"/>
                <w:numId w:val="131"/>
              </w:numPr>
              <w:spacing w:line="276" w:lineRule="auto"/>
            </w:pPr>
            <w:r>
              <w:t>потенциалното сътресение на функционирането на пазарите, инфраструктурите, клиентите и публичните услуги. По-конкретно, оценката може да обхване въздействието върху ликвидността на съответните пазари, въздействието и обхвата на сътресенията в отношенията с клиентите, както и краткосрочните потребности от ликвидност; осезаемостта за контрагентите, клиентите и обществеността; капацитета и бързината на реакция на клиентите; значението за функционирането на други пазари; въздействието върху ликвидността, операц</w:t>
            </w:r>
            <w:r>
              <w:t>иите, структурата на друг пазар; въздействието върху други контрагенти, свързани с основните клиенти, и взаимовръзките на функцията с други услуги.</w:t>
            </w:r>
          </w:p>
          <w:p w14:paraId="7FE1BC93"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FE5D64" w:rsidRDefault="00E40776">
            <w:pPr>
              <w:pStyle w:val="P68B1DB1-TableParagraph17"/>
              <w:spacing w:before="108"/>
              <w:ind w:left="85"/>
              <w:jc w:val="both"/>
            </w:pPr>
            <w:r>
              <w:lastRenderedPageBreak/>
              <w:t>0110 Г. — 0130 Г.</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FE5D64" w:rsidRDefault="00E40776">
            <w:pPr>
              <w:pStyle w:val="P68B1DB1-TableParagraph14"/>
              <w:spacing w:before="108"/>
              <w:jc w:val="both"/>
              <w:rPr>
                <w:bCs/>
              </w:rPr>
            </w:pPr>
            <w:r>
              <w:t xml:space="preserve">Природа и Reach </w:t>
            </w:r>
          </w:p>
          <w:p w14:paraId="7FE1BC97" w14:textId="77777777" w:rsidR="00FE5D64" w:rsidRDefault="00E40776">
            <w:pPr>
              <w:pStyle w:val="P68B1DB1-TableParagraph13"/>
              <w:spacing w:before="108"/>
              <w:jc w:val="both"/>
            </w:pPr>
            <w:r>
              <w:t>Глобалния, националния или регионалния обхват, обем и брой на сделките; броя на клиентите и контрагентите; броя на клиентите, за които институцията е единственият или основният банков партньор;</w:t>
            </w:r>
          </w:p>
        </w:tc>
      </w:tr>
      <w:tr w:rsidR="00FE5D64"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FE5D64" w:rsidRDefault="00E40776">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FE5D64" w:rsidRDefault="00E40776">
            <w:pPr>
              <w:pStyle w:val="P68B1DB1-TableParagraph14"/>
              <w:spacing w:before="108"/>
              <w:jc w:val="both"/>
              <w:rPr>
                <w:bCs/>
              </w:rPr>
            </w:pPr>
            <w:r>
              <w:t>Показател за размера 1</w:t>
            </w:r>
          </w:p>
          <w:p w14:paraId="4965F0DF"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C9B" w14:textId="478A7B58" w:rsidR="00FE5D64" w:rsidRDefault="00E40776">
            <w:pPr>
              <w:pStyle w:val="P68B1DB1-TableParagraph13"/>
              <w:spacing w:before="108"/>
              <w:jc w:val="both"/>
            </w:pPr>
            <w:r>
              <w:t xml:space="preserve"> </w:t>
            </w:r>
          </w:p>
          <w:p w14:paraId="7FE1BC9C" w14:textId="3823487E" w:rsidR="00FE5D64" w:rsidRDefault="00E40776">
            <w:pPr>
              <w:pStyle w:val="P68B1DB1-ListParagraph32"/>
              <w:numPr>
                <w:ilvl w:val="0"/>
                <w:numId w:val="126"/>
              </w:numPr>
              <w:spacing w:line="276" w:lineRule="auto"/>
            </w:pPr>
            <w:r>
              <w:t xml:space="preserve">Експертна оценка на размера на непогасената условна </w:t>
            </w:r>
            <w:r>
              <w:rPr>
                <w:b/>
              </w:rPr>
              <w:t>стойност</w:t>
            </w:r>
            <w:r>
              <w:t xml:space="preserve"> (c0030 за функция с идентификационен номер 4.1 и 4.2); балансова стойност (c0040 за идентификационен номер 4.3); или генерирани приходи от такси (c0050 за ID 4.4) от </w:t>
            </w:r>
            <w:r>
              <w:rPr>
                <w:b/>
              </w:rPr>
              <w:t>глобална</w:t>
            </w:r>
            <w:r>
              <w:t xml:space="preserve"> гледна точка</w:t>
            </w:r>
            <w:r>
              <w:rPr>
                <w:i/>
              </w:rPr>
              <w:t>[равнище, по-високо от съответния пазар. Ако съответният пазар е глобален, тогава размер 1 става излишен и не е необходимо да се докладва]</w:t>
            </w:r>
            <w:r>
              <w:t>:</w:t>
            </w:r>
          </w:p>
          <w:p w14:paraId="7FE1BC9D" w14:textId="77777777" w:rsidR="00FE5D64" w:rsidRDefault="00E40776">
            <w:pPr>
              <w:pStyle w:val="P68B1DB1-TableParagraph33"/>
              <w:spacing w:before="108"/>
              <w:jc w:val="both"/>
              <w:rPr>
                <w:rFonts w:cs="Times New Roman"/>
                <w:color w:val="000000" w:themeColor="text1"/>
              </w:rPr>
            </w:pPr>
            <w:r>
              <w:t>В глобален план колко големи са според Вас общата условна стойност на непогасената условна стойност или генерираната балансова стойност или приходи от такси?</w:t>
            </w:r>
          </w:p>
        </w:tc>
      </w:tr>
      <w:tr w:rsidR="00FE5D64"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FE5D64" w:rsidRDefault="00E40776">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FE5D64" w:rsidRDefault="00E40776">
            <w:pPr>
              <w:pStyle w:val="P68B1DB1-TableParagraph14"/>
              <w:spacing w:before="108"/>
              <w:jc w:val="both"/>
              <w:rPr>
                <w:bCs/>
              </w:rPr>
            </w:pPr>
            <w:r>
              <w:t>Показател за размера 2</w:t>
            </w:r>
          </w:p>
          <w:p w14:paraId="419C7762"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CA1" w14:textId="7FB998B3" w:rsidR="00FE5D64" w:rsidRDefault="00E40776">
            <w:pPr>
              <w:pStyle w:val="P68B1DB1-TableParagraph13"/>
              <w:spacing w:before="108"/>
              <w:jc w:val="both"/>
            </w:pPr>
            <w:r>
              <w:t xml:space="preserve"> </w:t>
            </w:r>
          </w:p>
          <w:p w14:paraId="3C42A32E" w14:textId="77777777" w:rsidR="00FE5D64" w:rsidRDefault="00E40776">
            <w:pPr>
              <w:pStyle w:val="P68B1DB1-ListParagraph32"/>
              <w:numPr>
                <w:ilvl w:val="0"/>
                <w:numId w:val="124"/>
              </w:numPr>
              <w:spacing w:line="276" w:lineRule="auto"/>
            </w:pPr>
            <w:r>
              <w:t xml:space="preserve">Експертна преценка за размера на броя на контрагентите (c0090 за функция ID 4,1, 4.2, 4.3) или </w:t>
            </w:r>
            <w:r>
              <w:rPr>
                <w:b/>
              </w:rPr>
              <w:t>броя</w:t>
            </w:r>
            <w:r>
              <w:t xml:space="preserve"> на поетите сделки (c0100 за ID 4.4) от </w:t>
            </w:r>
            <w:r>
              <w:rPr>
                <w:b/>
              </w:rPr>
              <w:t>национална</w:t>
            </w:r>
            <w:r>
              <w:t xml:space="preserve"> гледна точка [</w:t>
            </w:r>
            <w:r>
              <w:rPr>
                <w:i/>
              </w:rPr>
              <w:t>на равнището на съответния пазар</w:t>
            </w:r>
            <w:r>
              <w:t>]:</w:t>
            </w:r>
          </w:p>
          <w:p w14:paraId="7FE1BCA3" w14:textId="77777777" w:rsidR="00FE5D64" w:rsidRDefault="00E40776">
            <w:pPr>
              <w:pStyle w:val="P68B1DB1-ListParagraph32"/>
              <w:numPr>
                <w:ilvl w:val="1"/>
                <w:numId w:val="124"/>
              </w:numPr>
              <w:spacing w:line="276" w:lineRule="auto"/>
            </w:pPr>
            <w:r>
              <w:t>От национална гледна точка колко голям е приблизителният брой контрагенти</w:t>
            </w:r>
            <w:r>
              <w:rPr>
                <w:i/>
              </w:rPr>
              <w:t xml:space="preserve"> или</w:t>
            </w:r>
            <w:r>
              <w:t xml:space="preserve"> поети сделки от Вашата институция?</w:t>
            </w:r>
          </w:p>
          <w:p w14:paraId="7FE1BCA4"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FE5D64" w:rsidRDefault="00E40776">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FE5D64" w:rsidRDefault="00E40776">
            <w:pPr>
              <w:pStyle w:val="P68B1DB1-TableParagraph14"/>
              <w:spacing w:before="108"/>
              <w:jc w:val="both"/>
              <w:rPr>
                <w:bCs/>
              </w:rPr>
            </w:pPr>
            <w:r>
              <w:t>Трансграничен показател</w:t>
            </w:r>
          </w:p>
          <w:p w14:paraId="7FE1BCA8" w14:textId="77777777" w:rsidR="00FE5D64" w:rsidRDefault="00E40776">
            <w:pPr>
              <w:pStyle w:val="P68B1DB1-TableParagraph13"/>
              <w:spacing w:before="108"/>
              <w:jc w:val="both"/>
            </w:pPr>
            <w:r>
              <w:t>Оценка на относителното значение на трансграничните дейности за различните икономически функции.</w:t>
            </w:r>
          </w:p>
          <w:p w14:paraId="7FE1BCA9" w14:textId="77777777" w:rsidR="00FE5D64" w:rsidRDefault="00E40776">
            <w:pPr>
              <w:pStyle w:val="P68B1DB1-TableParagraph13"/>
              <w:spacing w:before="108"/>
              <w:jc w:val="both"/>
            </w:pPr>
            <w:r>
              <w:t xml:space="preserve">Това не е необходимо да се оценява в случай на доклади, в които съответният пазар се счита за регионален. </w:t>
            </w:r>
          </w:p>
          <w:p w14:paraId="7FE1BCAA" w14:textId="77777777" w:rsidR="00FE5D64" w:rsidRDefault="00E40776">
            <w:pPr>
              <w:pStyle w:val="P68B1DB1-ListParagraph32"/>
              <w:numPr>
                <w:ilvl w:val="0"/>
                <w:numId w:val="118"/>
              </w:numPr>
              <w:rPr>
                <w:i/>
                <w:iCs/>
              </w:rPr>
            </w:pPr>
            <w:r>
              <w:t xml:space="preserve">Дял от дейността на отчитащото се предприятие в други юрисдикции като процент от общата стойност, изразен в условни стойности (деривати), балансова стойност </w:t>
            </w:r>
            <w:r>
              <w:lastRenderedPageBreak/>
              <w:t xml:space="preserve">(вторични пазари), приходи от такси от чуждестранни клиенти (първични пазари). Доклад: </w:t>
            </w:r>
          </w:p>
          <w:p w14:paraId="7FE1BCAB" w14:textId="7D11D6B0" w:rsidR="00FE5D64" w:rsidRDefault="00E40776">
            <w:pPr>
              <w:pStyle w:val="P68B1DB1-ListParagraph32"/>
              <w:numPr>
                <w:ilvl w:val="1"/>
                <w:numId w:val="118"/>
              </w:numPr>
              <w:rPr>
                <w:i/>
                <w:iCs/>
              </w:rPr>
            </w:pPr>
            <w:bookmarkStart w:id="120" w:name="_Hlk194476322"/>
            <w:r>
              <w:t xml:space="preserve">[...] 5 %; </w:t>
            </w:r>
          </w:p>
          <w:p w14:paraId="7FE1BCAC" w14:textId="35A9186D" w:rsidR="00FE5D64" w:rsidRDefault="00E40776">
            <w:pPr>
              <w:pStyle w:val="P68B1DB1-ListParagraph32"/>
              <w:numPr>
                <w:ilvl w:val="1"/>
                <w:numId w:val="118"/>
              </w:numPr>
              <w:rPr>
                <w:i/>
                <w:iCs/>
              </w:rPr>
            </w:pPr>
            <w:r>
              <w:t xml:space="preserve">5 — -15 %; </w:t>
            </w:r>
          </w:p>
          <w:p w14:paraId="7FE1BCAD" w14:textId="54C07240" w:rsidR="00FE5D64" w:rsidRDefault="00E40776">
            <w:pPr>
              <w:pStyle w:val="P68B1DB1-ListParagraph32"/>
              <w:numPr>
                <w:ilvl w:val="1"/>
                <w:numId w:val="118"/>
              </w:numPr>
              <w:rPr>
                <w:i/>
                <w:iCs/>
              </w:rPr>
            </w:pPr>
            <w:r>
              <w:t xml:space="preserve">16—25 %, </w:t>
            </w:r>
          </w:p>
          <w:p w14:paraId="7FE1BCAE" w14:textId="34AC2F5B" w:rsidR="00FE5D64" w:rsidRDefault="00E40776">
            <w:pPr>
              <w:pStyle w:val="P68B1DB1-ListParagraph32"/>
              <w:numPr>
                <w:ilvl w:val="1"/>
                <w:numId w:val="118"/>
              </w:numPr>
              <w:rPr>
                <w:i/>
                <w:iCs/>
              </w:rPr>
            </w:pPr>
            <w:r>
              <w:t xml:space="preserve">&gt; 25 %. </w:t>
            </w:r>
          </w:p>
          <w:bookmarkEnd w:id="120"/>
          <w:p w14:paraId="7FE1BCAF"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FE5D64" w:rsidRDefault="00E40776">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FE5D64" w:rsidRDefault="00E40776">
            <w:pPr>
              <w:pStyle w:val="P68B1DB1-TableParagraph14"/>
              <w:spacing w:before="108"/>
              <w:jc w:val="both"/>
              <w:rPr>
                <w:bCs/>
              </w:rPr>
            </w:pPr>
            <w:r>
              <w:t xml:space="preserve">Уместност — </w:t>
            </w:r>
          </w:p>
          <w:p w14:paraId="7FE1BCB3" w14:textId="77777777" w:rsidR="00FE5D64" w:rsidRDefault="00E40776">
            <w:pPr>
              <w:pStyle w:val="P68B1DB1-TableParagraph13"/>
              <w:spacing w:before="108"/>
              <w:jc w:val="both"/>
            </w:pPr>
            <w:r>
              <w:t>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CB4" w14:textId="77777777" w:rsidR="00FE5D64" w:rsidRDefault="00E40776">
            <w:pPr>
              <w:pStyle w:val="P68B1DB1-TableParagraph14"/>
              <w:spacing w:before="108"/>
              <w:jc w:val="both"/>
              <w:rPr>
                <w:bCs/>
              </w:rPr>
            </w:pPr>
            <w:r>
              <w:t>Пазарен дял</w:t>
            </w:r>
          </w:p>
          <w:p w14:paraId="7FE1BCB5" w14:textId="77777777" w:rsidR="00FE5D64" w:rsidRDefault="00E40776">
            <w:pPr>
              <w:pStyle w:val="P68B1DB1-TableParagraph13"/>
              <w:spacing w:before="108"/>
              <w:jc w:val="both"/>
            </w:pPr>
            <w:r>
              <w:t xml:space="preserve">Преценете колко важен е пазарният дял на отчитащия се субект в сравнение с националния или друг съответен пазар, както е посочено в образеца. Тази оценка е изразена качествено по следния начин: </w:t>
            </w:r>
          </w:p>
          <w:p w14:paraId="7FE1BCB6" w14:textId="3D988DC8" w:rsidR="00FE5D64" w:rsidRDefault="00E40776">
            <w:pPr>
              <w:pStyle w:val="P68B1DB1-ListParagraph38"/>
              <w:numPr>
                <w:ilvl w:val="0"/>
                <w:numId w:val="276"/>
              </w:numPr>
              <w:spacing w:line="276" w:lineRule="auto"/>
              <w:jc w:val="both"/>
            </w:pPr>
            <w:r>
              <w:t>Висок, ако пазарният дял е голям</w:t>
            </w:r>
          </w:p>
          <w:p w14:paraId="7FE1BCB7" w14:textId="2084195C" w:rsidR="00FE5D64" w:rsidRDefault="00E40776">
            <w:pPr>
              <w:pStyle w:val="P68B1DB1-ListParagraph38"/>
              <w:numPr>
                <w:ilvl w:val="0"/>
                <w:numId w:val="276"/>
              </w:numPr>
              <w:spacing w:line="276" w:lineRule="auto"/>
              <w:jc w:val="both"/>
            </w:pPr>
            <w:r>
              <w:t>Средно висок, ако пазарният дял е среден</w:t>
            </w:r>
          </w:p>
          <w:p w14:paraId="7FE1BCB8" w14:textId="06CDA0E3" w:rsidR="00FE5D64" w:rsidRDefault="00E40776">
            <w:pPr>
              <w:pStyle w:val="P68B1DB1-ListParagraph38"/>
              <w:numPr>
                <w:ilvl w:val="0"/>
                <w:numId w:val="276"/>
              </w:numPr>
              <w:spacing w:line="276" w:lineRule="auto"/>
              <w:jc w:val="both"/>
            </w:pPr>
            <w:r>
              <w:t xml:space="preserve">Средно нисък, ако пазарният дял е малък, или </w:t>
            </w:r>
          </w:p>
          <w:p w14:paraId="7FE1BCB9" w14:textId="19A1DC5D" w:rsidR="00FE5D64" w:rsidRDefault="00E40776">
            <w:pPr>
              <w:pStyle w:val="P68B1DB1-ListParagraph38"/>
              <w:numPr>
                <w:ilvl w:val="0"/>
                <w:numId w:val="276"/>
              </w:numPr>
              <w:spacing w:line="276" w:lineRule="auto"/>
              <w:jc w:val="both"/>
            </w:pPr>
            <w:r>
              <w:t xml:space="preserve">Ниско“, ако пазарният дял е незначителен. </w:t>
            </w:r>
          </w:p>
          <w:p w14:paraId="7FE1BCBA" w14:textId="77777777" w:rsidR="00FE5D64" w:rsidRDefault="00E40776">
            <w:pPr>
              <w:pStyle w:val="P68B1DB1-TableParagraph13"/>
              <w:spacing w:before="108"/>
              <w:jc w:val="both"/>
            </w:pPr>
            <w:r>
              <w:t xml:space="preserve">При тази оценка се взема предвид пазарната структура на държавата на отчитащото се предприятие (или друг съответен пазар) и пазарните дялове, отчетени частично. </w:t>
            </w:r>
          </w:p>
          <w:p w14:paraId="7FE1BCBB" w14:textId="77777777" w:rsidR="00FE5D64" w:rsidRDefault="00E40776">
            <w:pPr>
              <w:pStyle w:val="P68B1DB1-TableParagraph13"/>
              <w:spacing w:before="108"/>
              <w:jc w:val="both"/>
            </w:pPr>
            <w:r>
              <w:t>2.Количествени данни:</w:t>
            </w:r>
          </w:p>
          <w:p w14:paraId="7FE1BCBC" w14:textId="77777777" w:rsidR="00FE5D64" w:rsidRDefault="00E40776">
            <w:pPr>
              <w:pStyle w:val="P68B1DB1-ListParagraph32"/>
              <w:numPr>
                <w:ilvl w:val="0"/>
                <w:numId w:val="117"/>
              </w:numPr>
              <w:jc w:val="both"/>
              <w:rPr>
                <w:i/>
                <w:iCs/>
              </w:rPr>
            </w:pPr>
            <w:r>
              <w:t xml:space="preserve">Експертна оценка на размера на </w:t>
            </w:r>
            <w:r>
              <w:rPr>
                <w:b/>
              </w:rPr>
              <w:t xml:space="preserve">националния </w:t>
            </w:r>
            <w:r>
              <w:t>пазарен дял (докладвана в c0020, освен в случаите, когато докладът е предоставен за различно съответно пазарно равнище, в който случай се очаква оценка на съответния пазарен дял).</w:t>
            </w:r>
          </w:p>
          <w:p w14:paraId="7FE1BCBD"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CBE"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FE5D64" w:rsidRDefault="00E40776">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FE5D64" w:rsidRDefault="00E40776">
            <w:pPr>
              <w:pStyle w:val="P68B1DB1-TableParagraph14"/>
              <w:spacing w:before="108"/>
              <w:jc w:val="both"/>
              <w:rPr>
                <w:bCs/>
              </w:rPr>
            </w:pPr>
            <w:r>
              <w:t>Пазарна структура — концентрация на пазара</w:t>
            </w:r>
          </w:p>
          <w:p w14:paraId="7FE1BCC2" w14:textId="77777777" w:rsidR="00FE5D64" w:rsidRDefault="00E40776">
            <w:pPr>
              <w:pStyle w:val="P68B1DB1-TableParagraph13"/>
              <w:spacing w:before="108"/>
              <w:jc w:val="both"/>
            </w:pPr>
            <w:r>
              <w:t xml:space="preserve">Концентрацията на пазара, измерена чрез броя на конкурентите, които понастоящем функционират </w:t>
            </w:r>
          </w:p>
          <w:p w14:paraId="7FE1BCC3" w14:textId="77777777" w:rsidR="00FE5D64" w:rsidRDefault="00E40776">
            <w:pPr>
              <w:pStyle w:val="P68B1DB1-TableParagraph13"/>
              <w:spacing w:before="108"/>
              <w:jc w:val="both"/>
            </w:pPr>
            <w:r>
              <w:t xml:space="preserve">сходни икономически функции и/или предлагане на сходни услуги при равни условия (т.е. </w:t>
            </w:r>
          </w:p>
          <w:p w14:paraId="7FE1BCC4" w14:textId="77777777" w:rsidR="00FE5D64" w:rsidRDefault="00E40776">
            <w:pPr>
              <w:pStyle w:val="P68B1DB1-TableParagraph13"/>
              <w:spacing w:before="108"/>
              <w:jc w:val="both"/>
            </w:pPr>
            <w:r>
              <w:t xml:space="preserve">съпоставима степен и качество и на сравнима цена), които потенциално ще поемат </w:t>
            </w:r>
          </w:p>
          <w:p w14:paraId="7FE1BCC5" w14:textId="77777777" w:rsidR="00FE5D64" w:rsidRDefault="00E40776">
            <w:pPr>
              <w:pStyle w:val="P68B1DB1-TableParagraph13"/>
              <w:spacing w:before="108"/>
              <w:jc w:val="both"/>
            </w:pPr>
            <w:r>
              <w:t xml:space="preserve">(част от) клиентите и/или стопанската дейност на отчитащото се предприятие в рамките на разумен срок. </w:t>
            </w:r>
          </w:p>
          <w:p w14:paraId="7FE1BCC6" w14:textId="77777777" w:rsidR="00FE5D64" w:rsidRDefault="00E40776">
            <w:pPr>
              <w:pStyle w:val="P68B1DB1-TableParagraph13"/>
              <w:spacing w:before="108"/>
              <w:jc w:val="both"/>
            </w:pPr>
            <w:r>
              <w:t xml:space="preserve">Това се отчита в групи, които са еднакви за всяка подфункция. </w:t>
            </w:r>
          </w:p>
          <w:p w14:paraId="6E6D19F8" w14:textId="77777777" w:rsidR="00FE5D64" w:rsidRDefault="00E40776">
            <w:pPr>
              <w:pStyle w:val="P68B1DB1-ListParagraph32"/>
              <w:numPr>
                <w:ilvl w:val="0"/>
                <w:numId w:val="277"/>
              </w:numPr>
              <w:jc w:val="both"/>
            </w:pPr>
            <w:r>
              <w:t xml:space="preserve">&gt; 20 конкуренти; </w:t>
            </w:r>
          </w:p>
          <w:p w14:paraId="6A8A3C5F" w14:textId="77777777" w:rsidR="00FE5D64" w:rsidRDefault="00E40776">
            <w:pPr>
              <w:pStyle w:val="P68B1DB1-ListParagraph32"/>
              <w:numPr>
                <w:ilvl w:val="0"/>
                <w:numId w:val="277"/>
              </w:numPr>
              <w:jc w:val="both"/>
            </w:pPr>
            <w:r>
              <w:t xml:space="preserve">11—20 конкуренти; </w:t>
            </w:r>
          </w:p>
          <w:p w14:paraId="543AFD53" w14:textId="77777777" w:rsidR="00FE5D64" w:rsidRDefault="00E40776">
            <w:pPr>
              <w:pStyle w:val="P68B1DB1-ListParagraph32"/>
              <w:numPr>
                <w:ilvl w:val="0"/>
                <w:numId w:val="277"/>
              </w:numPr>
              <w:jc w:val="both"/>
            </w:pPr>
            <w:r>
              <w:t xml:space="preserve">От 5 до 10 състезатели, </w:t>
            </w:r>
          </w:p>
          <w:p w14:paraId="761539CF" w14:textId="77777777" w:rsidR="00FE5D64" w:rsidRDefault="00E40776">
            <w:pPr>
              <w:pStyle w:val="P68B1DB1-ListParagraph32"/>
              <w:numPr>
                <w:ilvl w:val="0"/>
                <w:numId w:val="277"/>
              </w:numPr>
              <w:jc w:val="both"/>
              <w:rPr>
                <w:b/>
                <w:bCs/>
                <w:color w:val="000000" w:themeColor="text1"/>
              </w:rPr>
            </w:pPr>
            <w:r>
              <w:t>„5 конкуренти“</w:t>
            </w:r>
          </w:p>
          <w:p w14:paraId="7FE1BCCA" w14:textId="06EC2320" w:rsidR="00FE5D64" w:rsidRDefault="00FE5D64">
            <w:pPr>
              <w:jc w:val="both"/>
              <w:rPr>
                <w:rFonts w:ascii="Times New Roman" w:hAnsi="Times New Roman"/>
                <w:color w:val="000000" w:themeColor="text1"/>
                <w:sz w:val="20"/>
                <w:szCs w:val="20"/>
              </w:rPr>
            </w:pPr>
          </w:p>
        </w:tc>
      </w:tr>
      <w:tr w:rsidR="00FE5D64"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FE5D64" w:rsidRDefault="00E40776">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FE5D64" w:rsidRDefault="00E40776">
            <w:pPr>
              <w:pStyle w:val="P68B1DB1-TableParagraph14"/>
              <w:spacing w:before="108"/>
              <w:jc w:val="both"/>
              <w:rPr>
                <w:bCs/>
              </w:rPr>
            </w:pPr>
            <w:r>
              <w:t>График — очаквано време за заместване</w:t>
            </w:r>
          </w:p>
          <w:p w14:paraId="7FE1BCCE" w14:textId="77777777" w:rsidR="00FE5D64" w:rsidRDefault="00E40776">
            <w:pPr>
              <w:pStyle w:val="P68B1DB1-TableParagraph13"/>
              <w:spacing w:before="108"/>
              <w:jc w:val="both"/>
            </w:pPr>
            <w:r>
              <w:t>Оценка на времето, необходимо за икономическата функция, предоставена от докладването</w:t>
            </w:r>
          </w:p>
          <w:p w14:paraId="7FE1BCCF" w14:textId="77777777" w:rsidR="00FE5D64" w:rsidRDefault="00E40776">
            <w:pPr>
              <w:pStyle w:val="P68B1DB1-TableParagraph13"/>
              <w:spacing w:before="108"/>
              <w:jc w:val="both"/>
            </w:pPr>
            <w:r>
              <w:t xml:space="preserve">субект, който трябва да бъде поет от пазара в кризисна ситуация. Това включва: </w:t>
            </w:r>
          </w:p>
          <w:p w14:paraId="7FE1BCD0" w14:textId="77777777" w:rsidR="00FE5D64" w:rsidRDefault="00E40776">
            <w:pPr>
              <w:pStyle w:val="P68B1DB1-ListParagraph38"/>
              <w:numPr>
                <w:ilvl w:val="0"/>
                <w:numId w:val="274"/>
              </w:numPr>
              <w:jc w:val="both"/>
            </w:pPr>
            <w:r>
              <w:t xml:space="preserve">очакваното време, необходимо на един или няколко конкурента (ите) за изпълнение на правните и техническите стъпки за поемане на функцията; както и  </w:t>
            </w:r>
          </w:p>
          <w:p w14:paraId="7FE1BCD1" w14:textId="77777777" w:rsidR="00FE5D64" w:rsidRDefault="00E40776">
            <w:pPr>
              <w:pStyle w:val="P68B1DB1-ListParagraph38"/>
              <w:numPr>
                <w:ilvl w:val="0"/>
                <w:numId w:val="274"/>
              </w:numPr>
              <w:jc w:val="both"/>
            </w:pPr>
            <w:r>
              <w:lastRenderedPageBreak/>
              <w:t xml:space="preserve">времето, необходимо на ползвателите на услугата да се преместят при друг доставчик на услуги. </w:t>
            </w:r>
          </w:p>
          <w:p w14:paraId="7FE1BCD2"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CD3" w14:textId="77777777" w:rsidR="00FE5D64" w:rsidRDefault="00E40776">
            <w:pPr>
              <w:pStyle w:val="P68B1DB1-TableParagraph13"/>
              <w:spacing w:before="108"/>
              <w:jc w:val="both"/>
            </w:pPr>
            <w:r>
              <w:t>Като заместител на първия, представете приблизителна оценка на времето, необходимо на отчитащия се субект да поеме в собствената си стопанска дейност (част от) услугата, предоставяна от друга институция, на разумна цена в кризисна ситуация. Докладвайте очакваното време за заместване в групите, посочени в образеца:</w:t>
            </w:r>
          </w:p>
          <w:p w14:paraId="7FE1BCD4" w14:textId="77777777" w:rsidR="00FE5D64" w:rsidRDefault="00E40776">
            <w:pPr>
              <w:pStyle w:val="P68B1DB1-Normal31"/>
              <w:jc w:val="both"/>
            </w:pPr>
            <w:r>
              <w:t xml:space="preserve">Кофи: </w:t>
            </w:r>
          </w:p>
          <w:p w14:paraId="7FE1BCD5" w14:textId="275C74C6" w:rsidR="00FE5D64" w:rsidRDefault="00E40776">
            <w:pPr>
              <w:pStyle w:val="P68B1DB1-ListParagraph32"/>
              <w:numPr>
                <w:ilvl w:val="0"/>
                <w:numId w:val="286"/>
              </w:numPr>
              <w:jc w:val="both"/>
            </w:pPr>
            <w:r>
              <w:t xml:space="preserve">[...] 1 седмица; </w:t>
            </w:r>
          </w:p>
          <w:p w14:paraId="7FE1BCD6" w14:textId="712CDEEF" w:rsidR="00FE5D64" w:rsidRDefault="00E40776">
            <w:pPr>
              <w:pStyle w:val="P68B1DB1-ListParagraph32"/>
              <w:numPr>
                <w:ilvl w:val="0"/>
                <w:numId w:val="286"/>
              </w:numPr>
              <w:jc w:val="both"/>
            </w:pPr>
            <w:r>
              <w:t xml:space="preserve">1 седмица — 1 месец; </w:t>
            </w:r>
          </w:p>
          <w:p w14:paraId="7FE1BCD7" w14:textId="5ECCCD1B" w:rsidR="00FE5D64" w:rsidRDefault="00E40776">
            <w:pPr>
              <w:pStyle w:val="P68B1DB1-ListParagraph32"/>
              <w:numPr>
                <w:ilvl w:val="0"/>
                <w:numId w:val="286"/>
              </w:numPr>
              <w:jc w:val="both"/>
            </w:pPr>
            <w:r>
              <w:t xml:space="preserve">&gt; 1 месеца — 6 месеца, </w:t>
            </w:r>
          </w:p>
          <w:p w14:paraId="7FE1BCD8" w14:textId="66817B18" w:rsidR="00FE5D64" w:rsidRDefault="00E40776">
            <w:pPr>
              <w:pStyle w:val="P68B1DB1-ListParagraph32"/>
              <w:numPr>
                <w:ilvl w:val="0"/>
                <w:numId w:val="286"/>
              </w:numPr>
              <w:jc w:val="both"/>
            </w:pPr>
            <w:r>
              <w:t xml:space="preserve">&gt; 6 месеца  </w:t>
            </w:r>
          </w:p>
          <w:p w14:paraId="7FE1BCD9"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FE5D64" w:rsidRDefault="00E40776">
            <w:pPr>
              <w:pStyle w:val="P68B1DB1-TableParagraph17"/>
              <w:spacing w:before="108"/>
              <w:ind w:left="85"/>
              <w:jc w:val="both"/>
            </w:pPr>
            <w:r>
              <w:lastRenderedPageBreak/>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FE5D64" w:rsidRDefault="00E40776">
            <w:pPr>
              <w:pStyle w:val="P68B1DB1-TableParagraph14"/>
              <w:spacing w:before="108"/>
              <w:jc w:val="both"/>
              <w:rPr>
                <w:bCs/>
              </w:rPr>
            </w:pPr>
            <w:r>
              <w:t>Способност за заместване</w:t>
            </w:r>
          </w:p>
        </w:tc>
      </w:tr>
      <w:tr w:rsidR="00FE5D64"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FE5D64" w:rsidRDefault="00E40776">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FE5D64" w:rsidRDefault="00E40776">
            <w:pPr>
              <w:pStyle w:val="P68B1DB1-TableParagraph14"/>
              <w:spacing w:before="108"/>
              <w:jc w:val="both"/>
              <w:rPr>
                <w:bCs/>
              </w:rPr>
            </w:pPr>
            <w:r>
              <w:t>Правни пречки за навлизане на пазара или разрастване</w:t>
            </w:r>
          </w:p>
          <w:p w14:paraId="7FE1BCE0"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CE1" w14:textId="77777777" w:rsidR="00FE5D64" w:rsidRDefault="00E40776">
            <w:pPr>
              <w:pStyle w:val="P68B1DB1-TableParagraph13"/>
              <w:spacing w:before="108"/>
              <w:jc w:val="both"/>
            </w:pPr>
            <w:r>
              <w:t xml:space="preserve">Правни пречки за конкурентите да предлагат услугата. Правните изисквания за извършване на дейността на кредитните институции (напр. банкови лицензи или капиталови изисквания) не следва да се считат за непреодолими пречки при наличието на алтернативни доставчици. Този показател трябва да се отчита в групи, които са еднакви за всяка подфункция: </w:t>
            </w:r>
          </w:p>
          <w:p w14:paraId="7FE1BCE2" w14:textId="67FD7AF2" w:rsidR="00FE5D64" w:rsidRDefault="00E40776">
            <w:pPr>
              <w:pStyle w:val="P68B1DB1-ListParagraph39"/>
              <w:numPr>
                <w:ilvl w:val="0"/>
                <w:numId w:val="275"/>
              </w:numPr>
              <w:jc w:val="both"/>
            </w:pPr>
            <w:r>
              <w:t xml:space="preserve">няма големи пречки, </w:t>
            </w:r>
          </w:p>
          <w:p w14:paraId="7FE1BCE3" w14:textId="6C8F8F76" w:rsidR="00FE5D64" w:rsidRDefault="00E40776">
            <w:pPr>
              <w:pStyle w:val="P68B1DB1-ListParagraph39"/>
              <w:numPr>
                <w:ilvl w:val="0"/>
                <w:numId w:val="275"/>
              </w:numPr>
              <w:jc w:val="both"/>
            </w:pPr>
            <w:r>
              <w:t xml:space="preserve">някои пречки, </w:t>
            </w:r>
          </w:p>
          <w:p w14:paraId="7FE1BCE4" w14:textId="389397E1" w:rsidR="00FE5D64" w:rsidRDefault="00E40776">
            <w:pPr>
              <w:pStyle w:val="P68B1DB1-ListParagraph39"/>
              <w:numPr>
                <w:ilvl w:val="0"/>
                <w:numId w:val="275"/>
              </w:numPr>
              <w:jc w:val="both"/>
            </w:pPr>
            <w:r>
              <w:t xml:space="preserve">значителни (но непреодолими) бариери, </w:t>
            </w:r>
          </w:p>
          <w:p w14:paraId="7FE1BCE6" w14:textId="5882E7D2" w:rsidR="00FE5D64" w:rsidRDefault="00E40776">
            <w:pPr>
              <w:pStyle w:val="P68B1DB1-ListParagraph8"/>
              <w:numPr>
                <w:ilvl w:val="0"/>
                <w:numId w:val="275"/>
              </w:numPr>
              <w:jc w:val="both"/>
            </w:pPr>
            <w:r>
              <w:t>критични (трудни за преодоляване) бариери.</w:t>
            </w:r>
          </w:p>
        </w:tc>
      </w:tr>
      <w:tr w:rsidR="00FE5D64"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FE5D64" w:rsidRDefault="00E40776">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FE5D64" w:rsidRDefault="00E40776">
            <w:pPr>
              <w:pStyle w:val="P68B1DB1-TableParagraph14"/>
              <w:spacing w:before="108"/>
              <w:jc w:val="both"/>
              <w:rPr>
                <w:bCs/>
              </w:rPr>
            </w:pPr>
            <w:r>
              <w:t>Експлоатационни изисквания за навлизане или разширяване</w:t>
            </w:r>
          </w:p>
          <w:p w14:paraId="7FE1BCEA" w14:textId="77777777" w:rsidR="00FE5D64" w:rsidRDefault="00FE5D64">
            <w:pPr>
              <w:pStyle w:val="TableParagraph"/>
              <w:spacing w:before="108"/>
              <w:jc w:val="both"/>
              <w:rPr>
                <w:rFonts w:ascii="Times New Roman" w:hAnsi="Times New Roman" w:cs="Times New Roman"/>
                <w:color w:val="000000" w:themeColor="text1"/>
                <w:sz w:val="20"/>
                <w:szCs w:val="20"/>
              </w:rPr>
            </w:pPr>
          </w:p>
          <w:p w14:paraId="7FE1BCEB" w14:textId="31044453" w:rsidR="00FE5D64" w:rsidRDefault="00E40776">
            <w:pPr>
              <w:pStyle w:val="P68B1DB1-TableParagraph13"/>
              <w:spacing w:before="108"/>
              <w:jc w:val="both"/>
            </w:pPr>
            <w:r>
              <w:t xml:space="preserve">Организационни, технически и инфраструктурни изисквания за конкурентите да предлагат услугата. Предлагането на услуги, свързани с (под) функцията, изисква доставчиците да инвестират в (нова или допълнителна) инфраструктура или да променят своите организации. Оценява способността на пазара да поеме дадена стопанска дейност, например по отношение на капиталовите изисквания. </w:t>
            </w:r>
          </w:p>
          <w:p w14:paraId="7FE1BCEC" w14:textId="77777777" w:rsidR="00FE5D64" w:rsidRDefault="00E40776">
            <w:pPr>
              <w:pStyle w:val="P68B1DB1-TableParagraph13"/>
              <w:spacing w:before="108"/>
              <w:jc w:val="both"/>
            </w:pPr>
            <w:r>
              <w:t xml:space="preserve">Този показател трябва да се отчита в групи, които са еднакви за всяка подфункция: </w:t>
            </w:r>
          </w:p>
          <w:p w14:paraId="7FE1BCED" w14:textId="5283E021" w:rsidR="00FE5D64" w:rsidRDefault="00E40776">
            <w:pPr>
              <w:pStyle w:val="P68B1DB1-ListParagraph39"/>
              <w:numPr>
                <w:ilvl w:val="0"/>
                <w:numId w:val="278"/>
              </w:numPr>
              <w:jc w:val="both"/>
            </w:pPr>
            <w:r>
              <w:t xml:space="preserve">няма съществени изисквания, </w:t>
            </w:r>
          </w:p>
          <w:p w14:paraId="7FE1BCEE" w14:textId="5ADAB5CD" w:rsidR="00FE5D64" w:rsidRDefault="00E40776">
            <w:pPr>
              <w:pStyle w:val="P68B1DB1-ListParagraph39"/>
              <w:numPr>
                <w:ilvl w:val="0"/>
                <w:numId w:val="278"/>
              </w:numPr>
              <w:jc w:val="both"/>
            </w:pPr>
            <w:r>
              <w:t xml:space="preserve">някои изисквания, </w:t>
            </w:r>
          </w:p>
          <w:p w14:paraId="7FE1BCEF" w14:textId="579CC165" w:rsidR="00FE5D64" w:rsidRDefault="00E40776">
            <w:pPr>
              <w:pStyle w:val="P68B1DB1-ListParagraph39"/>
              <w:numPr>
                <w:ilvl w:val="0"/>
                <w:numId w:val="278"/>
              </w:numPr>
              <w:jc w:val="both"/>
            </w:pPr>
            <w:r>
              <w:t xml:space="preserve">съществени (но непреодолими) изисквания, </w:t>
            </w:r>
          </w:p>
          <w:p w14:paraId="7FE1BCF0" w14:textId="5F9F9690" w:rsidR="00FE5D64" w:rsidRDefault="00E40776">
            <w:pPr>
              <w:pStyle w:val="P68B1DB1-ListParagraph39"/>
              <w:numPr>
                <w:ilvl w:val="0"/>
                <w:numId w:val="278"/>
              </w:numPr>
              <w:jc w:val="both"/>
            </w:pPr>
            <w:r>
              <w:t>критични (трудни за допълване) изисквания.</w:t>
            </w:r>
          </w:p>
          <w:p w14:paraId="7FE1BCF1" w14:textId="77777777" w:rsidR="00FE5D64" w:rsidRDefault="00FE5D64">
            <w:pPr>
              <w:pStyle w:val="TableParagraph"/>
              <w:spacing w:before="108"/>
              <w:jc w:val="both"/>
              <w:rPr>
                <w:rFonts w:ascii="Times New Roman" w:hAnsi="Times New Roman" w:cs="Times New Roman"/>
                <w:color w:val="000000" w:themeColor="text1"/>
                <w:sz w:val="20"/>
                <w:szCs w:val="20"/>
              </w:rPr>
            </w:pPr>
          </w:p>
        </w:tc>
      </w:tr>
      <w:tr w:rsidR="00FE5D64"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FE5D64" w:rsidRDefault="00E40776">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FE5D64" w:rsidRDefault="00E40776">
            <w:pPr>
              <w:pStyle w:val="P68B1DB1-TableParagraph14"/>
              <w:spacing w:before="108"/>
              <w:jc w:val="both"/>
              <w:rPr>
                <w:bCs/>
              </w:rPr>
            </w:pPr>
            <w:r>
              <w:t>Оценка на критичността</w:t>
            </w:r>
          </w:p>
        </w:tc>
      </w:tr>
      <w:tr w:rsidR="00FE5D64"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FE5D64" w:rsidRDefault="00E40776">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FE5D64" w:rsidRDefault="00E40776">
            <w:pPr>
              <w:pStyle w:val="P68B1DB1-TableParagraph14"/>
              <w:spacing w:before="108"/>
              <w:jc w:val="both"/>
              <w:rPr>
                <w:bCs/>
              </w:rPr>
            </w:pPr>
            <w:r>
              <w:t xml:space="preserve">Въздействие върху пазара </w:t>
            </w:r>
          </w:p>
          <w:p w14:paraId="7FE1BCF8" w14:textId="77777777" w:rsidR="00FE5D64" w:rsidRDefault="00E40776">
            <w:pPr>
              <w:pStyle w:val="P68B1DB1-TableParagraph13"/>
              <w:spacing w:before="108"/>
              <w:jc w:val="both"/>
            </w:pPr>
            <w:r>
              <w:t>Очакваното въздействие на внезапно прекъсване на функцията върху трети страни, финансовите пазари и реалната икономика, като се вземат предвид размерът, пазарният дял в дадената държава, външните и вътрешните взаимовръзки, сложността и трансграничната дейност на институцията.</w:t>
            </w:r>
          </w:p>
          <w:p w14:paraId="7FE1BCF9" w14:textId="22534111" w:rsidR="00FE5D64" w:rsidRDefault="00E40776">
            <w:pPr>
              <w:pStyle w:val="P68B1DB1-TableParagraph13"/>
              <w:spacing w:before="108"/>
              <w:jc w:val="both"/>
            </w:pPr>
            <w:r>
              <w:t>Тази оценка се изразява качествено като „висока „, „средна„, „средна „, „средна“ или ниска.</w:t>
            </w:r>
          </w:p>
          <w:p w14:paraId="7FE1BCFA" w14:textId="60C791C3" w:rsidR="00FE5D64" w:rsidRDefault="00E40776">
            <w:pPr>
              <w:pStyle w:val="P68B1DB1-TableParagraph13"/>
              <w:spacing w:before="108"/>
              <w:jc w:val="both"/>
            </w:pPr>
            <w:r>
              <w:lastRenderedPageBreak/>
              <w:t>„Висок“ се избира, ако прекъсването би оказало силно въздействие върху националния пазар; „Средно-Високо“ — ако въздействието е значително; „Medium-Low“ — ако въздействието е съществено, но ограничено; „Low“ — ако въздействието е слабо.</w:t>
            </w:r>
          </w:p>
        </w:tc>
      </w:tr>
      <w:tr w:rsidR="00FE5D64"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FE5D64" w:rsidRDefault="00E40776">
            <w:pPr>
              <w:pStyle w:val="P68B1DB1-TableParagraph17"/>
              <w:spacing w:before="108"/>
              <w:ind w:left="85"/>
              <w:jc w:val="both"/>
            </w:pPr>
            <w:r>
              <w:lastRenderedPageBreak/>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FE5D64" w:rsidRDefault="00E40776">
            <w:pPr>
              <w:pStyle w:val="P68B1DB1-TableParagraph14"/>
              <w:spacing w:before="108"/>
              <w:jc w:val="both"/>
              <w:rPr>
                <w:bCs/>
              </w:rPr>
            </w:pPr>
            <w:r>
              <w:t>Заменяемост</w:t>
            </w:r>
          </w:p>
          <w:p w14:paraId="7FE1BCFE" w14:textId="77777777" w:rsidR="00FE5D64" w:rsidRDefault="00E40776">
            <w:pPr>
              <w:pStyle w:val="P68B1DB1-TableParagraph13"/>
              <w:spacing w:before="108"/>
              <w:jc w:val="both"/>
            </w:pPr>
            <w:r>
              <w:t>Член 6, параграф 3 от Делегиран регламент (ЕС) 2016/778.</w:t>
            </w:r>
          </w:p>
          <w:p w14:paraId="7FE1BCFF" w14:textId="77777777" w:rsidR="00FE5D64" w:rsidRDefault="00E40776">
            <w:pPr>
              <w:pStyle w:val="P68B1DB1-TableParagraph13"/>
              <w:spacing w:before="108"/>
              <w:jc w:val="both"/>
            </w:pPr>
            <w:r>
              <w:t>Дадена функция се приема за заменяема, ако може да бъде заменена по приемлив начин и в приемлив срок, с което да се избегнат системни проблеми за реалната икономика и финансовите пазари. Взема се предвид следното:</w:t>
            </w:r>
          </w:p>
          <w:p w14:paraId="7FE1BD00" w14:textId="77777777" w:rsidR="00FE5D64" w:rsidRDefault="00E40776">
            <w:pPr>
              <w:pStyle w:val="P68B1DB1-TableParagraph13"/>
              <w:spacing w:before="108"/>
              <w:jc w:val="both"/>
            </w:pPr>
            <w:r>
              <w:t xml:space="preserve">(a) структурата на пазара за тази функция и наличието на алтернативни доставчици; </w:t>
            </w:r>
          </w:p>
          <w:p w14:paraId="7FE1BD01" w14:textId="77777777" w:rsidR="00FE5D64" w:rsidRDefault="00E40776">
            <w:pPr>
              <w:pStyle w:val="P68B1DB1-TableParagraph13"/>
              <w:spacing w:before="108"/>
              <w:jc w:val="both"/>
            </w:pPr>
            <w:r>
              <w:t xml:space="preserve">(b) възможностите на останалите доставчици по отношение на капацитета, изискванията за изпълняване на функцията и потенциалните пречки за навлизане на пазара или разрастване; </w:t>
            </w:r>
          </w:p>
          <w:p w14:paraId="7FE1BD02" w14:textId="77777777" w:rsidR="00FE5D64" w:rsidRDefault="00E40776">
            <w:pPr>
              <w:pStyle w:val="P68B1DB1-TableParagraph13"/>
              <w:spacing w:before="108"/>
              <w:jc w:val="both"/>
            </w:pPr>
            <w:r>
              <w:t xml:space="preserve">(c) стимулът за други доставчици да поемат тези дейности; </w:t>
            </w:r>
          </w:p>
          <w:p w14:paraId="7FE1BD03" w14:textId="77777777" w:rsidR="00FE5D64" w:rsidRDefault="00E40776">
            <w:pPr>
              <w:pStyle w:val="P68B1DB1-TableParagraph13"/>
              <w:spacing w:before="108"/>
              <w:jc w:val="both"/>
            </w:pPr>
            <w:r>
              <w:t>(d) необходимото време за преминаване на ползвателите на услугата към нов доставчик на услуги и свързаните с този преход разходи;необходимото време за поемане на функцията от другите конкуренти и дали този срок е достатъчен, за да се предотвратят сериозни сътресения в зависимост от вида услуга.</w:t>
            </w:r>
          </w:p>
          <w:p w14:paraId="7FE1BD04" w14:textId="379B1AA4" w:rsidR="00FE5D64" w:rsidRDefault="00E40776">
            <w:pPr>
              <w:pStyle w:val="P68B1DB1-TableParagraph13"/>
              <w:spacing w:before="108"/>
              <w:jc w:val="both"/>
            </w:pPr>
            <w:r>
              <w:t xml:space="preserve">Предоставяне на цялостна оценка на очакваната степен на заменяемост за всяка функция, като се вземат предвид различните оценявани по-рано измерения (пазарен дял, пазарна концентрация, време за заместване, правни пречки и оперативни изисквания за навлизане или разширяване). Тази оценка се изразява качествено като „висока „, „средна„, „средна „, „средна“ или ниска. </w:t>
            </w:r>
          </w:p>
          <w:p w14:paraId="7FE1BD05" w14:textId="3E0B0177" w:rsidR="00FE5D64" w:rsidRDefault="00E40776">
            <w:pPr>
              <w:pStyle w:val="P68B1DB1-TableParagraph13"/>
              <w:spacing w:before="108"/>
              <w:jc w:val="both"/>
            </w:pPr>
            <w:r>
              <w:t>„Висок“ се избира, ако една функция може лесно да започне да се изпълнява от друга банка при сравними условия и в разумен срок;</w:t>
            </w:r>
          </w:p>
          <w:p w14:paraId="7FE1BD06" w14:textId="5459DD51" w:rsidR="00FE5D64" w:rsidRDefault="00E40776">
            <w:pPr>
              <w:pStyle w:val="P68B1DB1-TableParagraph13"/>
              <w:spacing w:before="108"/>
              <w:jc w:val="both"/>
            </w:pPr>
            <w:r>
              <w:t xml:space="preserve">„Низко“ ако една функция не може лесно или бързо да бъде заменена; </w:t>
            </w:r>
          </w:p>
          <w:p w14:paraId="7FE1BD07" w14:textId="113A35A6" w:rsidR="00FE5D64" w:rsidRDefault="00E40776">
            <w:pPr>
              <w:pStyle w:val="P68B1DB1-TableParagraph13"/>
              <w:spacing w:before="108"/>
              <w:jc w:val="both"/>
            </w:pPr>
            <w:r>
              <w:t>„Medium-High„и „Medium-Low“ — за междинните случаи, предвид различните параметри (например пазарен дял, концентрация на пазара, време за замяна, както и правните пречки и оперативните изисквания за навлизане на пазара или разрастване).</w:t>
            </w:r>
          </w:p>
        </w:tc>
      </w:tr>
      <w:tr w:rsidR="00FE5D64"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FE5D64" w:rsidRDefault="00E40776">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FE5D64" w:rsidRDefault="00E40776">
            <w:pPr>
              <w:pStyle w:val="P68B1DB1-TableParagraph14"/>
              <w:spacing w:before="108"/>
              <w:jc w:val="both"/>
              <w:rPr>
                <w:bCs/>
              </w:rPr>
            </w:pPr>
            <w:r>
              <w:t>Критична функция</w:t>
            </w:r>
          </w:p>
          <w:p w14:paraId="7FE1BD0B" w14:textId="77777777" w:rsidR="00FE5D64" w:rsidRDefault="00E40776">
            <w:pPr>
              <w:pStyle w:val="P68B1DB1-TableParagraph13"/>
              <w:spacing w:before="108"/>
              <w:jc w:val="both"/>
            </w:pPr>
            <w:r>
              <w:t>В тази колона се посочва дали икономическата функция се счита за критична на пазара на съответната държава, като се вземат под внимание извършените от институцията анализи за въздействие и заместяемост.</w:t>
            </w:r>
          </w:p>
          <w:p w14:paraId="7FE1BD0C" w14:textId="77777777" w:rsidR="00FE5D64" w:rsidRDefault="00E40776">
            <w:pPr>
              <w:pStyle w:val="P68B1DB1-TableParagraph13"/>
              <w:spacing w:before="108"/>
              <w:jc w:val="both"/>
            </w:pPr>
            <w:r>
              <w:t>Посочва се „Да„или „Не“.</w:t>
            </w:r>
          </w:p>
        </w:tc>
      </w:tr>
      <w:tr w:rsidR="00FE5D64"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FE5D64" w:rsidRDefault="00E40776">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FE5D64" w:rsidRDefault="00E40776">
            <w:pPr>
              <w:pStyle w:val="P68B1DB1-TableParagraph14"/>
              <w:spacing w:before="108"/>
              <w:jc w:val="both"/>
              <w:rPr>
                <w:bCs/>
              </w:rPr>
            </w:pPr>
            <w:r>
              <w:t>Коментари на групата</w:t>
            </w:r>
          </w:p>
          <w:p w14:paraId="7FE1BD10" w14:textId="77777777" w:rsidR="00FE5D64" w:rsidRDefault="00E40776">
            <w:pPr>
              <w:pStyle w:val="P68B1DB1-TableParagraph13"/>
              <w:spacing w:before="108"/>
              <w:jc w:val="both"/>
            </w:pPr>
            <w:r>
              <w:t>Това поле дава възможност на докладващия субект да обясни всички допускания, използвани при оценката на критичността на докладваната (ите) функция (и).</w:t>
            </w:r>
          </w:p>
        </w:tc>
      </w:tr>
    </w:tbl>
    <w:p w14:paraId="7FE1BD12" w14:textId="77777777" w:rsidR="00FE5D64" w:rsidRDefault="00FE5D64">
      <w:pPr>
        <w:rPr>
          <w:rFonts w:ascii="Times New Roman" w:hAnsi="Times New Roman" w:cs="Times New Roman"/>
          <w:color w:val="000000" w:themeColor="text1"/>
          <w:sz w:val="20"/>
          <w:szCs w:val="20"/>
        </w:rPr>
      </w:pPr>
    </w:p>
    <w:p w14:paraId="7FE1BD13" w14:textId="77777777" w:rsidR="00FE5D64" w:rsidRDefault="00FE5D64">
      <w:pPr>
        <w:rPr>
          <w:rFonts w:ascii="Times New Roman" w:hAnsi="Times New Roman" w:cs="Times New Roman"/>
          <w:color w:val="000000" w:themeColor="text1"/>
          <w:sz w:val="20"/>
          <w:szCs w:val="20"/>
        </w:rPr>
      </w:pPr>
    </w:p>
    <w:p w14:paraId="7FE1BD14" w14:textId="168C612B" w:rsidR="00FE5D64" w:rsidRDefault="00E40776">
      <w:pPr>
        <w:pStyle w:val="P68B1DB1-Instructionsberschrift25"/>
      </w:pPr>
      <w:bookmarkStart w:id="121" w:name="_Toc208244467"/>
      <w:r>
        <w:t>II.13</w:t>
      </w:r>
      <w:r>
        <w:tab/>
        <w:t>Z 07.01.5 FUNC 1 WF</w:t>
      </w:r>
      <w:bookmarkEnd w:id="121"/>
    </w:p>
    <w:p w14:paraId="7FE1BD1C" w14:textId="77777777" w:rsidR="00FE5D64" w:rsidRDefault="00FE5D6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E5D64"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FE5D64" w:rsidRDefault="00E40776">
            <w:pPr>
              <w:pStyle w:val="P68B1DB1-TableParagraph17"/>
              <w:spacing w:before="108"/>
              <w:ind w:left="85"/>
              <w:jc w:val="both"/>
            </w:pPr>
            <w:r>
              <w:t>Колони</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FE5D64" w:rsidRDefault="00E40776">
            <w:pPr>
              <w:pStyle w:val="P68B1DB1-TableParagraph17"/>
              <w:spacing w:before="108"/>
              <w:ind w:left="85" w:right="1"/>
              <w:jc w:val="both"/>
            </w:pPr>
            <w:r>
              <w:t>Указания</w:t>
            </w:r>
          </w:p>
        </w:tc>
      </w:tr>
      <w:tr w:rsidR="00FE5D64"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FE5D64" w:rsidRDefault="00E40776">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FE5D64" w:rsidRDefault="00E40776">
            <w:pPr>
              <w:pStyle w:val="P68B1DB1-TableParagraph14"/>
              <w:spacing w:before="108"/>
              <w:ind w:left="85"/>
              <w:jc w:val="both"/>
              <w:rPr>
                <w:bCs/>
              </w:rPr>
            </w:pPr>
            <w:r>
              <w:t>Описание на икономическата функция</w:t>
            </w:r>
          </w:p>
          <w:p w14:paraId="7FE1BD22" w14:textId="3E7FC747" w:rsidR="00FE5D64" w:rsidRDefault="00E40776">
            <w:pPr>
              <w:pStyle w:val="P68B1DB1-TableParagraph17"/>
              <w:spacing w:before="108"/>
              <w:ind w:left="85"/>
            </w:pPr>
            <w:r>
              <w:t xml:space="preserve">Когато икономическата функция е от вида „Други“ (Z 07.01.5 FUNC 1 WF r0360 — r0380), </w:t>
            </w:r>
            <w:r>
              <w:lastRenderedPageBreak/>
              <w:t xml:space="preserve">се предоставя описание на тази функция. </w:t>
            </w:r>
          </w:p>
        </w:tc>
      </w:tr>
      <w:tr w:rsidR="00FE5D64"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FE5D64" w:rsidRDefault="00E40776">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FE5D64" w:rsidRDefault="00E40776">
            <w:pPr>
              <w:pStyle w:val="P68B1DB1-TableParagraph14"/>
              <w:spacing w:before="108"/>
              <w:ind w:left="85"/>
              <w:jc w:val="both"/>
              <w:rPr>
                <w:bCs/>
              </w:rPr>
            </w:pPr>
            <w:r>
              <w:t xml:space="preserve">Пазарен дял </w:t>
            </w:r>
          </w:p>
          <w:p w14:paraId="7FE1BD26" w14:textId="470CCD5A" w:rsidR="00FE5D64" w:rsidRDefault="00E40776">
            <w:pPr>
              <w:pStyle w:val="P68B1DB1-TableParagraph17"/>
              <w:spacing w:before="108"/>
              <w:ind w:left="85"/>
            </w:pPr>
            <w:r>
              <w:t>Приблизителна оценка на пазарния дял на институцията или групата за икономическата функция в съответната държава или географска област. Процент от общия пазар по отношение на брутната балансова стойност.</w:t>
            </w:r>
          </w:p>
        </w:tc>
      </w:tr>
      <w:tr w:rsidR="00FE5D64"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FE5D64" w:rsidRDefault="00E40776">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FE5D64" w:rsidRDefault="00E40776">
            <w:pPr>
              <w:pStyle w:val="P68B1DB1-Normal42"/>
              <w:rPr>
                <w:bCs/>
              </w:rPr>
            </w:pPr>
            <w:r>
              <w:t>Брутна балансова стойност</w:t>
            </w:r>
          </w:p>
          <w:p w14:paraId="7FE1BD2A" w14:textId="77777777" w:rsidR="00FE5D64" w:rsidRDefault="00E40776">
            <w:pPr>
              <w:pStyle w:val="P68B1DB1-TableParagraph17"/>
              <w:spacing w:before="108"/>
            </w:pPr>
            <w:r>
              <w:t xml:space="preserve">Да се използва брутна балансова стойност съгласно определението във FINREP“. </w:t>
            </w:r>
          </w:p>
          <w:p w14:paraId="7FE1BD2B" w14:textId="77777777" w:rsidR="00FE5D64" w:rsidRDefault="00E40776">
            <w:pPr>
              <w:pStyle w:val="P68B1DB1-TableParagraph17"/>
              <w:spacing w:before="108"/>
            </w:pPr>
            <w:r>
              <w:t xml:space="preserve">Референтни документи: INREP: Приложение V, част 1, параграф 34, FINREP: Приложения III и IV, образци: </w:t>
            </w:r>
          </w:p>
          <w:p w14:paraId="7FE1BD2C" w14:textId="77777777" w:rsidR="00FE5D64" w:rsidRDefault="00E40776">
            <w:pPr>
              <w:pStyle w:val="P68B1DB1-TableParagraph17"/>
              <w:spacing w:before="108"/>
            </w:pPr>
            <w:r>
              <w:t>— Получени заеми (5.1): Образец F 20.06, колона 010, редове 100+ 110, всички държави.</w:t>
            </w:r>
          </w:p>
          <w:p w14:paraId="7FE1BD2D" w14:textId="77777777" w:rsidR="00FE5D64" w:rsidRDefault="00E40776">
            <w:pPr>
              <w:pStyle w:val="P68B1DB1-TableParagraph17"/>
              <w:spacing w:before="108"/>
            </w:pPr>
            <w:r>
              <w:t>— Деривати (активи) (5.2): Образец F 20.04, колона 010, ред 010, всички държави.</w:t>
            </w:r>
          </w:p>
          <w:p w14:paraId="7FE1BD2E" w14:textId="77777777" w:rsidR="00FE5D64" w:rsidRDefault="00E40776">
            <w:pPr>
              <w:pStyle w:val="P68B1DB1-TableParagraph17"/>
              <w:spacing w:before="108"/>
            </w:pPr>
            <w:r>
              <w:t xml:space="preserve">— Предоставени заеми (5.3): Образец F 20.04, колона 010, редове 170+ 180, всички държави. </w:t>
            </w:r>
          </w:p>
          <w:p w14:paraId="7FE1BD30" w14:textId="58CF223C" w:rsidR="00FE5D64" w:rsidRDefault="00E40776">
            <w:pPr>
              <w:pStyle w:val="P68B1DB1-TableParagraph17"/>
              <w:spacing w:before="108"/>
            </w:pPr>
            <w:r>
              <w:t>— Деривати (пасиви) (5.4): Образец F 20.06, колона 010, ред 010, всички държави.</w:t>
            </w:r>
          </w:p>
        </w:tc>
      </w:tr>
      <w:tr w:rsidR="00FE5D64"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FE5D64" w:rsidRDefault="00E40776">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FE5D64" w:rsidRDefault="00E40776">
            <w:pPr>
              <w:pStyle w:val="P68B1DB1-Normal42"/>
              <w:rPr>
                <w:bCs/>
              </w:rPr>
            </w:pPr>
            <w:r>
              <w:t>Брой контрагенти</w:t>
            </w:r>
          </w:p>
          <w:p w14:paraId="7FE1BD34" w14:textId="77777777" w:rsidR="00FE5D64" w:rsidRDefault="00E40776">
            <w:pPr>
              <w:pStyle w:val="P68B1DB1-TableParagraph17"/>
              <w:spacing w:before="108"/>
            </w:pPr>
            <w:r>
              <w:t>Общ брой контрагенти. Ако един контрагент има повече от една сметка и/или повече от една сделка, този контрагент се брои само веднъж.</w:t>
            </w:r>
          </w:p>
        </w:tc>
      </w:tr>
      <w:tr w:rsidR="00FE5D64"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FE5D64" w:rsidRDefault="00E40776">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FE5D64" w:rsidRDefault="00E40776">
            <w:pPr>
              <w:pStyle w:val="P68B1DB1-TableParagraph14"/>
              <w:spacing w:before="108"/>
              <w:jc w:val="both"/>
              <w:rPr>
                <w:bCs/>
              </w:rPr>
            </w:pPr>
            <w:r>
              <w:t>(Обратни) репо споразумения</w:t>
            </w:r>
          </w:p>
          <w:p w14:paraId="7FE1BD38" w14:textId="77777777" w:rsidR="00FE5D64" w:rsidRDefault="00E40776">
            <w:pPr>
              <w:pStyle w:val="P68B1DB1-TableParagraph13"/>
              <w:spacing w:before="108"/>
              <w:jc w:val="both"/>
            </w:pPr>
            <w:r>
              <w:t>Докладва се за споразумения за обратно изкупуване по заеми на едро. Репо</w:t>
            </w:r>
          </w:p>
          <w:p w14:paraId="7FE1BD39" w14:textId="77777777" w:rsidR="00FE5D64" w:rsidRDefault="00E40776">
            <w:pPr>
              <w:pStyle w:val="P68B1DB1-TableParagraph13"/>
              <w:spacing w:before="108"/>
              <w:jc w:val="both"/>
            </w:pPr>
            <w:r>
              <w:t>споразумения означава парични средства, получени в замяна на ценни книжа, продадени на определена цена съгласно</w:t>
            </w:r>
          </w:p>
          <w:p w14:paraId="7FE1BD3A" w14:textId="77777777" w:rsidR="00FE5D64" w:rsidRDefault="00E40776">
            <w:pPr>
              <w:pStyle w:val="P68B1DB1-TableParagraph13"/>
              <w:spacing w:before="108"/>
              <w:jc w:val="both"/>
            </w:pPr>
            <w:r>
              <w:t>твърд ангажимент за обратно изкупуване на същите (или подобни) ценни книжа на фиксирана цена върху</w:t>
            </w:r>
          </w:p>
          <w:p w14:paraId="7FE1BD3B" w14:textId="77777777" w:rsidR="00FE5D64" w:rsidRDefault="00E40776">
            <w:pPr>
              <w:pStyle w:val="P68B1DB1-TableParagraph13"/>
              <w:spacing w:before="108"/>
              <w:jc w:val="both"/>
            </w:pPr>
            <w:r>
              <w:t xml:space="preserve">определена бъдеща дата. </w:t>
            </w:r>
          </w:p>
          <w:p w14:paraId="7FE1BD3C" w14:textId="77777777" w:rsidR="00FE5D64" w:rsidRDefault="00E40776">
            <w:pPr>
              <w:pStyle w:val="P68B1DB1-TableParagraph13"/>
              <w:spacing w:before="108"/>
              <w:jc w:val="both"/>
            </w:pPr>
            <w:r>
              <w:t>Докладвайте обратни репо заеми при кредитиране на едро. Обратни репо заеми означава финансиране, предоставено в замяна на закупени ценни книжа</w:t>
            </w:r>
          </w:p>
          <w:p w14:paraId="7FE1BD3D" w14:textId="77777777" w:rsidR="00FE5D64" w:rsidRDefault="00E40776">
            <w:pPr>
              <w:pStyle w:val="P68B1DB1-TableParagraph13"/>
              <w:spacing w:before="108"/>
              <w:jc w:val="both"/>
            </w:pPr>
            <w:r>
              <w:t>по споразумения за обратно изкупуване или взети назаем по споразумения за заемане на ценни книжа.</w:t>
            </w:r>
          </w:p>
          <w:p w14:paraId="7FE1BD3E" w14:textId="77777777" w:rsidR="00FE5D64" w:rsidRDefault="00E40776">
            <w:pPr>
              <w:pStyle w:val="P68B1DB1-TableParagraph13"/>
              <w:spacing w:before="108"/>
              <w:jc w:val="both"/>
            </w:pPr>
            <w:r>
              <w:t>Източници: Регламент (2015/2365) относно прозрачността при финансирането с ценни книжа</w:t>
            </w:r>
          </w:p>
          <w:p w14:paraId="7FE1BD3F" w14:textId="77777777" w:rsidR="00FE5D64" w:rsidRDefault="00E40776">
            <w:pPr>
              <w:pStyle w:val="P68B1DB1-TableParagraph13"/>
              <w:spacing w:before="108"/>
              <w:jc w:val="both"/>
            </w:pPr>
            <w:r>
              <w:t>трансакции и повторно използване чл. 3 (9); INREP: Част 2, параграфи 213—232 Глава 5, параграф 85, буква д)</w:t>
            </w:r>
          </w:p>
          <w:p w14:paraId="7FE1BD40" w14:textId="77777777" w:rsidR="00FE5D64" w:rsidRDefault="00E40776">
            <w:pPr>
              <w:pStyle w:val="P68B1DB1-TableParagraph13"/>
              <w:spacing w:before="108"/>
              <w:jc w:val="both"/>
            </w:pPr>
            <w:r>
              <w:t>и стр. 14,§183; Приложение III:</w:t>
            </w:r>
          </w:p>
          <w:p w14:paraId="7FE1BD41" w14:textId="77777777" w:rsidR="00FE5D64" w:rsidRDefault="00E40776">
            <w:pPr>
              <w:pStyle w:val="P68B1DB1-TableParagraph13"/>
              <w:numPr>
                <w:ilvl w:val="0"/>
                <w:numId w:val="153"/>
              </w:numPr>
              <w:spacing w:before="108"/>
              <w:jc w:val="both"/>
            </w:pPr>
            <w:r>
              <w:t>Споразумения за обратно изкупуване (репо-сделки) Таблица 08.01, колони 010 + 020 + 030, редове 200 + 250.</w:t>
            </w:r>
          </w:p>
          <w:p w14:paraId="7FE1BD42" w14:textId="77777777" w:rsidR="00FE5D64" w:rsidRDefault="00E40776">
            <w:pPr>
              <w:pStyle w:val="P68B1DB1-TableParagraph13"/>
              <w:numPr>
                <w:ilvl w:val="0"/>
                <w:numId w:val="153"/>
              </w:numPr>
              <w:spacing w:before="108"/>
              <w:jc w:val="both"/>
            </w:pPr>
            <w:r>
              <w:t>Споразумения за обратно репо: Таблица 05.00, колони 030 и 040, ред 050.</w:t>
            </w:r>
          </w:p>
        </w:tc>
      </w:tr>
      <w:tr w:rsidR="00FE5D64"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FE5D64" w:rsidRDefault="00E40776">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FE5D64" w:rsidRDefault="00E40776">
            <w:pPr>
              <w:pStyle w:val="P68B1DB1-TableParagraph14"/>
              <w:spacing w:before="108"/>
              <w:jc w:val="both"/>
              <w:rPr>
                <w:bCs/>
              </w:rPr>
            </w:pPr>
            <w:r>
              <w:t>Трансгранична стойност</w:t>
            </w:r>
          </w:p>
          <w:p w14:paraId="7FE1BD46" w14:textId="77777777" w:rsidR="00FE5D64" w:rsidRDefault="00E40776">
            <w:pPr>
              <w:pStyle w:val="P68B1DB1-TableParagraph13"/>
              <w:spacing w:before="108"/>
              <w:jc w:val="both"/>
            </w:pPr>
            <w:r>
              <w:t>Добавете брутните балансови стойности на всички държави, с изключение на държавата по произход или съответната държава.</w:t>
            </w:r>
          </w:p>
        </w:tc>
      </w:tr>
      <w:tr w:rsidR="00FE5D64"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FE5D64" w:rsidRDefault="00E40776">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FE5D64" w:rsidRDefault="00E40776">
            <w:pPr>
              <w:pStyle w:val="P68B1DB1-Normal42"/>
              <w:rPr>
                <w:bCs/>
              </w:rPr>
            </w:pPr>
            <w:r>
              <w:t>Стойност по кредитни институции</w:t>
            </w:r>
          </w:p>
          <w:p w14:paraId="7FE1BD4A" w14:textId="77777777" w:rsidR="00FE5D64" w:rsidRDefault="00E40776">
            <w:pPr>
              <w:pStyle w:val="P68B1DB1-TableParagraph13"/>
              <w:spacing w:before="108"/>
              <w:jc w:val="both"/>
            </w:pPr>
            <w:r>
              <w:t>Брутна балансова стойност в кредитни институции. Определение на сектора в съответствие с</w:t>
            </w:r>
          </w:p>
          <w:p w14:paraId="7FE1BD4B" w14:textId="77777777" w:rsidR="00FE5D64" w:rsidRDefault="00E40776">
            <w:pPr>
              <w:pStyle w:val="P68B1DB1-TableParagraph13"/>
              <w:spacing w:before="108"/>
              <w:jc w:val="both"/>
            </w:pPr>
            <w:r>
              <w:t xml:space="preserve">FINREP (приложение V). </w:t>
            </w:r>
          </w:p>
          <w:p w14:paraId="7FE1BD4C" w14:textId="77777777" w:rsidR="00FE5D64" w:rsidRDefault="00E40776">
            <w:pPr>
              <w:pStyle w:val="P68B1DB1-TableParagraph13"/>
              <w:spacing w:before="108"/>
              <w:jc w:val="both"/>
            </w:pPr>
            <w:r>
              <w:lastRenderedPageBreak/>
              <w:t>Източници: INREP: Приложение III:</w:t>
            </w:r>
          </w:p>
          <w:p w14:paraId="7FE1BD4D" w14:textId="77777777" w:rsidR="00FE5D64" w:rsidRDefault="00E40776">
            <w:pPr>
              <w:pStyle w:val="P68B1DB1-TableParagraph13"/>
              <w:numPr>
                <w:ilvl w:val="0"/>
                <w:numId w:val="153"/>
              </w:numPr>
              <w:spacing w:before="108"/>
              <w:jc w:val="both"/>
            </w:pPr>
            <w:r>
              <w:t>Заемане на средства: Таблица 20.06, колона 010, ред 100, всички държави.</w:t>
            </w:r>
          </w:p>
          <w:p w14:paraId="7FE1BD4E" w14:textId="77777777" w:rsidR="00FE5D64" w:rsidRDefault="00E40776">
            <w:pPr>
              <w:pStyle w:val="P68B1DB1-TableParagraph13"/>
              <w:numPr>
                <w:ilvl w:val="0"/>
                <w:numId w:val="153"/>
              </w:numPr>
              <w:spacing w:before="108"/>
              <w:jc w:val="both"/>
            </w:pPr>
            <w:r>
              <w:t>Деривати (активи): Таблица 20.04, колона 010, ред 020, всички държави.</w:t>
            </w:r>
          </w:p>
          <w:p w14:paraId="7FE1BD4F" w14:textId="77777777" w:rsidR="00FE5D64" w:rsidRDefault="00E40776">
            <w:pPr>
              <w:pStyle w:val="P68B1DB1-TableParagraph13"/>
              <w:numPr>
                <w:ilvl w:val="0"/>
                <w:numId w:val="153"/>
              </w:numPr>
              <w:spacing w:before="108"/>
              <w:jc w:val="both"/>
            </w:pPr>
            <w:r>
              <w:t>Кредитиране: Таблица 20.04, колона 010, ред 170, всички държави.</w:t>
            </w:r>
          </w:p>
          <w:p w14:paraId="7FE1BD50" w14:textId="77777777" w:rsidR="00FE5D64" w:rsidRDefault="00E40776">
            <w:pPr>
              <w:pStyle w:val="P68B1DB1-TableParagraph13"/>
              <w:numPr>
                <w:ilvl w:val="0"/>
                <w:numId w:val="153"/>
              </w:numPr>
              <w:spacing w:before="108"/>
              <w:jc w:val="both"/>
            </w:pPr>
            <w:r>
              <w:t>Деривативни пасиви: Таблица 20.06, колона 010, ред 020, всички държави.</w:t>
            </w:r>
          </w:p>
        </w:tc>
      </w:tr>
      <w:tr w:rsidR="00FE5D64"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FE5D64" w:rsidRDefault="00E40776">
            <w:pPr>
              <w:pStyle w:val="P68B1DB1-TableParagraph17"/>
              <w:spacing w:before="108"/>
              <w:ind w:left="85"/>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FE5D64" w:rsidRDefault="00E40776">
            <w:pPr>
              <w:pStyle w:val="P68B1DB1-Normal42"/>
              <w:rPr>
                <w:bCs/>
              </w:rPr>
            </w:pPr>
            <w:r>
              <w:t>Анализи на въздействието и заменяемостта</w:t>
            </w:r>
          </w:p>
          <w:p w14:paraId="7FE1BD54" w14:textId="77777777" w:rsidR="00FE5D64" w:rsidRDefault="00E40776">
            <w:pPr>
              <w:pStyle w:val="P68B1DB1-Normal43"/>
            </w:pPr>
            <w:r>
              <w:t>Критериите за оценка на въздействието върху трети страни включват следните елементи в съответствие с делегиран регламент (ЕС) 2016/778 на Комисията относно критичните функции:</w:t>
            </w:r>
          </w:p>
          <w:p w14:paraId="7FE1BD55" w14:textId="77777777" w:rsidR="00FE5D64" w:rsidRDefault="00E40776">
            <w:pPr>
              <w:pStyle w:val="P68B1DB1-ListParagraph38"/>
              <w:numPr>
                <w:ilvl w:val="0"/>
                <w:numId w:val="131"/>
              </w:numPr>
              <w:spacing w:line="276" w:lineRule="auto"/>
            </w:pPr>
            <w:r>
              <w:t>естеството и глобалния, националния или регионалния обхват на дейността, както и обема и броя на трансакциите; броя на клиентите и контрагентите; броя на клиентите, за които институцията е единственият или основният банков партньор;</w:t>
            </w:r>
          </w:p>
          <w:p w14:paraId="7FE1BD56" w14:textId="77777777" w:rsidR="00FE5D64" w:rsidRDefault="00E40776">
            <w:pPr>
              <w:pStyle w:val="P68B1DB1-ListParagraph38"/>
              <w:numPr>
                <w:ilvl w:val="0"/>
                <w:numId w:val="131"/>
              </w:numPr>
              <w:spacing w:line="276" w:lineRule="auto"/>
            </w:pPr>
            <w:r>
              <w:t>значението на институцията 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D57" w14:textId="77777777" w:rsidR="00FE5D64" w:rsidRDefault="00E40776">
            <w:pPr>
              <w:pStyle w:val="P68B1DB1-ListParagraph38"/>
              <w:numPr>
                <w:ilvl w:val="0"/>
                <w:numId w:val="131"/>
              </w:numPr>
              <w:spacing w:line="276" w:lineRule="auto"/>
            </w:pPr>
            <w:r>
              <w:t xml:space="preserve">естеството на клиентите и заинтересованите страни, обхванати от функцията — например, но не само, индивидуални клиенти, корпоративни клиенти, междубанкови клиенти, централни клирингови къщи и публични субекти; </w:t>
            </w:r>
          </w:p>
          <w:p w14:paraId="7FE1BD58" w14:textId="77777777" w:rsidR="00FE5D64" w:rsidRDefault="00E40776">
            <w:pPr>
              <w:pStyle w:val="P68B1DB1-ListParagraph38"/>
              <w:numPr>
                <w:ilvl w:val="0"/>
                <w:numId w:val="131"/>
              </w:numPr>
              <w:spacing w:line="276" w:lineRule="auto"/>
            </w:pPr>
            <w:r>
              <w:t>потенциалното сътресение на функционирането на пазарите, инфраструктурите, клиентите и публичните услуги. По-конкретно, оценката може да обхване въздействието върху ликвидността на съответните пазари, въздействието и обхвата на сътресенията в отношенията с клиентите, както и краткосрочните потребности от ликвидност; осезаемостта за контрагентите, клиентите и обществеността; капацитета и бързината на реакция на клиентите; значението за функционирането на други пазари; въздействието върху ликвидността, операц</w:t>
            </w:r>
            <w:r>
              <w:t>иите, структурата на друг пазар; въздействието върху други контрагенти, свързани с основните клиенти, и взаимовръзките на функцията с други услуги.</w:t>
            </w:r>
          </w:p>
          <w:p w14:paraId="7FE1BD59" w14:textId="77777777" w:rsidR="00FE5D64" w:rsidRDefault="00FE5D64">
            <w:pPr>
              <w:rPr>
                <w:rFonts w:ascii="Times New Roman" w:eastAsiaTheme="minorHAnsi" w:hAnsi="Times New Roman" w:cs="Times New Roman"/>
                <w:color w:val="000000" w:themeColor="text1"/>
                <w:sz w:val="20"/>
                <w:szCs w:val="20"/>
              </w:rPr>
            </w:pPr>
          </w:p>
        </w:tc>
      </w:tr>
      <w:tr w:rsidR="00FE5D64"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FE5D64" w:rsidRDefault="00E40776">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FE5D64" w:rsidRDefault="00E40776">
            <w:pPr>
              <w:pStyle w:val="P68B1DB1-Normal42"/>
              <w:rPr>
                <w:bCs/>
              </w:rPr>
            </w:pPr>
            <w:r>
              <w:t xml:space="preserve">Природа и Reach </w:t>
            </w:r>
          </w:p>
          <w:p w14:paraId="7FE1BD5D" w14:textId="77777777" w:rsidR="00FE5D64" w:rsidRDefault="00E40776">
            <w:pPr>
              <w:pStyle w:val="P68B1DB1-Normal43"/>
            </w:pPr>
            <w:r>
              <w:t>Глобалния, националния или регионалния обхват, обем и брой на сделките; броя на клиентите и контрагентите; броя на клиентите, за които институцията е единственият или основният банков партньор;</w:t>
            </w:r>
          </w:p>
        </w:tc>
      </w:tr>
      <w:tr w:rsidR="00FE5D64"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FE5D64" w:rsidRDefault="00E40776">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FE5D64" w:rsidRDefault="00E40776">
            <w:pPr>
              <w:pStyle w:val="P68B1DB1-Normal42"/>
              <w:rPr>
                <w:bCs/>
              </w:rPr>
            </w:pPr>
            <w:r>
              <w:t>Показател за размера 1</w:t>
            </w:r>
          </w:p>
          <w:p w14:paraId="611DAB08"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D61" w14:textId="0497CCAC" w:rsidR="00FE5D64" w:rsidRDefault="00E40776">
            <w:pPr>
              <w:pStyle w:val="P68B1DB1-Normal43"/>
            </w:pPr>
            <w:r>
              <w:t xml:space="preserve"> </w:t>
            </w:r>
          </w:p>
          <w:p w14:paraId="7FE1BD62" w14:textId="77777777" w:rsidR="00FE5D64" w:rsidRDefault="00E40776">
            <w:pPr>
              <w:pStyle w:val="P68B1DB1-ListParagraph32"/>
              <w:numPr>
                <w:ilvl w:val="0"/>
                <w:numId w:val="125"/>
              </w:numPr>
              <w:spacing w:line="276" w:lineRule="auto"/>
            </w:pPr>
            <w:r>
              <w:t xml:space="preserve">Експертна преценка на размера на </w:t>
            </w:r>
            <w:r>
              <w:rPr>
                <w:b/>
              </w:rPr>
              <w:t>стойността</w:t>
            </w:r>
            <w:r>
              <w:t xml:space="preserve"> на брутната балансова стойност на докладващата институция (c0030) от </w:t>
            </w:r>
            <w:r>
              <w:rPr>
                <w:b/>
              </w:rPr>
              <w:t>глобална</w:t>
            </w:r>
            <w:r>
              <w:t xml:space="preserve"> гледна точка [</w:t>
            </w:r>
            <w:r>
              <w:rPr>
                <w:i/>
              </w:rPr>
              <w:t>равнище, по-високо от съответния пазар. Ако съответният пазар е глобален, тогава размер 1 става излишен и не е необходимо да се докладва]</w:t>
            </w:r>
            <w:r>
              <w:t>:</w:t>
            </w:r>
          </w:p>
          <w:p w14:paraId="7FE1BD63" w14:textId="77777777" w:rsidR="00FE5D64" w:rsidRDefault="00E40776">
            <w:pPr>
              <w:pStyle w:val="P68B1DB1-ListParagraph32"/>
              <w:numPr>
                <w:ilvl w:val="1"/>
                <w:numId w:val="125"/>
              </w:numPr>
              <w:spacing w:line="276" w:lineRule="auto"/>
            </w:pPr>
            <w:r>
              <w:t>В глобален план колко голяма е според Вас брутната балансова стойност на отчитащото се предприятие?</w:t>
            </w:r>
          </w:p>
          <w:p w14:paraId="7FE1BD64" w14:textId="77777777" w:rsidR="00FE5D64" w:rsidRDefault="00FE5D64">
            <w:pPr>
              <w:rPr>
                <w:rFonts w:ascii="Times New Roman" w:eastAsiaTheme="minorHAnsi" w:hAnsi="Times New Roman" w:cs="Times New Roman"/>
                <w:color w:val="000000" w:themeColor="text1"/>
                <w:sz w:val="20"/>
                <w:szCs w:val="20"/>
              </w:rPr>
            </w:pPr>
          </w:p>
        </w:tc>
      </w:tr>
      <w:tr w:rsidR="00FE5D64"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FE5D64" w:rsidRDefault="00E40776">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FE5D64" w:rsidRDefault="00E40776">
            <w:pPr>
              <w:pStyle w:val="P68B1DB1-Normal42"/>
              <w:rPr>
                <w:bCs/>
              </w:rPr>
            </w:pPr>
            <w:r>
              <w:t>Показател за размера 2</w:t>
            </w:r>
          </w:p>
          <w:p w14:paraId="75C87AE7" w14:textId="77777777" w:rsidR="00FE5D64" w:rsidRDefault="00E40776">
            <w:pPr>
              <w:pStyle w:val="P68B1DB1-Normal31"/>
              <w:spacing w:line="276" w:lineRule="auto"/>
              <w:jc w:val="both"/>
            </w:pPr>
            <w:r>
              <w:t>Преценете колко важна е банката за тези дейности. Тази оценка е изразена качествено като „висока „, „средна„, „средна „, „средна“ или „ниска“. Докладва се „висок „, ако размерът на функцията е голям, „Средно-висок„, ако е среден, „Средно-нисък „, ако е малък, и „нисък“, ако е незначителен. Да се използват макроикономически променливи като БВП, население (за депозити, заеми, плащания, парични средства, сетълмент, клиринг и попечителство) или размер на пазара (за капиталовите пазари и финансирането на едро) к</w:t>
            </w:r>
            <w:r>
              <w:t xml:space="preserve">ато референтен показател за тази качествена оценка. </w:t>
            </w:r>
          </w:p>
          <w:p w14:paraId="7FE1BD68" w14:textId="10683EF9" w:rsidR="00FE5D64" w:rsidRDefault="00E40776">
            <w:pPr>
              <w:pStyle w:val="P68B1DB1-Normal43"/>
            </w:pPr>
            <w:r>
              <w:t xml:space="preserve"> </w:t>
            </w:r>
          </w:p>
          <w:p w14:paraId="7FE1BD69" w14:textId="77777777" w:rsidR="00FE5D64" w:rsidRDefault="00E40776">
            <w:pPr>
              <w:pStyle w:val="P68B1DB1-ListParagraph32"/>
              <w:numPr>
                <w:ilvl w:val="0"/>
                <w:numId w:val="119"/>
              </w:numPr>
              <w:spacing w:line="276" w:lineRule="auto"/>
            </w:pPr>
            <w:r>
              <w:t xml:space="preserve">Експертна оценка на размера на </w:t>
            </w:r>
            <w:r>
              <w:rPr>
                <w:b/>
              </w:rPr>
              <w:t>броя</w:t>
            </w:r>
            <w:r>
              <w:t xml:space="preserve"> на контрагентите или сделките (c0040) от </w:t>
            </w:r>
            <w:r>
              <w:rPr>
                <w:b/>
              </w:rPr>
              <w:t>национална</w:t>
            </w:r>
            <w:r>
              <w:t xml:space="preserve"> гледна точка [</w:t>
            </w:r>
            <w:r>
              <w:rPr>
                <w:i/>
              </w:rPr>
              <w:t>на равнището на съответния пазар</w:t>
            </w:r>
            <w:r>
              <w:t>]:</w:t>
            </w:r>
          </w:p>
          <w:p w14:paraId="7FE1BD6A" w14:textId="77777777" w:rsidR="00FE5D64" w:rsidRDefault="00E40776">
            <w:pPr>
              <w:pStyle w:val="P68B1DB1-ListParagraph32"/>
              <w:numPr>
                <w:ilvl w:val="1"/>
                <w:numId w:val="119"/>
              </w:numPr>
              <w:spacing w:line="276" w:lineRule="auto"/>
            </w:pPr>
            <w:r>
              <w:t>От национална гледна точка колко голям е приблизителният брой контрагенти на Вашите институции?</w:t>
            </w:r>
          </w:p>
          <w:p w14:paraId="7FE1BD6B" w14:textId="77777777" w:rsidR="00FE5D64" w:rsidRDefault="00FE5D64">
            <w:pPr>
              <w:rPr>
                <w:rFonts w:ascii="Times New Roman" w:eastAsiaTheme="minorHAnsi" w:hAnsi="Times New Roman" w:cs="Times New Roman"/>
                <w:color w:val="000000" w:themeColor="text1"/>
                <w:sz w:val="20"/>
                <w:szCs w:val="20"/>
              </w:rPr>
            </w:pPr>
          </w:p>
        </w:tc>
      </w:tr>
      <w:tr w:rsidR="00FE5D64"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FE5D64" w:rsidRDefault="00E40776">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FE5D64" w:rsidRDefault="00E40776">
            <w:pPr>
              <w:pStyle w:val="P68B1DB1-Normal42"/>
              <w:rPr>
                <w:bCs/>
              </w:rPr>
            </w:pPr>
            <w:r>
              <w:t>Трансграничен показател</w:t>
            </w:r>
          </w:p>
          <w:p w14:paraId="7FE1BD6F" w14:textId="77777777" w:rsidR="00FE5D64" w:rsidRDefault="00E40776">
            <w:pPr>
              <w:pStyle w:val="P68B1DB1-Normal43"/>
            </w:pPr>
            <w:r>
              <w:t>Оценка на относителното значение на трансграничните дейности за различните икономически функции.</w:t>
            </w:r>
          </w:p>
          <w:p w14:paraId="7FE1BD70" w14:textId="77777777" w:rsidR="00FE5D64" w:rsidRDefault="00E40776">
            <w:pPr>
              <w:pStyle w:val="P68B1DB1-Normal43"/>
            </w:pPr>
            <w:r>
              <w:t xml:space="preserve">Това не е необходимо да се оценява в случай на доклади, в които съответният пазар се счита за регионален. </w:t>
            </w:r>
          </w:p>
          <w:p w14:paraId="482F1D03" w14:textId="77777777" w:rsidR="00FE5D64" w:rsidRDefault="00E40776">
            <w:pPr>
              <w:pStyle w:val="P68B1DB1-ListParagraph32"/>
              <w:numPr>
                <w:ilvl w:val="0"/>
                <w:numId w:val="118"/>
              </w:numPr>
              <w:rPr>
                <w:i/>
                <w:iCs/>
              </w:rPr>
            </w:pPr>
            <w:r>
              <w:t>Дял от дейността на отчитащото се предприятие в други юрисдикции като процент от общата стойност, изразен в брутна балансова стойност. Доклад:</w:t>
            </w:r>
          </w:p>
          <w:p w14:paraId="7E6697A4" w14:textId="0A448298" w:rsidR="00FE5D64" w:rsidRDefault="00E40776">
            <w:pPr>
              <w:pStyle w:val="P68B1DB1-ListParagraph32"/>
              <w:numPr>
                <w:ilvl w:val="1"/>
                <w:numId w:val="118"/>
              </w:numPr>
              <w:rPr>
                <w:i/>
                <w:iCs/>
              </w:rPr>
            </w:pPr>
            <w:r>
              <w:t xml:space="preserve"> [...] 5 %; </w:t>
            </w:r>
          </w:p>
          <w:p w14:paraId="30B91FAF" w14:textId="5CD6C33D" w:rsidR="00FE5D64" w:rsidRDefault="00E40776">
            <w:pPr>
              <w:pStyle w:val="P68B1DB1-ListParagraph32"/>
              <w:numPr>
                <w:ilvl w:val="1"/>
                <w:numId w:val="118"/>
              </w:numPr>
              <w:rPr>
                <w:i/>
                <w:iCs/>
              </w:rPr>
            </w:pPr>
            <w:r>
              <w:t xml:space="preserve">5 — -15 %; </w:t>
            </w:r>
          </w:p>
          <w:p w14:paraId="50353685" w14:textId="2995AD20" w:rsidR="00FE5D64" w:rsidRDefault="00E40776">
            <w:pPr>
              <w:pStyle w:val="P68B1DB1-ListParagraph32"/>
              <w:numPr>
                <w:ilvl w:val="1"/>
                <w:numId w:val="118"/>
              </w:numPr>
              <w:rPr>
                <w:i/>
                <w:iCs/>
              </w:rPr>
            </w:pPr>
            <w:r>
              <w:t xml:space="preserve">15—25 %, </w:t>
            </w:r>
          </w:p>
          <w:p w14:paraId="7FE1BD71" w14:textId="6E1F5AA5" w:rsidR="00FE5D64" w:rsidRDefault="00E40776">
            <w:pPr>
              <w:pStyle w:val="P68B1DB1-ListParagraph32"/>
              <w:numPr>
                <w:ilvl w:val="1"/>
                <w:numId w:val="118"/>
              </w:numPr>
              <w:rPr>
                <w:i/>
                <w:iCs/>
              </w:rPr>
            </w:pPr>
            <w:r>
              <w:t>&gt; 25 %.</w:t>
            </w:r>
          </w:p>
          <w:p w14:paraId="7FE1BD72" w14:textId="77777777" w:rsidR="00FE5D64" w:rsidRDefault="00FE5D64">
            <w:pPr>
              <w:rPr>
                <w:rFonts w:ascii="Times New Roman" w:eastAsiaTheme="minorHAnsi" w:hAnsi="Times New Roman" w:cs="Times New Roman"/>
                <w:color w:val="000000" w:themeColor="text1"/>
                <w:sz w:val="20"/>
                <w:szCs w:val="20"/>
              </w:rPr>
            </w:pPr>
          </w:p>
        </w:tc>
      </w:tr>
      <w:tr w:rsidR="00FE5D64"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FE5D64" w:rsidRDefault="00E40776">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FE5D64" w:rsidRDefault="00E40776">
            <w:pPr>
              <w:pStyle w:val="P68B1DB1-Normal42"/>
              <w:rPr>
                <w:bCs/>
              </w:rPr>
            </w:pPr>
            <w:r>
              <w:t xml:space="preserve">Уместност — </w:t>
            </w:r>
          </w:p>
          <w:p w14:paraId="7FE1BD76" w14:textId="77777777" w:rsidR="00FE5D64" w:rsidRDefault="00E40776">
            <w:pPr>
              <w:pStyle w:val="P68B1DB1-Normal43"/>
            </w:pPr>
            <w:r>
              <w:t>На местно, регионално, национално или европейско равнище, по целесъобразност за съответния пазар. Значението на институцията може да бъде оценено въз основа на пазарния дял, взаимосвързаността, сложността и трансграничните дейности;</w:t>
            </w:r>
          </w:p>
          <w:p w14:paraId="7FE1BD77" w14:textId="77777777" w:rsidR="00FE5D64" w:rsidRDefault="00E40776">
            <w:pPr>
              <w:pStyle w:val="P68B1DB1-Normal42"/>
              <w:rPr>
                <w:bCs/>
              </w:rPr>
            </w:pPr>
            <w:r>
              <w:t>Пазарен дял</w:t>
            </w:r>
          </w:p>
          <w:p w14:paraId="7FE1BD78" w14:textId="77777777" w:rsidR="00FE5D64" w:rsidRDefault="00E40776">
            <w:pPr>
              <w:pStyle w:val="P68B1DB1-Normal43"/>
            </w:pPr>
            <w:r>
              <w:t xml:space="preserve">Преценете колко важен е пазарният дял на отчитащия се субект в сравнение с националния или друг съответен пазар, както е посочено в образеца. Тази оценка е изразена качествено по следния начин: </w:t>
            </w:r>
          </w:p>
          <w:p w14:paraId="7FE1BD79" w14:textId="43E56AB8" w:rsidR="00FE5D64" w:rsidRDefault="00E40776">
            <w:pPr>
              <w:pStyle w:val="P68B1DB1-ListParagraph38"/>
              <w:numPr>
                <w:ilvl w:val="0"/>
                <w:numId w:val="276"/>
              </w:numPr>
              <w:spacing w:line="276" w:lineRule="auto"/>
              <w:jc w:val="both"/>
            </w:pPr>
            <w:r>
              <w:t>Висок, ако пазарният дял е голям</w:t>
            </w:r>
          </w:p>
          <w:p w14:paraId="7FE1BD7A" w14:textId="533BFB92" w:rsidR="00FE5D64" w:rsidRDefault="00E40776">
            <w:pPr>
              <w:pStyle w:val="P68B1DB1-ListParagraph38"/>
              <w:numPr>
                <w:ilvl w:val="0"/>
                <w:numId w:val="276"/>
              </w:numPr>
              <w:spacing w:line="276" w:lineRule="auto"/>
              <w:jc w:val="both"/>
            </w:pPr>
            <w:r>
              <w:t>Средно висок, ако пазарният дял е среден</w:t>
            </w:r>
          </w:p>
          <w:p w14:paraId="7FE1BD7B" w14:textId="3F2EEB01" w:rsidR="00FE5D64" w:rsidRDefault="00E40776">
            <w:pPr>
              <w:pStyle w:val="P68B1DB1-ListParagraph38"/>
              <w:numPr>
                <w:ilvl w:val="0"/>
                <w:numId w:val="276"/>
              </w:numPr>
              <w:spacing w:line="276" w:lineRule="auto"/>
              <w:jc w:val="both"/>
            </w:pPr>
            <w:r>
              <w:t xml:space="preserve">Средно нисък, ако пазарният дял е малък, или </w:t>
            </w:r>
          </w:p>
          <w:p w14:paraId="7FE1BD7C" w14:textId="05FA4C79" w:rsidR="00FE5D64" w:rsidRDefault="00E40776">
            <w:pPr>
              <w:pStyle w:val="P68B1DB1-ListParagraph38"/>
              <w:numPr>
                <w:ilvl w:val="0"/>
                <w:numId w:val="276"/>
              </w:numPr>
              <w:spacing w:line="276" w:lineRule="auto"/>
              <w:jc w:val="both"/>
            </w:pPr>
            <w:r>
              <w:t xml:space="preserve">Нисък, ако пазарният дял е незначителен. </w:t>
            </w:r>
          </w:p>
          <w:p w14:paraId="7FE1BD7D" w14:textId="77777777" w:rsidR="00FE5D64" w:rsidRDefault="00E40776">
            <w:pPr>
              <w:pStyle w:val="P68B1DB1-Normal43"/>
            </w:pPr>
            <w:r>
              <w:t xml:space="preserve">При тази оценка се взема предвид пазарната структура на държавата на отчитащото се предприятие (или друг съответен пазар) и пазарните дялове, отчетени частично. </w:t>
            </w:r>
          </w:p>
          <w:p w14:paraId="7FE1BD7E" w14:textId="77777777" w:rsidR="00FE5D64" w:rsidRDefault="00E40776">
            <w:pPr>
              <w:pStyle w:val="P68B1DB1-Normal43"/>
            </w:pPr>
            <w:r>
              <w:t>2.Количествени данни:</w:t>
            </w:r>
          </w:p>
          <w:p w14:paraId="7FE1BD7F" w14:textId="77777777" w:rsidR="00FE5D64" w:rsidRDefault="00E40776">
            <w:pPr>
              <w:pStyle w:val="P68B1DB1-ListParagraph32"/>
              <w:numPr>
                <w:ilvl w:val="0"/>
                <w:numId w:val="116"/>
              </w:numPr>
              <w:jc w:val="both"/>
              <w:rPr>
                <w:i/>
                <w:iCs/>
              </w:rPr>
            </w:pPr>
            <w:r>
              <w:t xml:space="preserve">Експертна оценка на размера на </w:t>
            </w:r>
            <w:r>
              <w:rPr>
                <w:b/>
              </w:rPr>
              <w:t xml:space="preserve">националния </w:t>
            </w:r>
            <w:r>
              <w:t>пазарен дял (докладвана в c0020, освен в случаите, когато докладът е предоставен за различно съответно пазарно равнище, в който случай се очаква оценка на съответния пазарен дял).</w:t>
            </w:r>
          </w:p>
          <w:p w14:paraId="7FE1BD80" w14:textId="77777777" w:rsidR="00FE5D64" w:rsidRDefault="00FE5D64">
            <w:pPr>
              <w:rPr>
                <w:rFonts w:ascii="Times New Roman" w:eastAsiaTheme="minorHAnsi" w:hAnsi="Times New Roman" w:cs="Times New Roman"/>
                <w:color w:val="000000" w:themeColor="text1"/>
                <w:sz w:val="20"/>
                <w:szCs w:val="20"/>
              </w:rPr>
            </w:pPr>
          </w:p>
          <w:p w14:paraId="7FE1BD81" w14:textId="77777777" w:rsidR="00FE5D64" w:rsidRDefault="00FE5D64">
            <w:pPr>
              <w:rPr>
                <w:rFonts w:ascii="Times New Roman" w:eastAsiaTheme="minorHAnsi" w:hAnsi="Times New Roman" w:cs="Times New Roman"/>
                <w:color w:val="000000" w:themeColor="text1"/>
                <w:sz w:val="20"/>
                <w:szCs w:val="20"/>
              </w:rPr>
            </w:pPr>
          </w:p>
        </w:tc>
      </w:tr>
      <w:tr w:rsidR="00FE5D64"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FE5D64" w:rsidRDefault="00E40776">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FE5D64" w:rsidRDefault="00E40776">
            <w:pPr>
              <w:pStyle w:val="P68B1DB1-Normal42"/>
              <w:rPr>
                <w:bCs/>
              </w:rPr>
            </w:pPr>
            <w:r>
              <w:t>Пазарна структура — концентрация на пазара</w:t>
            </w:r>
          </w:p>
          <w:p w14:paraId="7FE1BD85" w14:textId="77777777" w:rsidR="00FE5D64" w:rsidRDefault="00E40776">
            <w:pPr>
              <w:pStyle w:val="P68B1DB1-Normal43"/>
            </w:pPr>
            <w:r>
              <w:t xml:space="preserve">Концентрацията на пазара, измерена чрез броя на конкурентите, които понастоящем функционират </w:t>
            </w:r>
          </w:p>
          <w:p w14:paraId="7FE1BD86" w14:textId="77777777" w:rsidR="00FE5D64" w:rsidRDefault="00E40776">
            <w:pPr>
              <w:pStyle w:val="P68B1DB1-Normal43"/>
            </w:pPr>
            <w:r>
              <w:t xml:space="preserve">сходни икономически функции и/или предлагане на сходни услуги при равни условия (т.е. </w:t>
            </w:r>
          </w:p>
          <w:p w14:paraId="7FE1BD87" w14:textId="77777777" w:rsidR="00FE5D64" w:rsidRDefault="00E40776">
            <w:pPr>
              <w:pStyle w:val="P68B1DB1-Normal43"/>
            </w:pPr>
            <w:r>
              <w:t xml:space="preserve">съпоставима степен и качество и на сравнима цена), които потенциално ще поемат </w:t>
            </w:r>
          </w:p>
          <w:p w14:paraId="7FE1BD88" w14:textId="77777777" w:rsidR="00FE5D64" w:rsidRDefault="00E40776">
            <w:pPr>
              <w:pStyle w:val="P68B1DB1-Normal43"/>
            </w:pPr>
            <w:r>
              <w:lastRenderedPageBreak/>
              <w:t xml:space="preserve">(част от) клиентите и/или стопанската дейност на отчитащото се предприятие в рамките на разумен срок. </w:t>
            </w:r>
          </w:p>
          <w:p w14:paraId="7FE1BD89" w14:textId="77777777" w:rsidR="00FE5D64" w:rsidRDefault="00E40776">
            <w:pPr>
              <w:pStyle w:val="P68B1DB1-Normal43"/>
            </w:pPr>
            <w:r>
              <w:t xml:space="preserve">Това се отчита в групи, които са еднакви за всяка подфункция. </w:t>
            </w:r>
          </w:p>
          <w:p w14:paraId="5A8DDF15" w14:textId="77777777" w:rsidR="00FE5D64" w:rsidRDefault="00E40776">
            <w:pPr>
              <w:pStyle w:val="P68B1DB1-ListParagraph32"/>
              <w:numPr>
                <w:ilvl w:val="0"/>
                <w:numId w:val="277"/>
              </w:numPr>
              <w:jc w:val="both"/>
            </w:pPr>
            <w:r>
              <w:t xml:space="preserve">&gt; 20 конкуренти; </w:t>
            </w:r>
          </w:p>
          <w:p w14:paraId="0FB3FECD" w14:textId="77777777" w:rsidR="00FE5D64" w:rsidRDefault="00E40776">
            <w:pPr>
              <w:pStyle w:val="P68B1DB1-ListParagraph32"/>
              <w:numPr>
                <w:ilvl w:val="0"/>
                <w:numId w:val="277"/>
              </w:numPr>
              <w:jc w:val="both"/>
            </w:pPr>
            <w:r>
              <w:t xml:space="preserve">11—20 конкуренти; </w:t>
            </w:r>
          </w:p>
          <w:p w14:paraId="0742AD9B" w14:textId="77777777" w:rsidR="00FE5D64" w:rsidRDefault="00E40776">
            <w:pPr>
              <w:pStyle w:val="P68B1DB1-ListParagraph32"/>
              <w:numPr>
                <w:ilvl w:val="0"/>
                <w:numId w:val="277"/>
              </w:numPr>
              <w:jc w:val="both"/>
            </w:pPr>
            <w:r>
              <w:t xml:space="preserve">От 5 до 10 състезатели, </w:t>
            </w:r>
          </w:p>
          <w:p w14:paraId="240AD074" w14:textId="77777777" w:rsidR="00FE5D64" w:rsidRDefault="00E40776">
            <w:pPr>
              <w:pStyle w:val="P68B1DB1-ListParagraph32"/>
              <w:numPr>
                <w:ilvl w:val="0"/>
                <w:numId w:val="277"/>
              </w:numPr>
              <w:jc w:val="both"/>
              <w:rPr>
                <w:b/>
                <w:bCs/>
                <w:color w:val="000000" w:themeColor="text1"/>
              </w:rPr>
            </w:pPr>
            <w:r>
              <w:t>„5 конкуренти“</w:t>
            </w:r>
          </w:p>
          <w:p w14:paraId="7FE1BD8D" w14:textId="2F17E01A" w:rsidR="00FE5D64" w:rsidRDefault="00FE5D64">
            <w:pPr>
              <w:jc w:val="both"/>
              <w:rPr>
                <w:rFonts w:ascii="Times New Roman" w:hAnsi="Times New Roman"/>
                <w:color w:val="000000" w:themeColor="text1"/>
                <w:sz w:val="20"/>
                <w:szCs w:val="20"/>
              </w:rPr>
            </w:pPr>
          </w:p>
        </w:tc>
      </w:tr>
      <w:tr w:rsidR="00FE5D64"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FE5D64" w:rsidRDefault="00E40776">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FE5D64" w:rsidRDefault="00E40776">
            <w:pPr>
              <w:pStyle w:val="P68B1DB1-Normal42"/>
              <w:rPr>
                <w:bCs/>
              </w:rPr>
            </w:pPr>
            <w:r>
              <w:t>График — очаквано време за заместване</w:t>
            </w:r>
          </w:p>
          <w:p w14:paraId="7FE1BD91" w14:textId="77777777" w:rsidR="00FE5D64" w:rsidRDefault="00E40776">
            <w:pPr>
              <w:pStyle w:val="P68B1DB1-Normal43"/>
            </w:pPr>
            <w:r>
              <w:t>Оценка на времето, необходимо за икономическата функция, предоставена от докладването</w:t>
            </w:r>
          </w:p>
          <w:p w14:paraId="7FE1BD92" w14:textId="77777777" w:rsidR="00FE5D64" w:rsidRDefault="00E40776">
            <w:pPr>
              <w:pStyle w:val="P68B1DB1-Normal43"/>
            </w:pPr>
            <w:r>
              <w:t xml:space="preserve">субект, който трябва да бъде поет от пазара в кризисна ситуация. Това включва: </w:t>
            </w:r>
          </w:p>
          <w:p w14:paraId="7FE1BD93" w14:textId="77777777" w:rsidR="00FE5D64" w:rsidRDefault="00E40776">
            <w:pPr>
              <w:pStyle w:val="P68B1DB1-ListParagraph38"/>
              <w:numPr>
                <w:ilvl w:val="0"/>
                <w:numId w:val="274"/>
              </w:numPr>
              <w:jc w:val="both"/>
            </w:pPr>
            <w:r>
              <w:t xml:space="preserve">очакваното време, необходимо на един или няколко конкурента (ите) за изпълнение на правните и техническите стъпки за поемане на функцията; както и  </w:t>
            </w:r>
          </w:p>
          <w:p w14:paraId="7FE1BD94" w14:textId="77777777" w:rsidR="00FE5D64" w:rsidRDefault="00E40776">
            <w:pPr>
              <w:pStyle w:val="P68B1DB1-ListParagraph38"/>
              <w:numPr>
                <w:ilvl w:val="0"/>
                <w:numId w:val="274"/>
              </w:numPr>
              <w:jc w:val="both"/>
            </w:pPr>
            <w:r>
              <w:t xml:space="preserve">времето, необходимо на ползвателите на услугата да се преместят при друг доставчик на услуги. </w:t>
            </w:r>
          </w:p>
          <w:p w14:paraId="7FE1BD95" w14:textId="77777777" w:rsidR="00FE5D64" w:rsidRDefault="00FE5D64">
            <w:pPr>
              <w:rPr>
                <w:rFonts w:ascii="Times New Roman" w:eastAsiaTheme="minorHAnsi" w:hAnsi="Times New Roman" w:cs="Times New Roman"/>
                <w:color w:val="000000" w:themeColor="text1"/>
                <w:sz w:val="20"/>
                <w:szCs w:val="20"/>
              </w:rPr>
            </w:pPr>
          </w:p>
          <w:p w14:paraId="7FE1BD96" w14:textId="77777777" w:rsidR="00FE5D64" w:rsidRDefault="00E40776">
            <w:pPr>
              <w:pStyle w:val="P68B1DB1-Normal43"/>
            </w:pPr>
            <w:r>
              <w:t>Като заместител на първия, представете приблизителна оценка на времето, необходимо на отчитащия се субект да поеме в собствената си стопанска дейност (част от) услугата, предоставяна от друга институция, на разумна цена в кризисна ситуация. Докладвайте очакваното време за заместване в групите, посочени в образеца:</w:t>
            </w:r>
          </w:p>
          <w:p w14:paraId="7FE1BD97" w14:textId="77777777" w:rsidR="00FE5D64" w:rsidRDefault="00E40776">
            <w:pPr>
              <w:pStyle w:val="P68B1DB1-Normal31"/>
            </w:pPr>
            <w:r>
              <w:t xml:space="preserve">Кофи: </w:t>
            </w:r>
          </w:p>
          <w:p w14:paraId="7FE1BD98" w14:textId="077A9BD3" w:rsidR="00FE5D64" w:rsidRDefault="00E40776">
            <w:pPr>
              <w:pStyle w:val="P68B1DB1-ListParagraph32"/>
              <w:numPr>
                <w:ilvl w:val="0"/>
                <w:numId w:val="287"/>
              </w:numPr>
            </w:pPr>
            <w:r>
              <w:t xml:space="preserve">≤ 1 ден; </w:t>
            </w:r>
          </w:p>
          <w:p w14:paraId="7FE1BD99" w14:textId="07CCFE77" w:rsidR="00FE5D64" w:rsidRDefault="00E40776">
            <w:pPr>
              <w:pStyle w:val="P68B1DB1-ListParagraph32"/>
              <w:numPr>
                <w:ilvl w:val="0"/>
                <w:numId w:val="287"/>
              </w:numPr>
            </w:pPr>
            <w:r>
              <w:t xml:space="preserve">1 ден — 1 седмица </w:t>
            </w:r>
          </w:p>
          <w:p w14:paraId="7FE1BD9A" w14:textId="47AC6C88" w:rsidR="00FE5D64" w:rsidRDefault="00E40776">
            <w:pPr>
              <w:pStyle w:val="P68B1DB1-ListParagraph32"/>
              <w:numPr>
                <w:ilvl w:val="0"/>
                <w:numId w:val="287"/>
              </w:numPr>
            </w:pPr>
            <w:r>
              <w:t xml:space="preserve">&gt; 1 седмица — 1 месец; </w:t>
            </w:r>
          </w:p>
          <w:p w14:paraId="7FE1BD9B" w14:textId="3CEE3934" w:rsidR="00FE5D64" w:rsidRDefault="00E40776">
            <w:pPr>
              <w:pStyle w:val="P68B1DB1-ListParagraph32"/>
              <w:numPr>
                <w:ilvl w:val="0"/>
                <w:numId w:val="287"/>
              </w:numPr>
              <w:rPr>
                <w:color w:val="000000" w:themeColor="text1"/>
              </w:rPr>
            </w:pPr>
            <w:r>
              <w:t>&gt; 1 месец</w:t>
            </w:r>
          </w:p>
        </w:tc>
      </w:tr>
      <w:tr w:rsidR="00FE5D64"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FE5D64" w:rsidRDefault="00E40776">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FE5D64" w:rsidRDefault="00E40776">
            <w:pPr>
              <w:pStyle w:val="P68B1DB1-Normal42"/>
              <w:rPr>
                <w:bCs/>
              </w:rPr>
            </w:pPr>
            <w:r>
              <w:t>Способност за заместване</w:t>
            </w:r>
          </w:p>
        </w:tc>
      </w:tr>
      <w:tr w:rsidR="00FE5D64"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FE5D64" w:rsidRDefault="00E40776">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FE5D64" w:rsidRDefault="00E40776">
            <w:pPr>
              <w:pStyle w:val="P68B1DB1-Normal42"/>
              <w:rPr>
                <w:bCs/>
              </w:rPr>
            </w:pPr>
            <w:r>
              <w:t>Правни пречки за навлизане на пазара или разрастване</w:t>
            </w:r>
          </w:p>
          <w:p w14:paraId="7FE1BDA2" w14:textId="77777777" w:rsidR="00FE5D64" w:rsidRDefault="00FE5D64">
            <w:pPr>
              <w:rPr>
                <w:rFonts w:ascii="Times New Roman" w:eastAsiaTheme="minorHAnsi" w:hAnsi="Times New Roman" w:cs="Times New Roman"/>
                <w:color w:val="000000" w:themeColor="text1"/>
                <w:sz w:val="20"/>
                <w:szCs w:val="20"/>
              </w:rPr>
            </w:pPr>
          </w:p>
          <w:p w14:paraId="7FE1BDA3" w14:textId="77777777" w:rsidR="00FE5D64" w:rsidRDefault="00E40776">
            <w:pPr>
              <w:pStyle w:val="P68B1DB1-Normal43"/>
            </w:pPr>
            <w:r>
              <w:t xml:space="preserve">Правни пречки за конкурентите да предлагат услугата. Правните изисквания за извършване на дейността на кредитните институции (напр. банкови лицензи или капиталови изисквания) не следва да се считат за непреодолими пречки при наличието на алтернативни доставчици. Този показател трябва да се отчита в групи, които са еднакви за всяка подфункция: </w:t>
            </w:r>
          </w:p>
          <w:p w14:paraId="7FE1BDA4" w14:textId="5F64D555" w:rsidR="00FE5D64" w:rsidRDefault="00E40776">
            <w:pPr>
              <w:pStyle w:val="P68B1DB1-ListParagraph39"/>
              <w:numPr>
                <w:ilvl w:val="0"/>
                <w:numId w:val="275"/>
              </w:numPr>
              <w:jc w:val="both"/>
            </w:pPr>
            <w:r>
              <w:t xml:space="preserve">няма големи пречки, </w:t>
            </w:r>
          </w:p>
          <w:p w14:paraId="7FE1BDA5" w14:textId="09B8D427" w:rsidR="00FE5D64" w:rsidRDefault="00E40776">
            <w:pPr>
              <w:pStyle w:val="P68B1DB1-ListParagraph39"/>
              <w:numPr>
                <w:ilvl w:val="0"/>
                <w:numId w:val="275"/>
              </w:numPr>
              <w:jc w:val="both"/>
            </w:pPr>
            <w:r>
              <w:t xml:space="preserve">някои пречки, </w:t>
            </w:r>
          </w:p>
          <w:p w14:paraId="7FE1BDA6" w14:textId="14CFE055" w:rsidR="00FE5D64" w:rsidRDefault="00E40776">
            <w:pPr>
              <w:pStyle w:val="P68B1DB1-ListParagraph39"/>
              <w:numPr>
                <w:ilvl w:val="0"/>
                <w:numId w:val="275"/>
              </w:numPr>
              <w:jc w:val="both"/>
            </w:pPr>
            <w:r>
              <w:t xml:space="preserve">значителни (но непреодолими) бариери, </w:t>
            </w:r>
          </w:p>
          <w:p w14:paraId="7FE1BDA8" w14:textId="2895BA0A" w:rsidR="00FE5D64" w:rsidRDefault="00E40776">
            <w:pPr>
              <w:pStyle w:val="P68B1DB1-ListParagraph8"/>
              <w:numPr>
                <w:ilvl w:val="0"/>
                <w:numId w:val="275"/>
              </w:numPr>
              <w:jc w:val="both"/>
              <w:rPr>
                <w:rFonts w:eastAsiaTheme="minorHAnsi"/>
              </w:rPr>
            </w:pPr>
            <w:r>
              <w:t>критични (трудни за преодоляване) бариери.</w:t>
            </w:r>
          </w:p>
        </w:tc>
      </w:tr>
      <w:tr w:rsidR="00FE5D64"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FE5D64" w:rsidRDefault="00E40776">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FE5D64" w:rsidRDefault="00E40776">
            <w:pPr>
              <w:pStyle w:val="P68B1DB1-Normal42"/>
              <w:rPr>
                <w:bCs/>
              </w:rPr>
            </w:pPr>
            <w:r>
              <w:t>Експлоатационни изисквания за навлизане или разширяване</w:t>
            </w:r>
          </w:p>
          <w:p w14:paraId="7FE1BDAC" w14:textId="77777777" w:rsidR="00FE5D64" w:rsidRDefault="00FE5D64">
            <w:pPr>
              <w:rPr>
                <w:rFonts w:ascii="Times New Roman" w:eastAsiaTheme="minorHAnsi" w:hAnsi="Times New Roman" w:cs="Times New Roman"/>
                <w:color w:val="000000" w:themeColor="text1"/>
                <w:sz w:val="20"/>
                <w:szCs w:val="20"/>
              </w:rPr>
            </w:pPr>
          </w:p>
          <w:p w14:paraId="7FE1BDAD" w14:textId="130EC7BC" w:rsidR="00FE5D64" w:rsidRDefault="00E40776">
            <w:pPr>
              <w:pStyle w:val="P68B1DB1-Normal43"/>
            </w:pPr>
            <w:r>
              <w:t xml:space="preserve">Организационни, технически и инфраструктурни изисквания за конкурентите да предлагат услугата. Предлагането на услуги, свързани с (под) функцията, изисква доставчиците да инвестират в (нова или допълнителна) инфраструктура или да променят своите организации. Оценява способността на пазара да поеме дадена стопанска дейност, например по отношение на капиталовите изисквания. </w:t>
            </w:r>
          </w:p>
          <w:p w14:paraId="7FE1BDAE" w14:textId="77777777" w:rsidR="00FE5D64" w:rsidRDefault="00E40776">
            <w:pPr>
              <w:pStyle w:val="P68B1DB1-Normal43"/>
            </w:pPr>
            <w:r>
              <w:t xml:space="preserve">Този показател трябва да се отчита в групи, които са еднакви за всяка подфункция: </w:t>
            </w:r>
          </w:p>
          <w:p w14:paraId="7FE1BDAF" w14:textId="39113051" w:rsidR="00FE5D64" w:rsidRDefault="00E40776">
            <w:pPr>
              <w:pStyle w:val="P68B1DB1-ListParagraph38"/>
              <w:numPr>
                <w:ilvl w:val="0"/>
                <w:numId w:val="278"/>
              </w:numPr>
              <w:jc w:val="both"/>
            </w:pPr>
            <w:r>
              <w:t xml:space="preserve">няма съществени изисквания, </w:t>
            </w:r>
          </w:p>
          <w:p w14:paraId="7FE1BDB0" w14:textId="63777608" w:rsidR="00FE5D64" w:rsidRDefault="00E40776">
            <w:pPr>
              <w:pStyle w:val="P68B1DB1-ListParagraph38"/>
              <w:numPr>
                <w:ilvl w:val="0"/>
                <w:numId w:val="278"/>
              </w:numPr>
              <w:jc w:val="both"/>
            </w:pPr>
            <w:r>
              <w:t xml:space="preserve">някои изисквания, </w:t>
            </w:r>
          </w:p>
          <w:p w14:paraId="7FE1BDB1" w14:textId="78F7EC3E" w:rsidR="00FE5D64" w:rsidRDefault="00E40776">
            <w:pPr>
              <w:pStyle w:val="P68B1DB1-ListParagraph38"/>
              <w:numPr>
                <w:ilvl w:val="0"/>
                <w:numId w:val="278"/>
              </w:numPr>
              <w:jc w:val="both"/>
            </w:pPr>
            <w:r>
              <w:t xml:space="preserve">съществени (но непреодолими) изисквания, </w:t>
            </w:r>
          </w:p>
          <w:p w14:paraId="7FE1BDB2" w14:textId="5A2EF079" w:rsidR="00FE5D64" w:rsidRDefault="00E40776">
            <w:pPr>
              <w:pStyle w:val="P68B1DB1-ListParagraph38"/>
              <w:numPr>
                <w:ilvl w:val="0"/>
                <w:numId w:val="278"/>
              </w:numPr>
              <w:jc w:val="both"/>
            </w:pPr>
            <w:r>
              <w:t>критични (трудни за допълване) изисквания.</w:t>
            </w:r>
          </w:p>
          <w:p w14:paraId="7FE1BDB3" w14:textId="77777777" w:rsidR="00FE5D64" w:rsidRDefault="00FE5D64">
            <w:pPr>
              <w:rPr>
                <w:rFonts w:ascii="Times New Roman" w:eastAsiaTheme="minorHAnsi" w:hAnsi="Times New Roman" w:cs="Times New Roman"/>
                <w:color w:val="000000" w:themeColor="text1"/>
                <w:sz w:val="20"/>
                <w:szCs w:val="20"/>
              </w:rPr>
            </w:pPr>
          </w:p>
        </w:tc>
      </w:tr>
      <w:tr w:rsidR="00FE5D64"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FE5D64" w:rsidRDefault="00E40776">
            <w:pPr>
              <w:pStyle w:val="P68B1DB1-TableParagraph17"/>
              <w:spacing w:before="108"/>
              <w:ind w:left="85"/>
              <w:jc w:val="both"/>
            </w:pPr>
            <w:r>
              <w:t>0160—</w:t>
            </w: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FE5D64" w:rsidRDefault="00E40776">
            <w:pPr>
              <w:pStyle w:val="P68B1DB1-Normal42"/>
              <w:rPr>
                <w:bCs/>
              </w:rPr>
            </w:pPr>
            <w:r>
              <w:lastRenderedPageBreak/>
              <w:t>Оценка на критичността</w:t>
            </w:r>
          </w:p>
        </w:tc>
      </w:tr>
      <w:tr w:rsidR="00FE5D64"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FE5D64" w:rsidRDefault="00E40776">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FE5D64" w:rsidRDefault="00E40776">
            <w:pPr>
              <w:pStyle w:val="P68B1DB1-Normal42"/>
              <w:rPr>
                <w:bCs/>
              </w:rPr>
            </w:pPr>
            <w:r>
              <w:t xml:space="preserve">Въздействие върху пазара </w:t>
            </w:r>
          </w:p>
          <w:p w14:paraId="7FE1BDBA" w14:textId="77777777" w:rsidR="00FE5D64" w:rsidRDefault="00E40776">
            <w:pPr>
              <w:pStyle w:val="P68B1DB1-Normal43"/>
            </w:pPr>
            <w:r>
              <w:t>Очакваното въздействие на внезапно прекъсване на функцията върху трети страни, финансовите пазари и реалната икономика, като се вземат предвид размерът, пазарният дял в дадената държава, външните и вътрешните взаимовръзки, сложността и трансграничната дейност на институцията.</w:t>
            </w:r>
          </w:p>
          <w:p w14:paraId="7FE1BDBB" w14:textId="26AC665D" w:rsidR="00FE5D64" w:rsidRDefault="00E40776">
            <w:pPr>
              <w:pStyle w:val="P68B1DB1-Normal43"/>
            </w:pPr>
            <w:r>
              <w:t>Тази оценка се изразява качествено като „висока „, „средна„, „средна „, „средна“ или ниска.</w:t>
            </w:r>
          </w:p>
          <w:p w14:paraId="7FE1BDBC" w14:textId="64D10370" w:rsidR="00FE5D64" w:rsidRDefault="00E40776">
            <w:pPr>
              <w:pStyle w:val="P68B1DB1-Normal43"/>
            </w:pPr>
            <w:r>
              <w:t>„Висок“ се избира, ако прекъсването би оказало силно въздействие върху националния пазар; „Средно-Високо“ — ако въздействието е значително; „Medium-Low“ — ако въздействието е съществено, но ограничено; „Low“ — ако въздействието е слабо.</w:t>
            </w:r>
          </w:p>
        </w:tc>
      </w:tr>
      <w:tr w:rsidR="00FE5D64"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FE5D64" w:rsidRDefault="00E40776">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FE5D64" w:rsidRDefault="00E40776">
            <w:pPr>
              <w:pStyle w:val="P68B1DB1-Normal42"/>
              <w:rPr>
                <w:bCs/>
              </w:rPr>
            </w:pPr>
            <w:r>
              <w:t>Заменяемост</w:t>
            </w:r>
          </w:p>
          <w:p w14:paraId="7FE1BDC0" w14:textId="77777777" w:rsidR="00FE5D64" w:rsidRDefault="00E40776">
            <w:pPr>
              <w:pStyle w:val="P68B1DB1-Normal43"/>
            </w:pPr>
            <w:r>
              <w:t>Член 6, параграф 3 от Делегиран регламент (ЕС) 2016/778.</w:t>
            </w:r>
          </w:p>
          <w:p w14:paraId="7FE1BDC1" w14:textId="77777777" w:rsidR="00FE5D64" w:rsidRDefault="00E40776">
            <w:pPr>
              <w:pStyle w:val="P68B1DB1-Normal43"/>
            </w:pPr>
            <w:r>
              <w:t>Дадена функция се приема за заменяема, ако може да бъде заменена по приемлив начин и в приемлив срок, с което да се избегнат системни проблеми за реалната икономика и финансовите пазари. Взема се предвид следното:</w:t>
            </w:r>
          </w:p>
          <w:p w14:paraId="7FE1BDC2" w14:textId="77777777" w:rsidR="00FE5D64" w:rsidRDefault="00E40776">
            <w:pPr>
              <w:pStyle w:val="P68B1DB1-Normal43"/>
            </w:pPr>
            <w:r>
              <w:t xml:space="preserve">(a) структурата на пазара за тази функция и наличието на алтернативни доставчици; </w:t>
            </w:r>
          </w:p>
          <w:p w14:paraId="7FE1BDC3" w14:textId="77777777" w:rsidR="00FE5D64" w:rsidRDefault="00E40776">
            <w:pPr>
              <w:pStyle w:val="P68B1DB1-Normal43"/>
            </w:pPr>
            <w:r>
              <w:t xml:space="preserve">(b) възможностите на останалите доставчици по отношение на капацитета, изискванията за изпълняване на функцията и потенциалните пречки за навлизане на пазара или разрастване; </w:t>
            </w:r>
          </w:p>
          <w:p w14:paraId="7FE1BDC4" w14:textId="77777777" w:rsidR="00FE5D64" w:rsidRDefault="00E40776">
            <w:pPr>
              <w:pStyle w:val="P68B1DB1-Normal43"/>
            </w:pPr>
            <w:r>
              <w:t xml:space="preserve">(c) стимулът за други доставчици да поемат тези дейности; </w:t>
            </w:r>
          </w:p>
          <w:p w14:paraId="7FE1BDC5" w14:textId="77777777" w:rsidR="00FE5D64" w:rsidRDefault="00E40776">
            <w:pPr>
              <w:pStyle w:val="P68B1DB1-Normal43"/>
            </w:pPr>
            <w:r>
              <w:t>(d) необходимото време за преминаване на ползвателите на услугата към нов доставчик на услуги и свързаните с този преход разходи;необходимото време за поемане на функцията от другите конкуренти и дали този срок е достатъчен, за да се предотвратят сериозни сътресения в зависимост от вида услуга.</w:t>
            </w:r>
          </w:p>
          <w:p w14:paraId="7FE1BDC6" w14:textId="024DAF4C" w:rsidR="00FE5D64" w:rsidRDefault="00E40776">
            <w:pPr>
              <w:pStyle w:val="P68B1DB1-Normal3"/>
            </w:pPr>
            <w:r>
              <w:t xml:space="preserve">Предоставяне на цялостна оценка на очакваната степен на заменяемост за всяка функция, като се вземат предвид различните оценявани по-рано измерения (пазарен дял, пазарна концентрация, време за заместване, правни пречки и оперативни изисквания за навлизане или разширяване). Тази оценка се изразява качествено като „висока „, „средна„, „средна „, „средна“ или ниска. </w:t>
            </w:r>
          </w:p>
          <w:p w14:paraId="07F40115" w14:textId="77777777" w:rsidR="00FE5D64" w:rsidRDefault="00FE5D64">
            <w:pPr>
              <w:rPr>
                <w:rFonts w:ascii="Times New Roman" w:eastAsiaTheme="minorHAnsi" w:hAnsi="Times New Roman" w:cs="Times New Roman"/>
                <w:color w:val="000000" w:themeColor="text1"/>
                <w:sz w:val="20"/>
                <w:szCs w:val="20"/>
              </w:rPr>
            </w:pPr>
          </w:p>
          <w:p w14:paraId="7FE1BDC7" w14:textId="704E53DC" w:rsidR="00FE5D64" w:rsidRDefault="00E40776">
            <w:pPr>
              <w:pStyle w:val="P68B1DB1-Normal43"/>
            </w:pPr>
            <w:r>
              <w:t>„Висок“ се избира, ако една функция може лесно да започне да се изпълнява от друга банка при сравними условия и в разумен срок;</w:t>
            </w:r>
          </w:p>
          <w:p w14:paraId="7FE1BDC8" w14:textId="794A9FE4" w:rsidR="00FE5D64" w:rsidRDefault="00E40776">
            <w:pPr>
              <w:pStyle w:val="P68B1DB1-Normal43"/>
            </w:pPr>
            <w:r>
              <w:t xml:space="preserve">„Низко“ ако една функция не може лесно или бързо да бъде заменена; </w:t>
            </w:r>
          </w:p>
          <w:p w14:paraId="7FE1BDC9" w14:textId="02A9D6A2" w:rsidR="00FE5D64" w:rsidRDefault="00E40776">
            <w:pPr>
              <w:pStyle w:val="P68B1DB1-Normal43"/>
            </w:pPr>
            <w:r>
              <w:t>„Medium-High„и „Medium-Low“ — за междинните случаи, предвид различните параметри (например пазарен дял, концентрация на пазара, време за замяна, както и правните пречки и оперативните изисквания за навлизане на пазара или разрастване).</w:t>
            </w:r>
          </w:p>
        </w:tc>
      </w:tr>
      <w:tr w:rsidR="00FE5D64"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FE5D64" w:rsidRDefault="00E40776">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FE5D64" w:rsidRDefault="00E40776">
            <w:pPr>
              <w:pStyle w:val="P68B1DB1-Normal42"/>
              <w:rPr>
                <w:bCs/>
              </w:rPr>
            </w:pPr>
            <w:r>
              <w:t>Критична функция</w:t>
            </w:r>
          </w:p>
          <w:p w14:paraId="7FE1BDCD" w14:textId="77777777" w:rsidR="00FE5D64" w:rsidRDefault="00E40776">
            <w:pPr>
              <w:pStyle w:val="P68B1DB1-Normal43"/>
            </w:pPr>
            <w:r>
              <w:t>В тази колона се посочва дали икономическата функция се счита за критична на пазара на съответната държава, като се вземат под внимание извършената от институцията анализа за въздействие и заместяемост.</w:t>
            </w:r>
          </w:p>
          <w:p w14:paraId="7FE1BDCE" w14:textId="77777777" w:rsidR="00FE5D64" w:rsidRDefault="00E40776">
            <w:pPr>
              <w:pStyle w:val="P68B1DB1-Normal43"/>
            </w:pPr>
            <w:r>
              <w:t>Посочва се „Да„или „Не“.</w:t>
            </w:r>
          </w:p>
        </w:tc>
      </w:tr>
      <w:tr w:rsidR="00FE5D64"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FE5D64" w:rsidRDefault="00E40776">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FE5D64" w:rsidRDefault="00E40776">
            <w:pPr>
              <w:pStyle w:val="P68B1DB1-Normal42"/>
              <w:rPr>
                <w:bCs/>
              </w:rPr>
            </w:pPr>
            <w:r>
              <w:t>Коментари на групата</w:t>
            </w:r>
          </w:p>
          <w:p w14:paraId="7FE1BDD2" w14:textId="77777777" w:rsidR="00FE5D64" w:rsidRDefault="00E40776">
            <w:pPr>
              <w:pStyle w:val="P68B1DB1-Normal43"/>
            </w:pPr>
            <w:r>
              <w:t>Това поле дава възможност на докладващия субект да обясни всички допускания, използвани при оценката на критичността на докладваната (ите) функция (и).</w:t>
            </w:r>
          </w:p>
        </w:tc>
      </w:tr>
    </w:tbl>
    <w:p w14:paraId="7FE1BDD4" w14:textId="77777777" w:rsidR="00FE5D64" w:rsidRDefault="00FE5D64">
      <w:pPr>
        <w:rPr>
          <w:rFonts w:ascii="Times New Roman" w:hAnsi="Times New Roman" w:cs="Times New Roman"/>
          <w:color w:val="000000" w:themeColor="text1"/>
          <w:sz w:val="20"/>
          <w:szCs w:val="20"/>
        </w:rPr>
      </w:pPr>
    </w:p>
    <w:p w14:paraId="7FE1BFB4" w14:textId="77777777" w:rsidR="00FE5D64" w:rsidRDefault="00FE5D64">
      <w:pPr>
        <w:rPr>
          <w:rFonts w:ascii="Times New Roman" w:hAnsi="Times New Roman" w:cs="Times New Roman"/>
        </w:rPr>
      </w:pPr>
    </w:p>
    <w:p w14:paraId="7FE1BFB5" w14:textId="432A2FAA" w:rsidR="00FE5D64" w:rsidRDefault="00E40776">
      <w:pPr>
        <w:pStyle w:val="P68B1DB1-Instructionsberschrift25"/>
        <w:numPr>
          <w:ilvl w:val="1"/>
          <w:numId w:val="49"/>
        </w:numPr>
        <w:ind w:left="357" w:hanging="357"/>
      </w:pPr>
      <w:bookmarkStart w:id="122" w:name="_Toc208244468"/>
      <w:r>
        <w:t>Z 07.02 — Онагледяване на икономическите функции по правни субекти (FUNC 2)</w:t>
      </w:r>
      <w:bookmarkEnd w:id="122"/>
      <w:r>
        <w:t xml:space="preserve"> </w:t>
      </w:r>
    </w:p>
    <w:p w14:paraId="7FE1BFB6" w14:textId="77777777" w:rsidR="00FE5D64" w:rsidRDefault="00E40776">
      <w:pPr>
        <w:pStyle w:val="P68B1DB1-Instructionsberschrift312"/>
        <w:rPr>
          <w:color w:val="auto"/>
        </w:rPr>
      </w:pPr>
      <w:r>
        <w:rPr>
          <w:color w:val="auto"/>
        </w:rPr>
        <w:t>Указания относно определени позиции</w:t>
      </w:r>
    </w:p>
    <w:p w14:paraId="7FE1BFB7" w14:textId="7A5F9014" w:rsidR="00FE5D64" w:rsidRDefault="00E40776">
      <w:pPr>
        <w:pStyle w:val="P68B1DB1-InstructionsText26"/>
        <w:numPr>
          <w:ilvl w:val="0"/>
          <w:numId w:val="232"/>
        </w:numPr>
        <w:spacing w:before="0"/>
      </w:pPr>
      <w:r>
        <w:t>Този образец се отчита за цялата група и като се вземат предвид икономическите функции, които групата предоставя на икономиката.</w:t>
      </w:r>
    </w:p>
    <w:p w14:paraId="7FE1BFB8" w14:textId="77777777" w:rsidR="00FE5D64" w:rsidRDefault="00E40776">
      <w:pPr>
        <w:pStyle w:val="P68B1DB1-InstructionsText26"/>
        <w:numPr>
          <w:ilvl w:val="0"/>
          <w:numId w:val="232"/>
        </w:numPr>
        <w:spacing w:before="0"/>
      </w:pPr>
      <w:r>
        <w:lastRenderedPageBreak/>
        <w:t>Съчетанието от стойности, отчетени в колони 0010, 0020 и 0040 от този образец, формира първичен код, който трябва да е уникален за всеки ред от образеца.</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E5D64"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FE5D64" w:rsidRDefault="00E40776">
            <w:pPr>
              <w:pStyle w:val="P68B1DB1-TableParagraph17"/>
              <w:spacing w:before="108"/>
              <w:ind w:left="85"/>
              <w:jc w:val="both"/>
            </w:pPr>
            <w: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FE5D64" w:rsidRDefault="00E40776">
            <w:pPr>
              <w:pStyle w:val="P68B1DB1-TableParagraph17"/>
              <w:spacing w:before="108"/>
              <w:ind w:left="85" w:right="1"/>
              <w:jc w:val="both"/>
            </w:pPr>
            <w:r>
              <w:t>Указания</w:t>
            </w:r>
          </w:p>
        </w:tc>
      </w:tr>
      <w:tr w:rsidR="00FE5D64"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FE5D64" w:rsidRDefault="00E40776">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FE5D64" w:rsidRDefault="00E40776">
            <w:pPr>
              <w:pStyle w:val="P68B1DB1-TableParagraph14"/>
              <w:spacing w:before="108"/>
              <w:ind w:left="85"/>
              <w:jc w:val="both"/>
              <w:rPr>
                <w:bCs/>
              </w:rPr>
            </w:pPr>
            <w:r>
              <w:t>Икономическа функция</w:t>
            </w:r>
          </w:p>
        </w:tc>
      </w:tr>
      <w:tr w:rsidR="00FE5D64"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FE5D64" w:rsidRDefault="00E40776">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FE5D64" w:rsidRDefault="00E40776">
            <w:pPr>
              <w:pStyle w:val="P68B1DB1-TableParagraph14"/>
              <w:spacing w:before="108"/>
              <w:ind w:left="85"/>
              <w:jc w:val="both"/>
              <w:rPr>
                <w:bCs/>
              </w:rPr>
            </w:pPr>
            <w:r>
              <w:t>Държава</w:t>
            </w:r>
          </w:p>
          <w:p w14:paraId="7FE1BFC1" w14:textId="235DC4B1" w:rsidR="00FE5D64" w:rsidRDefault="00E40776">
            <w:pPr>
              <w:pStyle w:val="P68B1DB1-TableParagraph17"/>
              <w:spacing w:before="108"/>
              <w:ind w:left="85"/>
            </w:pPr>
            <w:r>
              <w:t>Държавата, за която е предоставена икономическата функция</w:t>
            </w:r>
          </w:p>
        </w:tc>
      </w:tr>
      <w:tr w:rsidR="00FE5D64"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FE5D64" w:rsidRDefault="00E40776">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FE5D64" w:rsidRDefault="00E40776">
            <w:pPr>
              <w:pStyle w:val="P68B1DB1-TableParagraph14"/>
              <w:spacing w:before="108"/>
              <w:ind w:left="85"/>
              <w:jc w:val="both"/>
              <w:rPr>
                <w:bCs/>
              </w:rPr>
            </w:pPr>
            <w:r>
              <w:t>ИДЕНТИФИКАТОР</w:t>
            </w:r>
          </w:p>
          <w:p w14:paraId="7FE1BFC5" w14:textId="05F6B42D" w:rsidR="00FE5D64" w:rsidRDefault="00E40776">
            <w:pPr>
              <w:pStyle w:val="P68B1DB1-TableParagraph17"/>
              <w:spacing w:before="108"/>
              <w:ind w:left="85"/>
            </w:pPr>
            <w:r>
              <w:t>Идентификационен код на икономическите функции (както е посочено в образец Z 07.01 (FUNC 1) в случай на критични функции).</w:t>
            </w:r>
          </w:p>
        </w:tc>
      </w:tr>
      <w:tr w:rsidR="00FE5D64"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FE5D64" w:rsidRDefault="00E40776">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FE5D64" w:rsidRDefault="00E40776">
            <w:pPr>
              <w:pStyle w:val="P68B1DB1-TableParagraph14"/>
              <w:spacing w:before="108"/>
              <w:ind w:left="85"/>
              <w:jc w:val="both"/>
              <w:rPr>
                <w:bCs/>
              </w:rPr>
            </w:pPr>
            <w:r>
              <w:t>Правно образувание</w:t>
            </w:r>
          </w:p>
        </w:tc>
      </w:tr>
      <w:tr w:rsidR="00FE5D64"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FE5D64" w:rsidRDefault="00E40776">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FE5D64" w:rsidRDefault="00E40776">
            <w:pPr>
              <w:pStyle w:val="P68B1DB1-TableParagraph14"/>
              <w:spacing w:before="108"/>
              <w:ind w:left="85"/>
              <w:jc w:val="both"/>
              <w:rPr>
                <w:bCs/>
              </w:rPr>
            </w:pPr>
            <w:r>
              <w:t>Наименование на субекта</w:t>
            </w:r>
          </w:p>
          <w:p w14:paraId="7FE1BFCD" w14:textId="375A6177" w:rsidR="00FE5D64" w:rsidRDefault="00E40776">
            <w:pPr>
              <w:pStyle w:val="P68B1DB1-TableParagraph17"/>
              <w:spacing w:before="108"/>
              <w:ind w:left="85"/>
            </w:pPr>
            <w:r>
              <w:t>Наименованието на субекта, изпълняващ икономическата функция, както е посочено в Z 01.01 (ORG 1).</w:t>
            </w:r>
          </w:p>
          <w:p w14:paraId="7FE1BFCE" w14:textId="2159DCA3" w:rsidR="00FE5D64" w:rsidRDefault="00E40776">
            <w:pPr>
              <w:pStyle w:val="P68B1DB1-TableParagraph17"/>
              <w:spacing w:before="108"/>
              <w:ind w:left="85"/>
            </w:pPr>
            <w:r>
              <w:t>Ако има няколко субекта, изпълняващи едни и същи функции в една и съща държава, информацията за всеки субект се предоставя в отделен ред.</w:t>
            </w:r>
          </w:p>
        </w:tc>
      </w:tr>
      <w:tr w:rsidR="00FE5D64"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FE5D64" w:rsidRDefault="00E40776">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FE5D64" w:rsidRDefault="00E40776">
            <w:pPr>
              <w:pStyle w:val="P68B1DB1-TableParagraph14"/>
              <w:spacing w:before="108"/>
              <w:ind w:left="85"/>
              <w:jc w:val="both"/>
              <w:rPr>
                <w:bCs/>
              </w:rPr>
            </w:pPr>
            <w:r>
              <w:t>Осемцифров код по ХС</w:t>
            </w:r>
          </w:p>
          <w:p w14:paraId="7FE1BFD2" w14:textId="77777777" w:rsidR="00FE5D64" w:rsidRDefault="00E40776">
            <w:pPr>
              <w:pStyle w:val="P68B1DB1-TableParagraph17"/>
              <w:spacing w:before="108"/>
              <w:ind w:left="85"/>
            </w:pPr>
            <w:r>
              <w:t>Уникален идентификатора на правния субект в колона 0020, посочен в образец Z 01.01 (ORG 1).</w:t>
            </w:r>
          </w:p>
          <w:p w14:paraId="7FE1BFD3" w14:textId="0AEAE2F2" w:rsidR="00FE5D64" w:rsidRDefault="00E40776">
            <w:pPr>
              <w:pStyle w:val="P68B1DB1-TableParagraph17"/>
              <w:spacing w:before="108"/>
              <w:ind w:left="85"/>
            </w:pPr>
            <w:r>
              <w:t>Идентифицирането на субектите се извършва по последователен начин във всички образци.</w:t>
            </w:r>
          </w:p>
        </w:tc>
      </w:tr>
      <w:tr w:rsidR="00FE5D64"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FE5D64" w:rsidRDefault="00E40776">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FE5D64" w:rsidRDefault="00E40776">
            <w:pPr>
              <w:pStyle w:val="P68B1DB1-TableParagraph14"/>
              <w:spacing w:before="108"/>
              <w:ind w:left="85"/>
              <w:jc w:val="both"/>
              <w:rPr>
                <w:bCs/>
              </w:rPr>
            </w:pPr>
            <w:r>
              <w:t>Вид код</w:t>
            </w:r>
          </w:p>
          <w:p w14:paraId="29A7EF10" w14:textId="77777777" w:rsidR="00FE5D64" w:rsidRDefault="00E40776">
            <w:pPr>
              <w:pStyle w:val="P68B1DB1-TableParagraph13"/>
              <w:spacing w:before="108"/>
            </w:pPr>
            <w:r>
              <w:t>Избира се измежду следните варианти: „ИКПС „, „Код на ПФИ„или „Вид идентификатор, различен от ИКПС или код на ПФИ“.</w:t>
            </w:r>
          </w:p>
          <w:p w14:paraId="7FE1BFDA" w14:textId="77777777" w:rsidR="00FE5D64" w:rsidRDefault="00E40776">
            <w:pPr>
              <w:pStyle w:val="P68B1DB1-TableParagraph13"/>
              <w:spacing w:before="108"/>
              <w:ind w:left="85"/>
              <w:jc w:val="both"/>
              <w:rPr>
                <w:b/>
                <w:bCs/>
              </w:rPr>
            </w:pPr>
            <w:r>
              <w:t>Идентифицирането на субектите се извършва по последователен начин във всички образци.</w:t>
            </w:r>
          </w:p>
        </w:tc>
      </w:tr>
      <w:tr w:rsidR="00FE5D64"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FE5D64" w:rsidRDefault="00E40776">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FE5D64" w:rsidRDefault="00E40776">
            <w:pPr>
              <w:pStyle w:val="P68B1DB1-TableParagraph14"/>
              <w:spacing w:before="108"/>
              <w:ind w:left="85"/>
              <w:jc w:val="both"/>
              <w:rPr>
                <w:bCs/>
              </w:rPr>
            </w:pPr>
            <w:r>
              <w:t>Парична стойност</w:t>
            </w:r>
          </w:p>
          <w:p w14:paraId="7FE1BFDE" w14:textId="1157FFA9" w:rsidR="00FE5D64" w:rsidRDefault="00E40776">
            <w:pPr>
              <w:pStyle w:val="P68B1DB1-TableParagraph17"/>
              <w:spacing w:before="108"/>
              <w:ind w:left="85"/>
            </w:pPr>
            <w:r>
              <w:t>Делът, в парично изражение, на правния субект в паричните суми, посочени в образец Z 07.01 (FUNC 1):</w:t>
            </w:r>
          </w:p>
          <w:p w14:paraId="7FE1BFDF" w14:textId="77777777" w:rsidR="00FE5D64" w:rsidRDefault="00E40776">
            <w:pPr>
              <w:pStyle w:val="P68B1DB1-TableParagraph17"/>
              <w:numPr>
                <w:ilvl w:val="0"/>
                <w:numId w:val="64"/>
              </w:numPr>
              <w:spacing w:before="108"/>
            </w:pPr>
            <w:r>
              <w:t>Депозити — стойност по сметки</w:t>
            </w:r>
          </w:p>
          <w:p w14:paraId="7FE1BFE0" w14:textId="77777777" w:rsidR="00FE5D64" w:rsidRDefault="00E40776">
            <w:pPr>
              <w:pStyle w:val="P68B1DB1-TableParagraph17"/>
              <w:numPr>
                <w:ilvl w:val="0"/>
                <w:numId w:val="64"/>
              </w:numPr>
              <w:spacing w:before="108"/>
            </w:pPr>
            <w:r>
              <w:t>Кредитиране — Неприключена стойност</w:t>
            </w:r>
          </w:p>
          <w:p w14:paraId="7FE1BFE1" w14:textId="77777777" w:rsidR="00FE5D64" w:rsidRDefault="00E40776">
            <w:pPr>
              <w:pStyle w:val="P68B1DB1-TableParagraph17"/>
              <w:numPr>
                <w:ilvl w:val="0"/>
                <w:numId w:val="64"/>
              </w:numPr>
              <w:spacing w:before="108"/>
            </w:pPr>
            <w:r>
              <w:t>Плащания — Стойност на сделките/отворените позиции/активите под попечителство (според случая)</w:t>
            </w:r>
          </w:p>
          <w:p w14:paraId="7FE1BFE2" w14:textId="77777777" w:rsidR="00FE5D64" w:rsidRDefault="00E40776">
            <w:pPr>
              <w:pStyle w:val="P68B1DB1-TableParagraph17"/>
              <w:numPr>
                <w:ilvl w:val="0"/>
                <w:numId w:val="64"/>
              </w:numPr>
              <w:spacing w:before="108"/>
            </w:pPr>
            <w:r>
              <w:t>Капиталови пазари — условна стойност/Балансова сума/Приходи от такси (според случая)</w:t>
            </w:r>
          </w:p>
          <w:p w14:paraId="7FE1BFE3" w14:textId="77777777" w:rsidR="00FE5D64" w:rsidRDefault="00E40776">
            <w:pPr>
              <w:pStyle w:val="P68B1DB1-TableParagraph17"/>
              <w:numPr>
                <w:ilvl w:val="0"/>
                <w:numId w:val="64"/>
              </w:numPr>
              <w:spacing w:before="108"/>
            </w:pPr>
            <w:r>
              <w:t>Финансиране на едро — Брутна балансова стойност</w:t>
            </w:r>
          </w:p>
        </w:tc>
      </w:tr>
    </w:tbl>
    <w:p w14:paraId="7FE1BFE5" w14:textId="77777777" w:rsidR="00FE5D64" w:rsidRDefault="00FE5D64">
      <w:pPr>
        <w:rPr>
          <w:rFonts w:ascii="Times New Roman" w:hAnsi="Times New Roman" w:cs="Times New Roman"/>
          <w:color w:val="000000" w:themeColor="text1"/>
          <w:sz w:val="20"/>
          <w:szCs w:val="20"/>
        </w:rPr>
      </w:pPr>
    </w:p>
    <w:p w14:paraId="7FE1BFE6" w14:textId="30C6C61A" w:rsidR="00FE5D64" w:rsidRDefault="00E40776">
      <w:pPr>
        <w:pStyle w:val="P68B1DB1-Instructionsberschrift25"/>
        <w:numPr>
          <w:ilvl w:val="1"/>
          <w:numId w:val="49"/>
        </w:numPr>
        <w:ind w:left="357" w:hanging="357"/>
      </w:pPr>
      <w:bookmarkStart w:id="123" w:name="_Toc208244469"/>
      <w:r>
        <w:t>Z 07.03 — Онагледяване на основните стопански дейности по правни субекти (FUNC 3)</w:t>
      </w:r>
      <w:bookmarkEnd w:id="123"/>
    </w:p>
    <w:p w14:paraId="7FE1BFE7" w14:textId="2A9EA2DA" w:rsidR="00FE5D64" w:rsidRDefault="00E40776">
      <w:pPr>
        <w:pStyle w:val="P68B1DB1-Instructionsberschrift312"/>
        <w:rPr>
          <w:bCs/>
        </w:rPr>
      </w:pPr>
      <w:r>
        <w:t>Указания относно определени позиции</w:t>
      </w:r>
    </w:p>
    <w:p w14:paraId="7FE1BFE8" w14:textId="22DA3D65" w:rsidR="00FE5D64" w:rsidRDefault="00E40776">
      <w:pPr>
        <w:pStyle w:val="P68B1DB1-InstructionsText26"/>
        <w:numPr>
          <w:ilvl w:val="0"/>
          <w:numId w:val="232"/>
        </w:numPr>
        <w:spacing w:before="0"/>
      </w:pPr>
      <w:r>
        <w:lastRenderedPageBreak/>
        <w:t>Комбинацията на стойностите, докладвани в колони 0020 и 0050 от настоящия образец, формира първичен код, който трябва да е собствен за всеки ред от образеца.</w:t>
      </w:r>
    </w:p>
    <w:p w14:paraId="7FE1BFE9" w14:textId="29720803" w:rsidR="00FE5D64" w:rsidRDefault="00E40776">
      <w:pPr>
        <w:pStyle w:val="P68B1DB1-InstructionsText26"/>
        <w:numPr>
          <w:ilvl w:val="0"/>
          <w:numId w:val="232"/>
        </w:numPr>
        <w:spacing w:before="0"/>
      </w:pPr>
      <w:r>
        <w:t xml:space="preserve">В настоящия образец се посочват само съответните правни субекти.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E5D64"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FE5D64" w:rsidRDefault="00E40776">
            <w:pPr>
              <w:pStyle w:val="P68B1DB1-TableParagraph17"/>
              <w:spacing w:before="108"/>
              <w:ind w:left="85"/>
              <w:jc w:val="both"/>
            </w:pPr>
            <w: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FE5D64" w:rsidRDefault="00E40776">
            <w:pPr>
              <w:pStyle w:val="P68B1DB1-TableParagraph17"/>
              <w:spacing w:before="108"/>
              <w:ind w:left="85" w:right="1"/>
              <w:jc w:val="both"/>
            </w:pPr>
            <w:r>
              <w:t>Указания</w:t>
            </w:r>
          </w:p>
        </w:tc>
      </w:tr>
      <w:tr w:rsidR="00FE5D64"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FE5D64" w:rsidRDefault="00E40776">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FE5D64" w:rsidRDefault="00E40776">
            <w:pPr>
              <w:pStyle w:val="P68B1DB1-TableParagraph14"/>
              <w:spacing w:before="108"/>
              <w:ind w:left="85"/>
              <w:jc w:val="both"/>
              <w:rPr>
                <w:bCs/>
              </w:rPr>
            </w:pPr>
            <w:r>
              <w:t>Основна стопанска дейност</w:t>
            </w:r>
          </w:p>
        </w:tc>
      </w:tr>
      <w:tr w:rsidR="00FE5D64"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FE5D64" w:rsidRDefault="00E40776">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FE5D64" w:rsidRDefault="00E40776">
            <w:pPr>
              <w:pStyle w:val="P68B1DB1-TableParagraph14"/>
              <w:spacing w:before="108"/>
              <w:ind w:left="85"/>
              <w:jc w:val="both"/>
              <w:rPr>
                <w:bCs/>
              </w:rPr>
            </w:pPr>
            <w:r>
              <w:t>Основна стопанска дейност</w:t>
            </w:r>
          </w:p>
          <w:p w14:paraId="7FE1BFF2" w14:textId="65133358" w:rsidR="00FE5D64" w:rsidRDefault="00E40776">
            <w:pPr>
              <w:pStyle w:val="P68B1DB1-TableParagraph17"/>
              <w:spacing w:before="108"/>
              <w:ind w:left="85"/>
            </w:pPr>
            <w:r>
              <w:t>Основна стопанска дейност по смисъла на член 2, параграф 1, точка 36 и член 2, параграф 2 от Директива 2014/59/ЕС.</w:t>
            </w:r>
          </w:p>
          <w:p w14:paraId="7FE1BFF3" w14:textId="77777777" w:rsidR="00FE5D64" w:rsidRDefault="00E40776">
            <w:pPr>
              <w:pStyle w:val="P68B1DB1-TableParagraph17"/>
              <w:spacing w:before="108"/>
              <w:ind w:left="85"/>
            </w:pPr>
            <w:r>
              <w:t>Основната стопанска дейност е една от изброените по-долу сфери на дейност.</w:t>
            </w:r>
          </w:p>
          <w:p w14:paraId="7FE1BFF4" w14:textId="77777777" w:rsidR="00FE5D64" w:rsidRDefault="00E40776">
            <w:pPr>
              <w:pStyle w:val="P68B1DB1-TableParagraph17"/>
              <w:numPr>
                <w:ilvl w:val="0"/>
                <w:numId w:val="139"/>
              </w:numPr>
              <w:spacing w:before="108"/>
              <w:rPr>
                <w:rFonts w:eastAsiaTheme="minorEastAsia"/>
              </w:rPr>
            </w:pPr>
            <w:r>
              <w:t xml:space="preserve">Банкиране на дребно </w:t>
            </w:r>
          </w:p>
          <w:p w14:paraId="7FE1BFF5" w14:textId="77777777" w:rsidR="00FE5D64" w:rsidRDefault="00E40776">
            <w:pPr>
              <w:pStyle w:val="P68B1DB1-TableParagraph17"/>
              <w:numPr>
                <w:ilvl w:val="0"/>
                <w:numId w:val="139"/>
              </w:numPr>
              <w:spacing w:before="108"/>
            </w:pPr>
            <w:r>
              <w:t>Корпоративно банкиране</w:t>
            </w:r>
          </w:p>
          <w:p w14:paraId="7FE1BFF6" w14:textId="77777777" w:rsidR="00FE5D64" w:rsidRDefault="00E40776">
            <w:pPr>
              <w:pStyle w:val="P68B1DB1-TableParagraph17"/>
              <w:numPr>
                <w:ilvl w:val="0"/>
                <w:numId w:val="139"/>
              </w:numPr>
              <w:spacing w:before="108"/>
            </w:pPr>
            <w:r>
              <w:t xml:space="preserve">Инвестиционно банкиране </w:t>
            </w:r>
          </w:p>
          <w:p w14:paraId="7FE1BFF7" w14:textId="77777777" w:rsidR="00FE5D64" w:rsidRDefault="00E40776">
            <w:pPr>
              <w:pStyle w:val="P68B1DB1-TableParagraph17"/>
              <w:numPr>
                <w:ilvl w:val="0"/>
                <w:numId w:val="139"/>
              </w:numPr>
              <w:spacing w:before="108"/>
            </w:pPr>
            <w:r>
              <w:t>Застрахователно дело</w:t>
            </w:r>
          </w:p>
          <w:p w14:paraId="7FE1BFF8" w14:textId="77777777" w:rsidR="00FE5D64" w:rsidRDefault="00E40776">
            <w:pPr>
              <w:pStyle w:val="P68B1DB1-TableParagraph17"/>
              <w:numPr>
                <w:ilvl w:val="0"/>
                <w:numId w:val="139"/>
              </w:numPr>
              <w:spacing w:before="108"/>
            </w:pPr>
            <w:r>
              <w:t>Презастраховане</w:t>
            </w:r>
          </w:p>
          <w:p w14:paraId="7FE1BFF9" w14:textId="77777777" w:rsidR="00FE5D64" w:rsidRDefault="00E40776">
            <w:pPr>
              <w:pStyle w:val="P68B1DB1-TableParagraph17"/>
              <w:numPr>
                <w:ilvl w:val="0"/>
                <w:numId w:val="139"/>
              </w:numPr>
              <w:spacing w:before="108"/>
            </w:pPr>
            <w:r>
              <w:t>Брокерски услуги на неинституционални клиенти</w:t>
            </w:r>
          </w:p>
          <w:p w14:paraId="7FE1BFFA" w14:textId="77777777" w:rsidR="00FE5D64" w:rsidRDefault="00E40776">
            <w:pPr>
              <w:pStyle w:val="P68B1DB1-TableParagraph17"/>
              <w:numPr>
                <w:ilvl w:val="0"/>
                <w:numId w:val="139"/>
              </w:numPr>
              <w:spacing w:before="108"/>
            </w:pPr>
            <w:r>
              <w:t xml:space="preserve">Управление на благосъстоянието </w:t>
            </w:r>
          </w:p>
          <w:p w14:paraId="7FE1BFFB" w14:textId="77777777" w:rsidR="00FE5D64" w:rsidRDefault="00E40776">
            <w:pPr>
              <w:pStyle w:val="P68B1DB1-TableParagraph17"/>
              <w:numPr>
                <w:ilvl w:val="0"/>
                <w:numId w:val="139"/>
              </w:numPr>
              <w:spacing w:before="108"/>
            </w:pPr>
            <w:r>
              <w:t>Агенция за недвижими имоти</w:t>
            </w:r>
          </w:p>
          <w:p w14:paraId="7FE1BFFC" w14:textId="77777777" w:rsidR="00FE5D64" w:rsidRDefault="00E40776">
            <w:pPr>
              <w:pStyle w:val="P68B1DB1-TableParagraph17"/>
              <w:numPr>
                <w:ilvl w:val="0"/>
                <w:numId w:val="139"/>
              </w:numPr>
              <w:spacing w:before="108"/>
            </w:pPr>
            <w:r>
              <w:t xml:space="preserve">Счетоводство </w:t>
            </w:r>
          </w:p>
          <w:p w14:paraId="7FE1BFFD" w14:textId="77777777" w:rsidR="00FE5D64" w:rsidRDefault="00E40776">
            <w:pPr>
              <w:pStyle w:val="P68B1DB1-TableParagraph17"/>
              <w:numPr>
                <w:ilvl w:val="0"/>
                <w:numId w:val="139"/>
              </w:numPr>
              <w:spacing w:before="108"/>
            </w:pPr>
            <w:r>
              <w:t>Други</w:t>
            </w:r>
          </w:p>
          <w:p w14:paraId="7FE1BFFE" w14:textId="77777777" w:rsidR="00FE5D64" w:rsidRDefault="00FE5D64">
            <w:pPr>
              <w:pStyle w:val="TableParagraph"/>
              <w:spacing w:before="108"/>
              <w:ind w:left="85"/>
              <w:rPr>
                <w:rFonts w:ascii="Times New Roman" w:eastAsia="Cambria" w:hAnsi="Times New Roman" w:cs="Times New Roman"/>
                <w:color w:val="000000" w:themeColor="text1"/>
                <w:sz w:val="20"/>
                <w:szCs w:val="20"/>
              </w:rPr>
            </w:pPr>
          </w:p>
        </w:tc>
      </w:tr>
      <w:tr w:rsidR="00FE5D64"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FE5D64" w:rsidRDefault="00E40776">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FE5D64" w:rsidRDefault="00E40776">
            <w:pPr>
              <w:pStyle w:val="P68B1DB1-TableParagraph14"/>
              <w:spacing w:before="108"/>
              <w:ind w:left="85"/>
              <w:jc w:val="both"/>
              <w:rPr>
                <w:bCs/>
              </w:rPr>
            </w:pPr>
            <w:r>
              <w:t>Идентификационен код на стопанската дейност</w:t>
            </w:r>
          </w:p>
          <w:p w14:paraId="7FE1C002" w14:textId="77777777" w:rsidR="00FE5D64" w:rsidRDefault="00E40776">
            <w:pPr>
              <w:pStyle w:val="P68B1DB1-TableParagraph17"/>
              <w:spacing w:before="108"/>
              <w:ind w:left="85"/>
            </w:pPr>
            <w:r>
              <w:t>Собствен идентификационен код на стопанската дейност, който се определя от институцията.</w:t>
            </w:r>
          </w:p>
        </w:tc>
      </w:tr>
      <w:tr w:rsidR="00FE5D64"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FE5D64" w:rsidRDefault="00E40776">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FE5D64" w:rsidRDefault="00E40776">
            <w:pPr>
              <w:pStyle w:val="P68B1DB1-TableParagraph14"/>
              <w:spacing w:before="108"/>
              <w:ind w:left="85"/>
              <w:jc w:val="both"/>
              <w:rPr>
                <w:bCs/>
              </w:rPr>
            </w:pPr>
            <w:r>
              <w:t>Описание</w:t>
            </w:r>
          </w:p>
          <w:p w14:paraId="7FE1C015" w14:textId="477A2340" w:rsidR="00FE5D64" w:rsidRDefault="00E40776">
            <w:pPr>
              <w:pStyle w:val="P68B1DB1-TableParagraph17"/>
              <w:spacing w:before="108"/>
              <w:ind w:left="85"/>
            </w:pPr>
            <w:r>
              <w:t>Описание на групата дейности.</w:t>
            </w:r>
          </w:p>
        </w:tc>
      </w:tr>
      <w:tr w:rsidR="00FE5D64"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FE5D64" w:rsidRDefault="00E40776">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FE5D64" w:rsidRDefault="00E40776">
            <w:pPr>
              <w:pStyle w:val="P68B1DB1-TableParagraph14"/>
              <w:spacing w:before="108"/>
              <w:ind w:left="85"/>
              <w:jc w:val="both"/>
              <w:rPr>
                <w:bCs/>
              </w:rPr>
            </w:pPr>
            <w:r>
              <w:t>Наименование на субекта</w:t>
            </w:r>
          </w:p>
          <w:p w14:paraId="7FE1C02D" w14:textId="45109CE8" w:rsidR="00FE5D64" w:rsidRDefault="00E40776">
            <w:pPr>
              <w:pStyle w:val="P68B1DB1-TableParagraph17"/>
              <w:spacing w:before="108"/>
              <w:ind w:left="85"/>
            </w:pPr>
            <w:r>
              <w:t>Наименование на образуванието, както е отчетено в Z 01.01 (ORG 1), което предоставя групата дейности.</w:t>
            </w:r>
          </w:p>
        </w:tc>
      </w:tr>
      <w:tr w:rsidR="00FE5D64"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FE5D64" w:rsidRDefault="00E40776">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FE5D64" w:rsidRDefault="00E40776">
            <w:pPr>
              <w:pStyle w:val="P68B1DB1-TableParagraph14"/>
              <w:spacing w:before="108"/>
              <w:ind w:left="85"/>
              <w:jc w:val="both"/>
              <w:rPr>
                <w:bCs/>
              </w:rPr>
            </w:pPr>
            <w:r>
              <w:t xml:space="preserve">Осемцифров код по ХС </w:t>
            </w:r>
          </w:p>
          <w:p w14:paraId="7FE1C031" w14:textId="77777777" w:rsidR="00FE5D64" w:rsidRDefault="00E40776">
            <w:pPr>
              <w:pStyle w:val="P68B1DB1-TableParagraph17"/>
              <w:spacing w:before="108"/>
              <w:ind w:left="85"/>
            </w:pPr>
            <w:r>
              <w:t>Уникален идентификатора на правния субект в колона 0020, посочен в образец Z 01.01 (ORG 1).</w:t>
            </w:r>
          </w:p>
          <w:p w14:paraId="7FE1C032" w14:textId="299C7D7B" w:rsidR="00FE5D64" w:rsidRDefault="00E40776">
            <w:pPr>
              <w:pStyle w:val="P68B1DB1-TableParagraph17"/>
              <w:spacing w:before="108"/>
              <w:ind w:left="85"/>
            </w:pPr>
            <w:r>
              <w:t>Идентифицирането на субектите се извършва по последователен начин във всички образци.</w:t>
            </w:r>
          </w:p>
        </w:tc>
      </w:tr>
      <w:tr w:rsidR="00FE5D64"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FE5D64" w:rsidRDefault="00E40776">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FE5D64" w:rsidRDefault="00E40776">
            <w:pPr>
              <w:pStyle w:val="P68B1DB1-TableParagraph14"/>
              <w:spacing w:before="108"/>
              <w:ind w:left="85"/>
              <w:jc w:val="both"/>
              <w:rPr>
                <w:bCs/>
              </w:rPr>
            </w:pPr>
            <w:r>
              <w:t>Вид код</w:t>
            </w:r>
          </w:p>
          <w:p w14:paraId="4F36B5CB" w14:textId="0A20F8AD" w:rsidR="00FE5D64" w:rsidRDefault="00E40776">
            <w:pPr>
              <w:pStyle w:val="P68B1DB1-TableParagraph13"/>
              <w:spacing w:before="108"/>
              <w:ind w:left="85"/>
              <w:jc w:val="both"/>
              <w:rPr>
                <w:bCs/>
              </w:rPr>
            </w:pPr>
            <w:r>
              <w:t>Избира се измежду следните варианти: „ИКПС „, „Код на ПФИ„или „Вид идентификатор, различен от ИКПС или код на ПФИ“.</w:t>
            </w:r>
          </w:p>
          <w:p w14:paraId="7FE1C039" w14:textId="5BB46896" w:rsidR="00FE5D64" w:rsidRDefault="00E40776">
            <w:pPr>
              <w:pStyle w:val="P68B1DB1-TableParagraph13"/>
              <w:spacing w:before="108"/>
              <w:ind w:left="85"/>
              <w:jc w:val="both"/>
              <w:rPr>
                <w:b/>
                <w:bCs/>
              </w:rPr>
            </w:pPr>
            <w:r>
              <w:t xml:space="preserve">Идентифицирането на субектите се извършва по последователен начин във всички образци. </w:t>
            </w:r>
          </w:p>
        </w:tc>
      </w:tr>
    </w:tbl>
    <w:p w14:paraId="7FE1C03B" w14:textId="7E256DE6" w:rsidR="00FE5D64" w:rsidRDefault="00E40776">
      <w:pPr>
        <w:pStyle w:val="P68B1DB1-Instructionsberschrift25"/>
        <w:numPr>
          <w:ilvl w:val="1"/>
          <w:numId w:val="49"/>
        </w:numPr>
        <w:ind w:left="357" w:hanging="357"/>
      </w:pPr>
      <w:bookmarkStart w:id="124" w:name="_Toc208244470"/>
      <w:r>
        <w:lastRenderedPageBreak/>
        <w:t>Z 07.04 — Онагледяване на критичните функции на основните стопански дейности (FUNC 4)</w:t>
      </w:r>
      <w:bookmarkEnd w:id="124"/>
    </w:p>
    <w:p w14:paraId="7FE1C03C" w14:textId="77777777" w:rsidR="00FE5D64" w:rsidRDefault="00E40776">
      <w:pPr>
        <w:pStyle w:val="P68B1DB1-Instructionsberschrift312"/>
        <w:rPr>
          <w:bCs/>
        </w:rPr>
      </w:pPr>
      <w:r>
        <w:t>Указания относно определени позиции</w:t>
      </w:r>
    </w:p>
    <w:p w14:paraId="7FE1C03E" w14:textId="1250AC76" w:rsidR="00FE5D64" w:rsidRDefault="00E40776">
      <w:pPr>
        <w:pStyle w:val="P68B1DB1-InstructionsText26"/>
        <w:numPr>
          <w:ilvl w:val="0"/>
          <w:numId w:val="0"/>
        </w:numPr>
        <w:spacing w:before="0"/>
        <w:ind w:left="1800"/>
      </w:pPr>
      <w:r>
        <w:t>Съчетанието от стойности, отчетени в колони 0010, 0020 и 0040 от този образец, формира първичен код, който трябва да е уникален за всеки ред от образеца.</w:t>
      </w:r>
    </w:p>
    <w:p w14:paraId="67939923" w14:textId="5A2745A8" w:rsidR="00FE5D64" w:rsidRDefault="00E40776">
      <w:pPr>
        <w:pStyle w:val="CommentText"/>
        <w:rPr>
          <w:rFonts w:ascii="Times New Roman" w:hAnsi="Times New Roman" w:cs="Times New Roman"/>
        </w:rPr>
      </w:pPr>
      <w:r>
        <w:rPr>
          <w:rFonts w:ascii="Times New Roman" w:hAnsi="Times New Roman" w:cs="Times New Roman"/>
        </w:rPr>
        <w:t>Само критични функции, както са определени в „</w:t>
      </w:r>
      <w:r>
        <w:rPr>
          <w:i/>
        </w:rPr>
        <w:t xml:space="preserve">Z 07.01.1 FUNC 1 DEP“; C0170; Z 07.01.2 FUNC 1 LEN, c0180; Z 07.01.3 FUNC 1 PAY, c0250; Z 07.01.4 FUNC 1 CM, c0210; В настоящия образец се докладва Z </w:t>
      </w:r>
      <w:r>
        <w:rPr>
          <w:rFonts w:ascii="Times New Roman" w:hAnsi="Times New Roman" w:cs="Times New Roman"/>
        </w:rPr>
        <w:t>07.01.5 FUNC 1 WF, c0180 CONS.</w:t>
      </w:r>
    </w:p>
    <w:p w14:paraId="7FE1C040" w14:textId="77777777" w:rsidR="00FE5D64" w:rsidRDefault="00FE5D64">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E5D64"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FE5D64" w:rsidRDefault="00E40776">
            <w:pPr>
              <w:pStyle w:val="P68B1DB1-TableParagraph17"/>
              <w:spacing w:before="108"/>
              <w:ind w:left="85"/>
              <w:jc w:val="both"/>
            </w:pPr>
            <w: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FE5D64" w:rsidRDefault="00E40776">
            <w:pPr>
              <w:pStyle w:val="P68B1DB1-TableParagraph17"/>
              <w:spacing w:before="108"/>
              <w:ind w:left="85" w:right="1"/>
              <w:jc w:val="both"/>
            </w:pPr>
            <w:r>
              <w:t>Указания</w:t>
            </w:r>
          </w:p>
        </w:tc>
      </w:tr>
      <w:tr w:rsidR="00FE5D64"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FE5D64" w:rsidRDefault="00E40776">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FE5D64" w:rsidRDefault="00E40776">
            <w:pPr>
              <w:pStyle w:val="P68B1DB1-TableParagraph14"/>
              <w:spacing w:before="108"/>
              <w:ind w:left="85"/>
              <w:jc w:val="both"/>
              <w:rPr>
                <w:bCs/>
              </w:rPr>
            </w:pPr>
            <w:r>
              <w:t xml:space="preserve"> Критична функция</w:t>
            </w:r>
          </w:p>
        </w:tc>
      </w:tr>
      <w:tr w:rsidR="00FE5D64"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FE5D64" w:rsidRDefault="00E40776">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FE5D64" w:rsidRDefault="00E40776">
            <w:pPr>
              <w:pStyle w:val="P68B1DB1-TableParagraph14"/>
              <w:spacing w:before="108"/>
              <w:ind w:left="85"/>
              <w:jc w:val="both"/>
              <w:rPr>
                <w:bCs/>
              </w:rPr>
            </w:pPr>
            <w:r>
              <w:t>Държава</w:t>
            </w:r>
          </w:p>
          <w:p w14:paraId="7FE1C049" w14:textId="77777777" w:rsidR="00FE5D64" w:rsidRDefault="00E40776">
            <w:pPr>
              <w:pStyle w:val="P68B1DB1-TableParagraph17"/>
              <w:spacing w:before="108"/>
              <w:ind w:left="85"/>
            </w:pPr>
            <w:r>
              <w:t>Държава, за която дадената функция е критична, съгласно посоченото в Z 07.01 (FUNC 1).</w:t>
            </w:r>
          </w:p>
        </w:tc>
      </w:tr>
      <w:tr w:rsidR="00FE5D64"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FE5D64" w:rsidRDefault="00E40776">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FE5D64" w:rsidRDefault="00E40776">
            <w:pPr>
              <w:pStyle w:val="P68B1DB1-TableParagraph14"/>
              <w:spacing w:before="108"/>
              <w:ind w:left="85"/>
              <w:jc w:val="both"/>
              <w:rPr>
                <w:bCs/>
              </w:rPr>
            </w:pPr>
            <w:r>
              <w:t>ИДЕНТИФИКАТОР</w:t>
            </w:r>
          </w:p>
          <w:p w14:paraId="7FE1C04D" w14:textId="4D9D2A77" w:rsidR="00FE5D64" w:rsidRDefault="00E40776">
            <w:pPr>
              <w:pStyle w:val="P68B1DB1-TableParagraph17"/>
              <w:spacing w:before="108"/>
              <w:ind w:left="85"/>
            </w:pPr>
            <w:r>
              <w:t>Идентификационен код на критичните функции, както е посочено в образец Z 07.01 (FUNC 1)</w:t>
            </w:r>
          </w:p>
        </w:tc>
      </w:tr>
      <w:tr w:rsidR="00FE5D64"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FE5D64" w:rsidRDefault="00E40776">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FE5D64" w:rsidRDefault="00E40776">
            <w:pPr>
              <w:pStyle w:val="P68B1DB1-TableParagraph14"/>
              <w:spacing w:before="108"/>
              <w:ind w:left="85"/>
              <w:jc w:val="both"/>
              <w:rPr>
                <w:bCs/>
              </w:rPr>
            </w:pPr>
            <w:r>
              <w:t>Основна стопанска дейност</w:t>
            </w:r>
          </w:p>
        </w:tc>
      </w:tr>
      <w:tr w:rsidR="00FE5D64"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FE5D64" w:rsidRDefault="00E40776">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FE5D64" w:rsidRDefault="00E40776">
            <w:pPr>
              <w:pStyle w:val="P68B1DB1-TableParagraph14"/>
              <w:spacing w:before="108"/>
              <w:ind w:left="85"/>
              <w:jc w:val="both"/>
              <w:rPr>
                <w:bCs/>
              </w:rPr>
            </w:pPr>
            <w:r>
              <w:t>Основна стопанска дейност</w:t>
            </w:r>
          </w:p>
          <w:p w14:paraId="7FE1C056" w14:textId="77777777" w:rsidR="00FE5D64" w:rsidRDefault="00E40776">
            <w:pPr>
              <w:pStyle w:val="P68B1DB1-TableParagraph17"/>
              <w:spacing w:before="108"/>
              <w:ind w:left="85"/>
            </w:pPr>
            <w:r>
              <w:t>Основна стопанска дейност по смисъла на член 2, параграф 1, точка 36 и член 2, параграф 2 от Директива 2014/59/ЕС, посочена в образец Z 07.03 (FUNC 3).</w:t>
            </w:r>
          </w:p>
        </w:tc>
      </w:tr>
      <w:tr w:rsidR="00FE5D64"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FE5D64" w:rsidRDefault="00E40776">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FE5D64" w:rsidRDefault="00E40776">
            <w:pPr>
              <w:pStyle w:val="P68B1DB1-TableParagraph14"/>
              <w:spacing w:before="108"/>
              <w:ind w:left="85"/>
              <w:jc w:val="both"/>
              <w:rPr>
                <w:bCs/>
              </w:rPr>
            </w:pPr>
            <w:r>
              <w:t>Група дейности: Идентификационен код на стопанската дейност</w:t>
            </w:r>
          </w:p>
          <w:p w14:paraId="7FE1C05A" w14:textId="77777777" w:rsidR="00FE5D64" w:rsidRDefault="00E40776">
            <w:pPr>
              <w:pStyle w:val="P68B1DB1-TableParagraph17"/>
              <w:spacing w:before="108"/>
              <w:ind w:left="85"/>
            </w:pPr>
            <w:r>
              <w:t>Уникален идентификационен код на стопанската дейност, който се определя от институцията; същият като идентификационния код, посочен в образец Z 07.03 (FUNC 3)</w:t>
            </w:r>
          </w:p>
        </w:tc>
      </w:tr>
    </w:tbl>
    <w:p w14:paraId="7FE1C222" w14:textId="77777777" w:rsidR="00FE5D64" w:rsidRDefault="00FE5D64">
      <w:pPr>
        <w:rPr>
          <w:rFonts w:ascii="Times New Roman" w:hAnsi="Times New Roman" w:cs="Times New Roman"/>
          <w:b/>
          <w:color w:val="000000" w:themeColor="text1"/>
          <w:sz w:val="20"/>
          <w:szCs w:val="20"/>
          <w:u w:val="single"/>
        </w:rPr>
      </w:pPr>
    </w:p>
    <w:p w14:paraId="7FE1C223" w14:textId="77777777" w:rsidR="00FE5D64" w:rsidRDefault="00E40776">
      <w:pPr>
        <w:pStyle w:val="P68B1DB1-Instructionsberschrift244"/>
        <w:numPr>
          <w:ilvl w:val="1"/>
          <w:numId w:val="49"/>
        </w:numPr>
        <w:ind w:left="357" w:hanging="357"/>
      </w:pPr>
      <w:bookmarkStart w:id="125" w:name="_Toc208244471"/>
      <w:r>
        <w:t>Съответни услуги</w:t>
      </w:r>
      <w:bookmarkEnd w:id="125"/>
    </w:p>
    <w:p w14:paraId="7FE1C224" w14:textId="70045BAA" w:rsidR="00FE5D64" w:rsidRDefault="00E40776">
      <w:pPr>
        <w:pStyle w:val="P68B1DB1-Instructionsberschrift25"/>
        <w:numPr>
          <w:ilvl w:val="1"/>
          <w:numId w:val="49"/>
        </w:numPr>
        <w:ind w:left="357" w:hanging="357"/>
        <w:rPr>
          <w:rFonts w:eastAsia="Calibri"/>
        </w:rPr>
      </w:pPr>
      <w:bookmarkStart w:id="126" w:name="_Toc208244472"/>
      <w:r>
        <w:t>Z 08.01— Релевантни услуги (SERV 1)</w:t>
      </w:r>
      <w:bookmarkEnd w:id="126"/>
      <w:r>
        <w:t xml:space="preserve"> </w:t>
      </w:r>
    </w:p>
    <w:p w14:paraId="7FE1C225" w14:textId="77777777" w:rsidR="00FE5D64" w:rsidRDefault="00E40776">
      <w:pPr>
        <w:pStyle w:val="P68B1DB1-Normal45"/>
        <w:spacing w:line="276" w:lineRule="auto"/>
        <w:jc w:val="both"/>
      </w:pPr>
      <w:r>
        <w:t>II.8.1 Общи инструкции</w:t>
      </w:r>
    </w:p>
    <w:p w14:paraId="7FE1C226" w14:textId="77777777" w:rsidR="00FE5D64" w:rsidRDefault="00FE5D64">
      <w:pPr>
        <w:spacing w:line="276" w:lineRule="auto"/>
        <w:jc w:val="both"/>
        <w:rPr>
          <w:rFonts w:ascii="Times New Roman" w:eastAsia="Calibri" w:hAnsi="Times New Roman" w:cs="Times New Roman"/>
          <w:sz w:val="20"/>
        </w:rPr>
      </w:pPr>
    </w:p>
    <w:p w14:paraId="7FE1C228" w14:textId="765604DB" w:rsidR="00FE5D64" w:rsidRDefault="00E40776">
      <w:pPr>
        <w:pStyle w:val="P68B1DB1-Instructionsberschrift346"/>
        <w:numPr>
          <w:ilvl w:val="4"/>
          <w:numId w:val="49"/>
        </w:numPr>
        <w:ind w:left="928"/>
        <w:contextualSpacing/>
        <w:jc w:val="both"/>
        <w:rPr>
          <w:color w:val="auto"/>
        </w:rPr>
      </w:pPr>
      <w:r>
        <w:t>Информацията, която трябва да се включи в настоящия образец, се предоставя веднъж за цялата група</w:t>
      </w:r>
      <w:r>
        <w:rPr>
          <w:color w:val="auto"/>
        </w:rPr>
        <w:t xml:space="preserve">; </w:t>
      </w:r>
      <w:r>
        <w:t xml:space="preserve">изброяват се критичните услуги, ползвани от всеки субект в групата, </w:t>
      </w:r>
      <w:r>
        <w:rPr>
          <w:color w:val="auto"/>
        </w:rPr>
        <w:t>и се свързват с критичните функции</w:t>
      </w:r>
      <w:r>
        <w:t>, изпълнявани</w:t>
      </w:r>
      <w:r>
        <w:rPr>
          <w:color w:val="auto"/>
        </w:rPr>
        <w:t xml:space="preserve"> </w:t>
      </w:r>
      <w:r>
        <w:t>от групата.</w:t>
      </w:r>
    </w:p>
    <w:p w14:paraId="7FE1C229" w14:textId="77777777" w:rsidR="00FE5D64" w:rsidRDefault="00E40776">
      <w:pPr>
        <w:pStyle w:val="Instructionsberschrift3"/>
        <w:ind w:left="928"/>
        <w:contextualSpacing/>
        <w:jc w:val="both"/>
        <w:rPr>
          <w:rFonts w:eastAsia="MS Mincho"/>
          <w:color w:val="auto"/>
          <w:u w:val="none"/>
        </w:rPr>
      </w:pPr>
      <w:r>
        <w:rPr>
          <w:rFonts w:eastAsia="Calibri"/>
          <w:b/>
          <w:color w:val="auto"/>
          <w:u w:val="none"/>
        </w:rPr>
        <w:t>Съответни услуги</w:t>
      </w:r>
      <w:r>
        <w:rPr>
          <w:rStyle w:val="FootnoteReference"/>
          <w:rFonts w:ascii="Times New Roman" w:eastAsia="Calibri" w:hAnsi="Times New Roman"/>
          <w:color w:val="auto"/>
          <w:sz w:val="20"/>
          <w:szCs w:val="20"/>
          <w:u w:val="none"/>
        </w:rPr>
        <w:footnoteReference w:id="22"/>
      </w:r>
      <w:r>
        <w:rPr>
          <w:rFonts w:eastAsia="Calibri"/>
          <w:color w:val="auto"/>
          <w:u w:val="none"/>
        </w:rPr>
        <w:t>: критични и основни услуги</w:t>
      </w:r>
    </w:p>
    <w:p w14:paraId="7FE1C22A" w14:textId="77777777" w:rsidR="00FE5D64" w:rsidRDefault="00E40776">
      <w:pPr>
        <w:pStyle w:val="P68B1DB1-Instructionsberschrift347"/>
        <w:ind w:left="928"/>
        <w:contextualSpacing/>
        <w:jc w:val="both"/>
        <w:rPr>
          <w:rFonts w:eastAsia="MS Mincho"/>
        </w:rPr>
      </w:pPr>
      <w:r>
        <w:rPr>
          <w:rFonts w:eastAsia="Calibri"/>
          <w:b/>
        </w:rPr>
        <w:t>Услуги от критично значение</w:t>
      </w:r>
      <w:r>
        <w:footnoteReference w:id="23"/>
      </w:r>
      <w:r>
        <w:t>: услуги, които се извършват за стопански единици на групата или субекти i) чието прекъсване би възпрепятствало сериозно или би попречило на изпълнението на една или повече критични функции; и (ii) която не може да бъде осигурена от друг доставчик в рамките на разумен срок и в съпоставима степен по отношение на предмет, качество и цена.</w:t>
      </w:r>
    </w:p>
    <w:p w14:paraId="7FE1C22B" w14:textId="77777777" w:rsidR="00FE5D64" w:rsidRDefault="00E40776">
      <w:pPr>
        <w:pStyle w:val="Instructionsberschrift3"/>
        <w:ind w:left="928"/>
        <w:contextualSpacing/>
        <w:jc w:val="both"/>
        <w:rPr>
          <w:rFonts w:eastAsia="MS Mincho"/>
          <w:color w:val="auto"/>
          <w:u w:val="none"/>
        </w:rPr>
      </w:pPr>
      <w:r>
        <w:rPr>
          <w:b/>
          <w:u w:val="none"/>
        </w:rPr>
        <w:lastRenderedPageBreak/>
        <w:t>Основни услуги</w:t>
      </w:r>
      <w:r>
        <w:rPr>
          <w:u w:val="none"/>
        </w:rPr>
        <w:t>: Услуги, свързани с основни стопански дейности</w:t>
      </w:r>
      <w:r>
        <w:rPr>
          <w:u w:val="none"/>
        </w:rPr>
        <w:footnoteReference w:id="24"/>
      </w:r>
      <w:r>
        <w:rPr>
          <w:u w:val="none"/>
        </w:rPr>
        <w:t>, чиято непрекъснатост е необходима за ефективното изпълнение на стратегията за преструктуриране и всяко последващо преструктуриране i) чието прекъсване би възпрепятствало сериозно или би възпрепятствало изпълнението на тези основни стопански дейности; и (ii) която не може да бъде осигурена от друг доставчик в рамките на разумен срок и в съпоставима степен по отношение на предмет, качество и цена.</w:t>
      </w:r>
      <w:r>
        <w:rPr>
          <w:rStyle w:val="FootnoteReference"/>
          <w:rFonts w:ascii="Times New Roman" w:eastAsia="Calibri" w:hAnsi="Times New Roman"/>
          <w:color w:val="auto"/>
          <w:sz w:val="20"/>
          <w:szCs w:val="20"/>
          <w:u w:val="none"/>
        </w:rPr>
        <w:footnoteReference w:id="25"/>
      </w:r>
    </w:p>
    <w:p w14:paraId="7FE1C22C" w14:textId="5D0544C9" w:rsidR="00FE5D64" w:rsidRDefault="00E40776">
      <w:pPr>
        <w:pStyle w:val="P68B1DB1-Instructionsberschrift348"/>
        <w:numPr>
          <w:ilvl w:val="4"/>
          <w:numId w:val="49"/>
        </w:numPr>
        <w:ind w:left="928"/>
        <w:contextualSpacing/>
        <w:jc w:val="both"/>
        <w:rPr>
          <w:color w:val="auto"/>
        </w:rPr>
      </w:pPr>
      <w:r>
        <w:rPr>
          <w:color w:val="auto"/>
        </w:rPr>
        <w:t xml:space="preserve">Съгласно съображение 8 от делегиран регламент (ЕС) 2016/778 на Комисията, свързано с критичните услуги, и в него се прилага по аналогия за обхващане на основни услуги, както са определени по-горе, съответните услуги </w:t>
      </w:r>
      <w:r>
        <w:t xml:space="preserve">означава основните операции, дейности и услуги, извършвани за една (специализирани услуги) или повече стопански единици или правни субекти (споделени услуги) в рамките на групата, които са необходими за предоставяне на една или повече критични функции или </w:t>
      </w:r>
      <w:r>
        <w:rPr>
          <w:color w:val="auto"/>
        </w:rPr>
        <w:t xml:space="preserve">основни стопански дейности. Съответните </w:t>
      </w:r>
      <w:r>
        <w:t xml:space="preserve">услуги могат да се извършват </w:t>
      </w:r>
      <w:r>
        <w:rPr>
          <w:color w:val="auto"/>
        </w:rPr>
        <w:t xml:space="preserve">от една стопанска единица на друга стопанска единица на същото юридическо лице </w:t>
      </w:r>
      <w:r>
        <w:t>(</w:t>
      </w:r>
      <w:r>
        <w:rPr>
          <w:color w:val="auto"/>
        </w:rPr>
        <w:t>вътрешнофирмена услуга),</w:t>
      </w:r>
      <w:r>
        <w:t xml:space="preserve"> от субекти в рамките на групата (</w:t>
      </w:r>
      <w:r>
        <w:rPr>
          <w:color w:val="auto"/>
        </w:rPr>
        <w:t xml:space="preserve">вътрешногрупова </w:t>
      </w:r>
      <w:r>
        <w:t>услуга)</w:t>
      </w:r>
      <w:r>
        <w:rPr>
          <w:color w:val="auto"/>
        </w:rPr>
        <w:t>или</w:t>
      </w:r>
      <w:r>
        <w:t xml:space="preserve"> да бъдат възложени на </w:t>
      </w:r>
      <w:r>
        <w:t>външен доставчик (външна услуга).</w:t>
      </w:r>
    </w:p>
    <w:p w14:paraId="7FE1C22D" w14:textId="2E2CBD58" w:rsidR="00FE5D64" w:rsidRDefault="00E40776">
      <w:pPr>
        <w:pStyle w:val="P68B1DB1-Instructionsberschrift310"/>
        <w:numPr>
          <w:ilvl w:val="4"/>
          <w:numId w:val="49"/>
        </w:numPr>
        <w:ind w:left="928"/>
        <w:contextualSpacing/>
        <w:jc w:val="both"/>
        <w:rPr>
          <w:rFonts w:eastAsia="MS Mincho"/>
          <w:color w:val="auto"/>
        </w:rPr>
      </w:pPr>
      <w:r>
        <w:rPr>
          <w:rFonts w:eastAsia="MS Mincho"/>
        </w:rPr>
        <w:t>Не всички полета се отнасят за всички видове услуги (подчертани в инструкциите по-долу). В този случай в съответната клетка се посочва „NOT APPLICABLE“.</w:t>
      </w:r>
      <w:r>
        <w:t xml:space="preserve"> </w:t>
      </w:r>
    </w:p>
    <w:p w14:paraId="7FE1C22E" w14:textId="0568A925" w:rsidR="00FE5D64" w:rsidRDefault="00E40776">
      <w:pPr>
        <w:pStyle w:val="P68B1DB1-Instructionsberschrift346"/>
        <w:numPr>
          <w:ilvl w:val="4"/>
          <w:numId w:val="49"/>
        </w:numPr>
        <w:ind w:left="928"/>
        <w:contextualSpacing/>
        <w:jc w:val="both"/>
        <w:rPr>
          <w:color w:val="auto"/>
        </w:rPr>
      </w:pPr>
      <w:r>
        <w:t>Комбинацията на стойностите, докладвани в колони 0010</w:t>
      </w:r>
      <w:r>
        <w:rPr>
          <w:color w:val="auto"/>
        </w:rPr>
        <w:t>, 0020, 0040, 0060 и 0130</w:t>
      </w:r>
      <w:r>
        <w:t>, от настоящия образец, формира първичен код, собствен за всеки ред от образеца.</w:t>
      </w:r>
    </w:p>
    <w:p w14:paraId="7FE1C22F" w14:textId="77777777" w:rsidR="00FE5D64" w:rsidRDefault="00FE5D64">
      <w:pPr>
        <w:pStyle w:val="Instructionsberschrift3"/>
        <w:numPr>
          <w:ilvl w:val="0"/>
          <w:numId w:val="0"/>
        </w:numPr>
        <w:ind w:left="720"/>
      </w:pPr>
    </w:p>
    <w:p w14:paraId="7FE1C230" w14:textId="77777777" w:rsidR="00FE5D64" w:rsidRDefault="00E40776">
      <w:pPr>
        <w:pStyle w:val="P68B1DB1-Instructionsberschrift312"/>
        <w:rPr>
          <w:bCs/>
        </w:rPr>
      </w:pPr>
      <w:r>
        <w:t>Указания относно определени позиции</w:t>
      </w:r>
    </w:p>
    <w:p w14:paraId="7FE1C23F" w14:textId="77777777" w:rsidR="00FE5D64" w:rsidRDefault="00FE5D64">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FE5D64" w14:paraId="7FE1C242" w14:textId="77777777">
        <w:trPr>
          <w:trHeight w:val="808"/>
          <w:tblHeader/>
        </w:trPr>
        <w:tc>
          <w:tcPr>
            <w:tcW w:w="1129" w:type="dxa"/>
            <w:shd w:val="clear" w:color="auto" w:fill="E7E6E6"/>
          </w:tcPr>
          <w:p w14:paraId="7FE1C240" w14:textId="77777777" w:rsidR="00FE5D64" w:rsidRDefault="00E40776">
            <w:pPr>
              <w:pStyle w:val="P68B1DB1-Normal49"/>
              <w:spacing w:before="120" w:after="120" w:line="276" w:lineRule="auto"/>
            </w:pPr>
            <w:r>
              <w:t>Колони</w:t>
            </w:r>
          </w:p>
        </w:tc>
        <w:tc>
          <w:tcPr>
            <w:tcW w:w="7938" w:type="dxa"/>
            <w:shd w:val="clear" w:color="auto" w:fill="E7E6E6"/>
          </w:tcPr>
          <w:p w14:paraId="7FE1C241" w14:textId="77777777" w:rsidR="00FE5D64" w:rsidRDefault="00E40776">
            <w:pPr>
              <w:pStyle w:val="P68B1DB1-Normal49"/>
              <w:spacing w:before="120" w:after="120" w:line="276" w:lineRule="auto"/>
            </w:pPr>
            <w:r>
              <w:t>Указания</w:t>
            </w:r>
          </w:p>
        </w:tc>
      </w:tr>
      <w:tr w:rsidR="00FE5D64" w14:paraId="7FE1C247" w14:textId="77777777">
        <w:trPr>
          <w:trHeight w:val="450"/>
        </w:trPr>
        <w:tc>
          <w:tcPr>
            <w:tcW w:w="1129" w:type="dxa"/>
            <w:shd w:val="clear" w:color="auto" w:fill="FFFFFF" w:themeFill="background1"/>
          </w:tcPr>
          <w:p w14:paraId="7FE1C243" w14:textId="77777777" w:rsidR="00FE5D64" w:rsidRDefault="00E40776">
            <w:pPr>
              <w:pStyle w:val="P68B1DB1-Normal50"/>
              <w:spacing w:before="120" w:after="120" w:line="276" w:lineRule="auto"/>
            </w:pPr>
            <w:r>
              <w:t>0005</w:t>
            </w:r>
          </w:p>
        </w:tc>
        <w:tc>
          <w:tcPr>
            <w:tcW w:w="7938" w:type="dxa"/>
            <w:shd w:val="clear" w:color="auto" w:fill="FFFFFF" w:themeFill="background1"/>
          </w:tcPr>
          <w:p w14:paraId="7FE1C244" w14:textId="77777777" w:rsidR="00FE5D64" w:rsidRDefault="00E40776">
            <w:pPr>
              <w:pStyle w:val="P68B1DB1-Normal49"/>
              <w:spacing w:before="120" w:after="120" w:line="276" w:lineRule="auto"/>
              <w:rPr>
                <w:bCs/>
              </w:rPr>
            </w:pPr>
            <w:r>
              <w:t>Service Identifier (идентификатор на услугата)</w:t>
            </w:r>
          </w:p>
          <w:p w14:paraId="7FE1C245" w14:textId="77777777" w:rsidR="00FE5D64" w:rsidRDefault="00E40776">
            <w:pPr>
              <w:pStyle w:val="P68B1DB1-Normal50"/>
              <w:spacing w:before="120" w:after="120" w:line="276" w:lineRule="auto"/>
              <w:rPr>
                <w:iCs/>
              </w:rPr>
            </w:pPr>
            <w:r>
              <w:t>Идентификаторът на услугата се отнася до услугата, докладвана в c0020.</w:t>
            </w:r>
          </w:p>
          <w:p w14:paraId="7FE1C246" w14:textId="77777777" w:rsidR="00FE5D64" w:rsidRDefault="00E40776">
            <w:pPr>
              <w:pStyle w:val="P68B1DB1-Normal51"/>
              <w:spacing w:before="120" w:after="120" w:line="276" w:lineRule="auto"/>
            </w:pPr>
            <w:r>
              <w:t>Фигура или свободен текст</w:t>
            </w:r>
          </w:p>
        </w:tc>
      </w:tr>
      <w:tr w:rsidR="00FE5D64" w14:paraId="7FE1C28C" w14:textId="77777777">
        <w:trPr>
          <w:trHeight w:val="463"/>
        </w:trPr>
        <w:tc>
          <w:tcPr>
            <w:tcW w:w="1129" w:type="dxa"/>
            <w:shd w:val="clear" w:color="auto" w:fill="FFFFFF" w:themeFill="background1"/>
          </w:tcPr>
          <w:p w14:paraId="7FE1C248" w14:textId="77777777" w:rsidR="00FE5D64" w:rsidRDefault="00E40776">
            <w:pPr>
              <w:pStyle w:val="P68B1DB1-Normal50"/>
              <w:spacing w:before="120" w:after="120" w:line="276" w:lineRule="auto"/>
            </w:pPr>
            <w:r>
              <w:t>0010</w:t>
            </w:r>
          </w:p>
        </w:tc>
        <w:tc>
          <w:tcPr>
            <w:tcW w:w="7938" w:type="dxa"/>
            <w:shd w:val="clear" w:color="auto" w:fill="FFFFFF" w:themeFill="background1"/>
          </w:tcPr>
          <w:p w14:paraId="7FE1C249" w14:textId="77777777" w:rsidR="00FE5D64" w:rsidRDefault="00E40776">
            <w:pPr>
              <w:pStyle w:val="P68B1DB1-Normal49"/>
              <w:autoSpaceDE w:val="0"/>
              <w:autoSpaceDN w:val="0"/>
              <w:adjustRightInd w:val="0"/>
              <w:rPr>
                <w:rFonts w:eastAsia="MS Mincho"/>
                <w:bCs/>
              </w:rPr>
            </w:pPr>
            <w:r>
              <w:t>Вид услуга</w:t>
            </w:r>
          </w:p>
          <w:p w14:paraId="7FE1C24A" w14:textId="77777777" w:rsidR="00FE5D64" w:rsidRDefault="00E40776">
            <w:pPr>
              <w:pStyle w:val="P68B1DB1-Normal52"/>
              <w:autoSpaceDE w:val="0"/>
              <w:autoSpaceDN w:val="0"/>
              <w:adjustRightInd w:val="0"/>
            </w:pPr>
            <w:r>
              <w:t xml:space="preserve">Видът услуга е един от изброените по-долу. </w:t>
            </w:r>
          </w:p>
          <w:p w14:paraId="7FE1C24B" w14:textId="77777777" w:rsidR="00FE5D64" w:rsidRDefault="00E40776">
            <w:pPr>
              <w:pStyle w:val="P68B1DB1-Normal50"/>
              <w:spacing w:before="120" w:after="120" w:line="276" w:lineRule="auto"/>
            </w:pPr>
            <w:r>
              <w:t xml:space="preserve">Когато е възможно, се съобщава под категорията (двуцифрова идентификация). Когато няма подкатегория или никоя подкатегория не описва по подходящ начин предоставяната от институцията услуга, се посочва главната категория (едноцифрова идентификация). </w:t>
            </w:r>
          </w:p>
          <w:p w14:paraId="5B37DFFD" w14:textId="2C2BBAE4" w:rsidR="00FE5D64" w:rsidRDefault="00E40776">
            <w:pPr>
              <w:pStyle w:val="P68B1DB1-Normal52"/>
            </w:pPr>
            <w:r>
              <w:t xml:space="preserve">Подпомагане на човешките ресурси </w:t>
            </w:r>
          </w:p>
          <w:p w14:paraId="7DD533D5" w14:textId="73E47A6F" w:rsidR="00FE5D64" w:rsidRDefault="00E40776">
            <w:pPr>
              <w:pStyle w:val="P68B1DB1-ListParagraph53"/>
              <w:numPr>
                <w:ilvl w:val="0"/>
                <w:numId w:val="288"/>
              </w:numPr>
              <w:autoSpaceDE w:val="0"/>
              <w:autoSpaceDN w:val="0"/>
              <w:adjustRightInd w:val="0"/>
              <w:ind w:left="1165"/>
            </w:pPr>
            <w:r>
              <w:t xml:space="preserve">Управление на персонала, в т.ч. управление на договорите и възнагражденията </w:t>
            </w:r>
          </w:p>
          <w:p w14:paraId="43AF548E" w14:textId="675245F6" w:rsidR="00FE5D64" w:rsidRDefault="00E40776">
            <w:pPr>
              <w:pStyle w:val="P68B1DB1-ListParagraph53"/>
              <w:numPr>
                <w:ilvl w:val="0"/>
                <w:numId w:val="288"/>
              </w:numPr>
              <w:autoSpaceDE w:val="0"/>
              <w:autoSpaceDN w:val="0"/>
              <w:adjustRightInd w:val="0"/>
              <w:ind w:left="1165"/>
            </w:pPr>
            <w:r>
              <w:t>вътрешна комуникация</w:t>
            </w:r>
          </w:p>
          <w:p w14:paraId="7FE1C250" w14:textId="1F903A05" w:rsidR="00FE5D64" w:rsidRDefault="00E40776">
            <w:pPr>
              <w:pStyle w:val="P68B1DB1-ListParagraph53"/>
              <w:numPr>
                <w:ilvl w:val="0"/>
                <w:numId w:val="288"/>
              </w:numPr>
              <w:autoSpaceDE w:val="0"/>
              <w:autoSpaceDN w:val="0"/>
              <w:adjustRightInd w:val="0"/>
              <w:ind w:left="1165"/>
            </w:pPr>
            <w:r>
              <w:t>други видове услуги за подкрепа на човешките ресурси</w:t>
            </w:r>
          </w:p>
          <w:p w14:paraId="7FE1C251" w14:textId="77777777" w:rsidR="00FE5D64" w:rsidRDefault="00FE5D64">
            <w:pPr>
              <w:autoSpaceDE w:val="0"/>
              <w:autoSpaceDN w:val="0"/>
              <w:adjustRightInd w:val="0"/>
              <w:ind w:left="708"/>
              <w:rPr>
                <w:rFonts w:ascii="Times New Roman" w:eastAsia="MS Mincho" w:hAnsi="Times New Roman" w:cs="Times New Roman"/>
                <w:sz w:val="20"/>
                <w:szCs w:val="20"/>
              </w:rPr>
            </w:pPr>
          </w:p>
          <w:p w14:paraId="7FE1C252" w14:textId="7A6979E5" w:rsidR="00FE5D64" w:rsidRDefault="00E40776">
            <w:pPr>
              <w:pStyle w:val="P68B1DB1-Normal52"/>
              <w:autoSpaceDE w:val="0"/>
              <w:autoSpaceDN w:val="0"/>
              <w:adjustRightInd w:val="0"/>
            </w:pPr>
            <w:r>
              <w:t xml:space="preserve"> Информационни технологии </w:t>
            </w:r>
          </w:p>
          <w:p w14:paraId="7FE1C253" w14:textId="3B762F9E" w:rsidR="00FE5D64" w:rsidRDefault="00E40776">
            <w:pPr>
              <w:pStyle w:val="P68B1DB1-ListParagraph53"/>
              <w:numPr>
                <w:ilvl w:val="1"/>
                <w:numId w:val="290"/>
              </w:numPr>
              <w:autoSpaceDE w:val="0"/>
              <w:autoSpaceDN w:val="0"/>
              <w:adjustRightInd w:val="0"/>
              <w:ind w:left="1449"/>
            </w:pPr>
            <w:r>
              <w:t xml:space="preserve">Информационен и комуникационен хардуер </w:t>
            </w:r>
          </w:p>
          <w:p w14:paraId="7FE1C254" w14:textId="400D89C1" w:rsidR="00FE5D64" w:rsidRDefault="00E40776">
            <w:pPr>
              <w:pStyle w:val="P68B1DB1-ListParagraph53"/>
              <w:numPr>
                <w:ilvl w:val="1"/>
                <w:numId w:val="290"/>
              </w:numPr>
              <w:autoSpaceDE w:val="0"/>
              <w:autoSpaceDN w:val="0"/>
              <w:adjustRightInd w:val="0"/>
              <w:ind w:left="1449"/>
            </w:pPr>
            <w:r>
              <w:lastRenderedPageBreak/>
              <w:t xml:space="preserve">съхранение и обработка на данни; </w:t>
            </w:r>
          </w:p>
          <w:p w14:paraId="7FE1C255" w14:textId="626A8448" w:rsidR="00FE5D64" w:rsidRDefault="00E40776">
            <w:pPr>
              <w:pStyle w:val="P68B1DB1-ListParagraph53"/>
              <w:numPr>
                <w:ilvl w:val="1"/>
                <w:numId w:val="290"/>
              </w:numPr>
              <w:autoSpaceDE w:val="0"/>
              <w:autoSpaceDN w:val="0"/>
              <w:adjustRightInd w:val="0"/>
              <w:ind w:left="1449"/>
            </w:pPr>
            <w:r>
              <w:t xml:space="preserve">друга ИТ инфраструктура, работни станции, телекомуникации, сървъри, центрове за електронно обработване на данни и съответни услуги; </w:t>
            </w:r>
          </w:p>
          <w:p w14:paraId="7FE1C256" w14:textId="2B61AFD3" w:rsidR="00FE5D64" w:rsidRDefault="00E40776">
            <w:pPr>
              <w:pStyle w:val="P68B1DB1-ListParagraph53"/>
              <w:numPr>
                <w:ilvl w:val="1"/>
                <w:numId w:val="290"/>
              </w:numPr>
              <w:autoSpaceDE w:val="0"/>
              <w:autoSpaceDN w:val="0"/>
              <w:adjustRightInd w:val="0"/>
              <w:ind w:left="1449"/>
            </w:pPr>
            <w:r>
              <w:t xml:space="preserve">управление на лицензи за софтуер и приложен софтуер; </w:t>
            </w:r>
          </w:p>
          <w:p w14:paraId="7FE1C257" w14:textId="5DA2FA2E" w:rsidR="00FE5D64" w:rsidRDefault="00E40776">
            <w:pPr>
              <w:pStyle w:val="P68B1DB1-ListParagraph53"/>
              <w:numPr>
                <w:ilvl w:val="1"/>
                <w:numId w:val="290"/>
              </w:numPr>
              <w:autoSpaceDE w:val="0"/>
              <w:autoSpaceDN w:val="0"/>
              <w:adjustRightInd w:val="0"/>
              <w:ind w:left="1449"/>
            </w:pPr>
            <w:r>
              <w:t xml:space="preserve">достъп до външни доставчици, по-специално доставчици на данни и инфраструктура; </w:t>
            </w:r>
          </w:p>
          <w:p w14:paraId="7FE1C258" w14:textId="5064B052" w:rsidR="00FE5D64" w:rsidRDefault="00E40776">
            <w:pPr>
              <w:pStyle w:val="P68B1DB1-ListParagraph53"/>
              <w:numPr>
                <w:ilvl w:val="1"/>
                <w:numId w:val="290"/>
              </w:numPr>
              <w:autoSpaceDE w:val="0"/>
              <w:autoSpaceDN w:val="0"/>
              <w:adjustRightInd w:val="0"/>
              <w:ind w:left="1449"/>
            </w:pPr>
            <w:r>
              <w:t xml:space="preserve">поддръжка на приложения, включително поддръжка на приложен софтуер и свързани с това потоци от данни; </w:t>
            </w:r>
          </w:p>
          <w:p w14:paraId="7FE1C259" w14:textId="41CD0C0F" w:rsidR="00FE5D64" w:rsidRDefault="00E40776">
            <w:pPr>
              <w:pStyle w:val="P68B1DB1-ListParagraph53"/>
              <w:numPr>
                <w:ilvl w:val="1"/>
                <w:numId w:val="290"/>
              </w:numPr>
              <w:autoSpaceDE w:val="0"/>
              <w:autoSpaceDN w:val="0"/>
              <w:adjustRightInd w:val="0"/>
              <w:ind w:left="1449"/>
            </w:pPr>
            <w:r>
              <w:t xml:space="preserve">генериране на отчети, вътрешни потоци информация и бази данни; </w:t>
            </w:r>
          </w:p>
          <w:p w14:paraId="7FE1C25A" w14:textId="72548638" w:rsidR="00FE5D64" w:rsidRDefault="00E40776">
            <w:pPr>
              <w:pStyle w:val="P68B1DB1-ListParagraph53"/>
              <w:numPr>
                <w:ilvl w:val="1"/>
                <w:numId w:val="290"/>
              </w:numPr>
              <w:autoSpaceDE w:val="0"/>
              <w:autoSpaceDN w:val="0"/>
              <w:adjustRightInd w:val="0"/>
              <w:ind w:left="1449"/>
            </w:pPr>
            <w:r>
              <w:t xml:space="preserve">поддръжка и обслужване на ползва телите; </w:t>
            </w:r>
          </w:p>
          <w:p w14:paraId="7FE1C25B" w14:textId="2FAE0C54" w:rsidR="00FE5D64" w:rsidRDefault="00E40776">
            <w:pPr>
              <w:pStyle w:val="P68B1DB1-ListParagraph53"/>
              <w:numPr>
                <w:ilvl w:val="1"/>
                <w:numId w:val="290"/>
              </w:numPr>
              <w:autoSpaceDE w:val="0"/>
              <w:autoSpaceDN w:val="0"/>
              <w:adjustRightInd w:val="0"/>
              <w:ind w:left="1449"/>
            </w:pPr>
            <w:r>
              <w:t>възстановяване при извънредни ситуации и бедствия;</w:t>
            </w:r>
          </w:p>
          <w:p w14:paraId="7FE1C25C" w14:textId="431BC144" w:rsidR="00FE5D64" w:rsidRDefault="00E40776">
            <w:pPr>
              <w:pStyle w:val="P68B1DB1-ListParagraph53"/>
              <w:numPr>
                <w:ilvl w:val="1"/>
                <w:numId w:val="290"/>
              </w:numPr>
              <w:autoSpaceDE w:val="0"/>
              <w:autoSpaceDN w:val="0"/>
              <w:adjustRightInd w:val="0"/>
              <w:ind w:left="1449"/>
            </w:pPr>
            <w:r>
              <w:t>друг вид услуги в областта на информационните технологии</w:t>
            </w:r>
          </w:p>
          <w:p w14:paraId="7FE1C25D" w14:textId="77777777" w:rsidR="00FE5D64" w:rsidRDefault="00FE5D64">
            <w:pPr>
              <w:autoSpaceDE w:val="0"/>
              <w:autoSpaceDN w:val="0"/>
              <w:adjustRightInd w:val="0"/>
              <w:rPr>
                <w:rFonts w:ascii="Times New Roman" w:eastAsia="MS Mincho" w:hAnsi="Times New Roman" w:cs="Times New Roman"/>
                <w:sz w:val="20"/>
                <w:szCs w:val="20"/>
              </w:rPr>
            </w:pPr>
          </w:p>
          <w:p w14:paraId="7FE1C25E" w14:textId="1AD223E0" w:rsidR="00FE5D64" w:rsidRDefault="00E40776">
            <w:pPr>
              <w:pStyle w:val="P68B1DB1-Normal52"/>
              <w:autoSpaceDE w:val="0"/>
              <w:autoSpaceDN w:val="0"/>
              <w:adjustRightInd w:val="0"/>
            </w:pPr>
            <w:r>
              <w:t xml:space="preserve">Обработка на сделките, включително свързани със сделките правни въпроси, по-специално мерки против изпирането на пари. </w:t>
            </w:r>
          </w:p>
          <w:p w14:paraId="7FE1C25F" w14:textId="77777777" w:rsidR="00FE5D64" w:rsidRDefault="00FE5D64">
            <w:pPr>
              <w:autoSpaceDE w:val="0"/>
              <w:autoSpaceDN w:val="0"/>
              <w:adjustRightInd w:val="0"/>
              <w:rPr>
                <w:rFonts w:ascii="Times New Roman" w:eastAsia="MS Mincho" w:hAnsi="Times New Roman" w:cs="Times New Roman"/>
                <w:sz w:val="20"/>
                <w:szCs w:val="20"/>
              </w:rPr>
            </w:pPr>
          </w:p>
          <w:p w14:paraId="7FE1C260" w14:textId="0AB6F782" w:rsidR="00FE5D64" w:rsidRDefault="00E40776">
            <w:pPr>
              <w:pStyle w:val="P68B1DB1-Normal52"/>
              <w:autoSpaceDE w:val="0"/>
              <w:autoSpaceDN w:val="0"/>
              <w:adjustRightInd w:val="0"/>
            </w:pPr>
            <w:bookmarkStart w:id="127" w:name="_Hlk191374143"/>
            <w:r>
              <w:t>Предоставяне или управление на недвижими имоти и съоръжения и свързани с тях инфраструктури</w:t>
            </w:r>
            <w:bookmarkEnd w:id="127"/>
            <w:r>
              <w:t xml:space="preserve"> </w:t>
            </w:r>
          </w:p>
          <w:p w14:paraId="7FE1C261" w14:textId="62999FEF" w:rsidR="00FE5D64" w:rsidRDefault="00E40776">
            <w:pPr>
              <w:pStyle w:val="P68B1DB1-ListParagraph53"/>
              <w:numPr>
                <w:ilvl w:val="0"/>
                <w:numId w:val="291"/>
              </w:numPr>
              <w:autoSpaceDE w:val="0"/>
              <w:autoSpaceDN w:val="0"/>
              <w:adjustRightInd w:val="0"/>
            </w:pPr>
            <w:r>
              <w:t xml:space="preserve">офиси и съхранение; </w:t>
            </w:r>
          </w:p>
          <w:p w14:paraId="7FE1C262" w14:textId="3A997023" w:rsidR="00FE5D64" w:rsidRDefault="00E40776">
            <w:pPr>
              <w:pStyle w:val="P68B1DB1-ListParagraph53"/>
              <w:numPr>
                <w:ilvl w:val="0"/>
                <w:numId w:val="291"/>
              </w:numPr>
              <w:autoSpaceDE w:val="0"/>
              <w:autoSpaceDN w:val="0"/>
              <w:adjustRightInd w:val="0"/>
            </w:pPr>
            <w:r>
              <w:t xml:space="preserve">управление на вътрешни съоръжения; </w:t>
            </w:r>
          </w:p>
          <w:p w14:paraId="7FE1C263" w14:textId="2B6FC02A" w:rsidR="00FE5D64" w:rsidRDefault="00E40776">
            <w:pPr>
              <w:pStyle w:val="P68B1DB1-ListParagraph53"/>
              <w:numPr>
                <w:ilvl w:val="0"/>
                <w:numId w:val="291"/>
              </w:numPr>
              <w:autoSpaceDE w:val="0"/>
              <w:autoSpaceDN w:val="0"/>
              <w:adjustRightInd w:val="0"/>
            </w:pPr>
            <w:r>
              <w:t xml:space="preserve">охрана и контрол на достъпа; </w:t>
            </w:r>
          </w:p>
          <w:p w14:paraId="7FE1C264" w14:textId="792BCFBD" w:rsidR="00FE5D64" w:rsidRDefault="00E40776">
            <w:pPr>
              <w:pStyle w:val="P68B1DB1-ListParagraph53"/>
              <w:numPr>
                <w:ilvl w:val="0"/>
                <w:numId w:val="291"/>
              </w:numPr>
              <w:autoSpaceDE w:val="0"/>
              <w:autoSpaceDN w:val="0"/>
              <w:adjustRightInd w:val="0"/>
            </w:pPr>
            <w:r>
              <w:t xml:space="preserve">управление на портфейл от недвижими имоти; </w:t>
            </w:r>
          </w:p>
          <w:p w14:paraId="7FE1C265" w14:textId="52ACD32B" w:rsidR="00FE5D64" w:rsidRDefault="00E40776">
            <w:pPr>
              <w:pStyle w:val="P68B1DB1-ListParagraph53"/>
              <w:numPr>
                <w:ilvl w:val="0"/>
                <w:numId w:val="291"/>
              </w:numPr>
              <w:autoSpaceDE w:val="0"/>
              <w:autoSpaceDN w:val="0"/>
              <w:adjustRightInd w:val="0"/>
            </w:pPr>
            <w:r>
              <w:t>други видове услуги по предоставяне или управление на недвижими имоти и съоръжения и свързани с тях инфраструктури</w:t>
            </w:r>
          </w:p>
          <w:p w14:paraId="7FE1C266" w14:textId="77777777" w:rsidR="00FE5D64" w:rsidRDefault="00FE5D64">
            <w:pPr>
              <w:autoSpaceDE w:val="0"/>
              <w:autoSpaceDN w:val="0"/>
              <w:adjustRightInd w:val="0"/>
              <w:rPr>
                <w:rFonts w:ascii="Times New Roman" w:eastAsia="MS Mincho" w:hAnsi="Times New Roman" w:cs="Times New Roman"/>
                <w:sz w:val="20"/>
                <w:szCs w:val="20"/>
              </w:rPr>
            </w:pPr>
          </w:p>
          <w:p w14:paraId="7FE1C267" w14:textId="4B2E0CD6" w:rsidR="00FE5D64" w:rsidRDefault="00E40776">
            <w:pPr>
              <w:pStyle w:val="P68B1DB1-Normal52"/>
              <w:autoSpaceDE w:val="0"/>
              <w:autoSpaceDN w:val="0"/>
              <w:adjustRightInd w:val="0"/>
            </w:pPr>
            <w:r>
              <w:t xml:space="preserve">Правни услуги и проверка на съответствието: </w:t>
            </w:r>
          </w:p>
          <w:p w14:paraId="7FE1C268" w14:textId="40AF3D04" w:rsidR="00FE5D64" w:rsidRDefault="00E40776">
            <w:pPr>
              <w:pStyle w:val="P68B1DB1-ListParagraph53"/>
              <w:numPr>
                <w:ilvl w:val="0"/>
                <w:numId w:val="292"/>
              </w:numPr>
              <w:autoSpaceDE w:val="0"/>
              <w:autoSpaceDN w:val="0"/>
              <w:adjustRightInd w:val="0"/>
            </w:pPr>
            <w:r>
              <w:t xml:space="preserve">корпоративна правна помощ; </w:t>
            </w:r>
          </w:p>
          <w:p w14:paraId="7FE1C269" w14:textId="1DC4A30A" w:rsidR="00FE5D64" w:rsidRDefault="00E40776">
            <w:pPr>
              <w:pStyle w:val="P68B1DB1-ListParagraph53"/>
              <w:numPr>
                <w:ilvl w:val="0"/>
                <w:numId w:val="292"/>
              </w:numPr>
              <w:autoSpaceDE w:val="0"/>
              <w:autoSpaceDN w:val="0"/>
              <w:adjustRightInd w:val="0"/>
            </w:pPr>
            <w:r>
              <w:t xml:space="preserve">правни услуги във връзка с бизнес и сделки; </w:t>
            </w:r>
          </w:p>
          <w:p w14:paraId="7FE1C26A" w14:textId="1BAF6F48" w:rsidR="00FE5D64" w:rsidRDefault="00E40776">
            <w:pPr>
              <w:pStyle w:val="P68B1DB1-ListParagraph53"/>
              <w:numPr>
                <w:ilvl w:val="0"/>
                <w:numId w:val="292"/>
              </w:numPr>
              <w:autoSpaceDE w:val="0"/>
              <w:autoSpaceDN w:val="0"/>
              <w:adjustRightInd w:val="0"/>
            </w:pPr>
            <w:r>
              <w:t xml:space="preserve">Помощ за осигуряване на съблюдаване на нормативните изисквания </w:t>
            </w:r>
          </w:p>
          <w:p w14:paraId="7FE1C26B" w14:textId="344CDCEC" w:rsidR="00FE5D64" w:rsidRDefault="00E40776">
            <w:pPr>
              <w:pStyle w:val="P68B1DB1-ListParagraph53"/>
              <w:numPr>
                <w:ilvl w:val="0"/>
                <w:numId w:val="292"/>
              </w:numPr>
              <w:autoSpaceDE w:val="0"/>
              <w:autoSpaceDN w:val="0"/>
              <w:adjustRightInd w:val="0"/>
            </w:pPr>
            <w:r>
              <w:t>други правни услуги и вид услуга на звеното по съответствието</w:t>
            </w:r>
          </w:p>
          <w:p w14:paraId="7FE1C26C" w14:textId="77777777" w:rsidR="00FE5D64" w:rsidRDefault="00FE5D64">
            <w:pPr>
              <w:autoSpaceDE w:val="0"/>
              <w:autoSpaceDN w:val="0"/>
              <w:adjustRightInd w:val="0"/>
              <w:ind w:left="708"/>
              <w:rPr>
                <w:rFonts w:ascii="Times New Roman" w:eastAsia="MS Mincho" w:hAnsi="Times New Roman" w:cs="Times New Roman"/>
                <w:sz w:val="20"/>
                <w:szCs w:val="20"/>
              </w:rPr>
            </w:pPr>
          </w:p>
          <w:p w14:paraId="7FE1C26D" w14:textId="03C41351" w:rsidR="00FE5D64" w:rsidRDefault="00E40776">
            <w:pPr>
              <w:pStyle w:val="P68B1DB1-Normal52"/>
              <w:autoSpaceDE w:val="0"/>
              <w:autoSpaceDN w:val="0"/>
              <w:adjustRightInd w:val="0"/>
            </w:pPr>
            <w:r>
              <w:t xml:space="preserve">Услуги във връзка с касови средства </w:t>
            </w:r>
          </w:p>
          <w:p w14:paraId="7FE1C26E" w14:textId="1425CC24" w:rsidR="00FE5D64" w:rsidRDefault="00E40776">
            <w:pPr>
              <w:pStyle w:val="P68B1DB1-ListParagraph53"/>
              <w:numPr>
                <w:ilvl w:val="0"/>
                <w:numId w:val="293"/>
              </w:numPr>
              <w:autoSpaceDE w:val="0"/>
              <w:autoSpaceDN w:val="0"/>
              <w:adjustRightInd w:val="0"/>
            </w:pPr>
            <w:r>
              <w:t xml:space="preserve">координация, администриране и управление на дейността, свързана с касови средства; </w:t>
            </w:r>
          </w:p>
          <w:p w14:paraId="7FE1C26F" w14:textId="09154006" w:rsidR="00FE5D64" w:rsidRDefault="00E40776">
            <w:pPr>
              <w:pStyle w:val="P68B1DB1-ListParagraph53"/>
              <w:numPr>
                <w:ilvl w:val="0"/>
                <w:numId w:val="293"/>
              </w:numPr>
              <w:autoSpaceDE w:val="0"/>
              <w:autoSpaceDN w:val="0"/>
              <w:adjustRightInd w:val="0"/>
            </w:pPr>
            <w:r>
              <w:t xml:space="preserve">координация, администриране и управление на рефинансирането на субекти, включително управление на обезпечения; </w:t>
            </w:r>
          </w:p>
          <w:p w14:paraId="7FE1C270" w14:textId="0F45C979" w:rsidR="00FE5D64" w:rsidRDefault="00E40776">
            <w:pPr>
              <w:pStyle w:val="P68B1DB1-ListParagraph53"/>
              <w:numPr>
                <w:ilvl w:val="0"/>
                <w:numId w:val="293"/>
              </w:numPr>
              <w:autoSpaceDE w:val="0"/>
              <w:autoSpaceDN w:val="0"/>
              <w:adjustRightInd w:val="0"/>
            </w:pPr>
            <w:r>
              <w:t xml:space="preserve">функция за отчитане, по-специално във връзка с регулаторните коефициенти за ликвидност; </w:t>
            </w:r>
          </w:p>
          <w:p w14:paraId="7FE1C271" w14:textId="034EEFA4" w:rsidR="00FE5D64" w:rsidRDefault="00E40776">
            <w:pPr>
              <w:pStyle w:val="P68B1DB1-ListParagraph53"/>
              <w:numPr>
                <w:ilvl w:val="0"/>
                <w:numId w:val="293"/>
              </w:numPr>
              <w:autoSpaceDE w:val="0"/>
              <w:autoSpaceDN w:val="0"/>
              <w:adjustRightInd w:val="0"/>
            </w:pPr>
            <w:r>
              <w:t xml:space="preserve">координация, администриране и управление на средносрочни и дългосрочни програми за финансиране, и рефинансиране на субекти от групи; </w:t>
            </w:r>
          </w:p>
          <w:p w14:paraId="7FE1C272" w14:textId="064C2167" w:rsidR="00FE5D64" w:rsidRDefault="00E40776">
            <w:pPr>
              <w:pStyle w:val="P68B1DB1-ListParagraph53"/>
              <w:numPr>
                <w:ilvl w:val="0"/>
                <w:numId w:val="293"/>
              </w:numPr>
              <w:autoSpaceDE w:val="0"/>
              <w:autoSpaceDN w:val="0"/>
              <w:adjustRightInd w:val="0"/>
            </w:pPr>
            <w:r>
              <w:t>Координиране, администриране и управление на рефинансирането, в частност във връзка с възникващите в краткосрочен план въпроси</w:t>
            </w:r>
          </w:p>
          <w:p w14:paraId="7FE1C273" w14:textId="31AA1016" w:rsidR="00FE5D64" w:rsidRDefault="00E40776">
            <w:pPr>
              <w:pStyle w:val="P68B1DB1-ListParagraph53"/>
              <w:numPr>
                <w:ilvl w:val="0"/>
                <w:numId w:val="293"/>
              </w:numPr>
              <w:autoSpaceDE w:val="0"/>
              <w:autoSpaceDN w:val="0"/>
              <w:adjustRightInd w:val="0"/>
            </w:pPr>
            <w:r>
              <w:t>друг вид услуги, свързани с държавната хазна</w:t>
            </w:r>
          </w:p>
          <w:p w14:paraId="7FE1C274" w14:textId="77777777" w:rsidR="00FE5D64" w:rsidRDefault="00FE5D64">
            <w:pPr>
              <w:autoSpaceDE w:val="0"/>
              <w:autoSpaceDN w:val="0"/>
              <w:adjustRightInd w:val="0"/>
              <w:rPr>
                <w:rFonts w:ascii="Times New Roman" w:eastAsia="MS Mincho" w:hAnsi="Times New Roman" w:cs="Times New Roman"/>
                <w:sz w:val="20"/>
                <w:szCs w:val="20"/>
              </w:rPr>
            </w:pPr>
          </w:p>
          <w:p w14:paraId="7FE1C275" w14:textId="6437F825" w:rsidR="00FE5D64" w:rsidRDefault="00E40776">
            <w:pPr>
              <w:pStyle w:val="P68B1DB1-Normal52"/>
              <w:autoSpaceDE w:val="0"/>
              <w:autoSpaceDN w:val="0"/>
              <w:adjustRightInd w:val="0"/>
            </w:pPr>
            <w:r>
              <w:t xml:space="preserve">Търгуване/управление на активи </w:t>
            </w:r>
          </w:p>
          <w:p w14:paraId="7FE1C276" w14:textId="52377E11" w:rsidR="00FE5D64" w:rsidRDefault="00E40776">
            <w:pPr>
              <w:pStyle w:val="P68B1DB1-ListParagraph53"/>
              <w:numPr>
                <w:ilvl w:val="0"/>
                <w:numId w:val="294"/>
              </w:numPr>
              <w:autoSpaceDE w:val="0"/>
              <w:autoSpaceDN w:val="0"/>
              <w:adjustRightInd w:val="0"/>
            </w:pPr>
            <w:r>
              <w:t xml:space="preserve">обработка на операции: отразяване на търговията, проектиране, реализация, обслужване на търговски продукти; </w:t>
            </w:r>
          </w:p>
          <w:p w14:paraId="7FE1C277" w14:textId="35EC336F" w:rsidR="00FE5D64" w:rsidRDefault="00E40776">
            <w:pPr>
              <w:pStyle w:val="P68B1DB1-ListParagraph53"/>
              <w:numPr>
                <w:ilvl w:val="0"/>
                <w:numId w:val="294"/>
              </w:numPr>
              <w:autoSpaceDE w:val="0"/>
              <w:autoSpaceDN w:val="0"/>
              <w:adjustRightInd w:val="0"/>
            </w:pPr>
            <w:r>
              <w:t xml:space="preserve">Потвърждаване, сетълмент, плащане </w:t>
            </w:r>
          </w:p>
          <w:p w14:paraId="7FE1C278" w14:textId="417DFA52" w:rsidR="00FE5D64" w:rsidRDefault="00E40776">
            <w:pPr>
              <w:pStyle w:val="P68B1DB1-ListParagraph53"/>
              <w:numPr>
                <w:ilvl w:val="0"/>
                <w:numId w:val="294"/>
              </w:numPr>
              <w:autoSpaceDE w:val="0"/>
              <w:autoSpaceDN w:val="0"/>
              <w:adjustRightInd w:val="0"/>
            </w:pPr>
            <w:r>
              <w:t xml:space="preserve">Управление на позициите и контрагентите във връзка с предоставянето на данни и отношенията с контрагентите </w:t>
            </w:r>
          </w:p>
          <w:p w14:paraId="7FE1C279" w14:textId="18F90331" w:rsidR="00FE5D64" w:rsidRDefault="00E40776">
            <w:pPr>
              <w:pStyle w:val="P68B1DB1-ListParagraph53"/>
              <w:numPr>
                <w:ilvl w:val="0"/>
                <w:numId w:val="294"/>
              </w:numPr>
              <w:autoSpaceDE w:val="0"/>
              <w:autoSpaceDN w:val="0"/>
              <w:adjustRightInd w:val="0"/>
            </w:pPr>
            <w:r>
              <w:t xml:space="preserve">управление на позиции (риск и равняване). </w:t>
            </w:r>
          </w:p>
          <w:p w14:paraId="7FE1C27A" w14:textId="23FC3BC1" w:rsidR="00FE5D64" w:rsidRDefault="00E40776">
            <w:pPr>
              <w:pStyle w:val="P68B1DB1-ListParagraph53"/>
              <w:numPr>
                <w:ilvl w:val="0"/>
                <w:numId w:val="294"/>
              </w:numPr>
              <w:autoSpaceDE w:val="0"/>
              <w:autoSpaceDN w:val="0"/>
              <w:adjustRightInd w:val="0"/>
            </w:pPr>
            <w:r>
              <w:t>друг вид услуги за търговия/управление на активи</w:t>
            </w:r>
          </w:p>
          <w:p w14:paraId="7FE1C27B" w14:textId="77777777" w:rsidR="00FE5D64" w:rsidRDefault="00FE5D64">
            <w:pPr>
              <w:autoSpaceDE w:val="0"/>
              <w:autoSpaceDN w:val="0"/>
              <w:adjustRightInd w:val="0"/>
              <w:ind w:left="708"/>
              <w:rPr>
                <w:rFonts w:ascii="Times New Roman" w:eastAsia="MS Mincho" w:hAnsi="Times New Roman" w:cs="Times New Roman"/>
                <w:sz w:val="20"/>
                <w:szCs w:val="20"/>
              </w:rPr>
            </w:pPr>
          </w:p>
          <w:p w14:paraId="7FE1C27C" w14:textId="1E8D237F" w:rsidR="00FE5D64" w:rsidRDefault="00E40776">
            <w:pPr>
              <w:pStyle w:val="P68B1DB1-Normal52"/>
              <w:autoSpaceDE w:val="0"/>
              <w:autoSpaceDN w:val="0"/>
              <w:adjustRightInd w:val="0"/>
            </w:pPr>
            <w:r>
              <w:lastRenderedPageBreak/>
              <w:t xml:space="preserve">Управление и оценка на риска </w:t>
            </w:r>
          </w:p>
          <w:p w14:paraId="7FE1C27D" w14:textId="27978472" w:rsidR="00FE5D64" w:rsidRDefault="00E40776">
            <w:pPr>
              <w:pStyle w:val="P68B1DB1-ListParagraph53"/>
              <w:numPr>
                <w:ilvl w:val="0"/>
                <w:numId w:val="295"/>
              </w:numPr>
              <w:autoSpaceDE w:val="0"/>
              <w:autoSpaceDN w:val="0"/>
              <w:adjustRightInd w:val="0"/>
            </w:pPr>
            <w:r>
              <w:t>Управление на риска, свързано с основна дейност, стопанска дейност или вид риск;</w:t>
            </w:r>
          </w:p>
          <w:p w14:paraId="7FE1C27E" w14:textId="7AC0E3ED" w:rsidR="00FE5D64" w:rsidRDefault="00E40776">
            <w:pPr>
              <w:pStyle w:val="P68B1DB1-ListParagraph53"/>
              <w:numPr>
                <w:ilvl w:val="0"/>
                <w:numId w:val="295"/>
              </w:numPr>
              <w:autoSpaceDE w:val="0"/>
              <w:autoSpaceDN w:val="0"/>
              <w:adjustRightInd w:val="0"/>
            </w:pPr>
            <w:r>
              <w:t xml:space="preserve">изготвяне на доклади за риска. </w:t>
            </w:r>
          </w:p>
          <w:p w14:paraId="7FE1C27F" w14:textId="54F4E51F" w:rsidR="00FE5D64" w:rsidRDefault="00E40776">
            <w:pPr>
              <w:pStyle w:val="P68B1DB1-ListParagraph53"/>
              <w:numPr>
                <w:ilvl w:val="0"/>
                <w:numId w:val="295"/>
              </w:numPr>
              <w:autoSpaceDE w:val="0"/>
              <w:autoSpaceDN w:val="0"/>
              <w:adjustRightInd w:val="0"/>
            </w:pPr>
            <w:r>
              <w:t>друг вид услуги по управление на риска и остойностяване</w:t>
            </w:r>
          </w:p>
          <w:p w14:paraId="7FE1C280" w14:textId="77777777" w:rsidR="00FE5D64" w:rsidRDefault="00FE5D64">
            <w:pPr>
              <w:autoSpaceDE w:val="0"/>
              <w:autoSpaceDN w:val="0"/>
              <w:adjustRightInd w:val="0"/>
              <w:rPr>
                <w:rFonts w:ascii="Times New Roman" w:eastAsia="MS Mincho" w:hAnsi="Times New Roman" w:cs="Times New Roman"/>
                <w:sz w:val="20"/>
                <w:szCs w:val="20"/>
              </w:rPr>
            </w:pPr>
          </w:p>
          <w:p w14:paraId="7FE1C281" w14:textId="5206B100" w:rsidR="00FE5D64" w:rsidRDefault="00E40776">
            <w:pPr>
              <w:pStyle w:val="P68B1DB1-Normal52"/>
              <w:autoSpaceDE w:val="0"/>
              <w:autoSpaceDN w:val="0"/>
              <w:adjustRightInd w:val="0"/>
            </w:pPr>
            <w:r>
              <w:t xml:space="preserve">Счетоводство </w:t>
            </w:r>
          </w:p>
          <w:p w14:paraId="7FE1C282" w14:textId="65C12590" w:rsidR="00FE5D64" w:rsidRDefault="00E40776">
            <w:pPr>
              <w:pStyle w:val="P68B1DB1-ListParagraph53"/>
              <w:numPr>
                <w:ilvl w:val="0"/>
                <w:numId w:val="296"/>
              </w:numPr>
              <w:autoSpaceDE w:val="0"/>
              <w:autoSpaceDN w:val="0"/>
              <w:adjustRightInd w:val="0"/>
            </w:pPr>
            <w:r>
              <w:t xml:space="preserve">Отчитане съгласно законови и регулаторни изисквания; </w:t>
            </w:r>
          </w:p>
          <w:p w14:paraId="7FE1C283" w14:textId="3DCAF9FA" w:rsidR="00FE5D64" w:rsidRDefault="00E40776">
            <w:pPr>
              <w:pStyle w:val="P68B1DB1-ListParagraph53"/>
              <w:numPr>
                <w:ilvl w:val="0"/>
                <w:numId w:val="296"/>
              </w:numPr>
              <w:autoSpaceDE w:val="0"/>
              <w:autoSpaceDN w:val="0"/>
              <w:adjustRightInd w:val="0"/>
            </w:pPr>
            <w:r>
              <w:t xml:space="preserve">оценка, по-специално на пазарни позиции; </w:t>
            </w:r>
          </w:p>
          <w:p w14:paraId="7FE1C284" w14:textId="2EE4BE8B" w:rsidR="00FE5D64" w:rsidRDefault="00E40776">
            <w:pPr>
              <w:pStyle w:val="P68B1DB1-ListParagraph53"/>
              <w:numPr>
                <w:ilvl w:val="0"/>
                <w:numId w:val="296"/>
              </w:numPr>
              <w:autoSpaceDE w:val="0"/>
              <w:autoSpaceDN w:val="0"/>
              <w:adjustRightInd w:val="0"/>
            </w:pPr>
            <w:r>
              <w:t xml:space="preserve">доклади за управлението. </w:t>
            </w:r>
          </w:p>
          <w:p w14:paraId="7FE1C285" w14:textId="186EA25B" w:rsidR="00FE5D64" w:rsidRDefault="00E40776">
            <w:pPr>
              <w:pStyle w:val="P68B1DB1-ListParagraph53"/>
              <w:numPr>
                <w:ilvl w:val="0"/>
                <w:numId w:val="296"/>
              </w:numPr>
              <w:autoSpaceDE w:val="0"/>
              <w:autoSpaceDN w:val="0"/>
              <w:adjustRightInd w:val="0"/>
            </w:pPr>
            <w:r>
              <w:t>друг вид счетоводна услуга</w:t>
            </w:r>
          </w:p>
          <w:p w14:paraId="7FE1C286" w14:textId="77777777" w:rsidR="00FE5D64" w:rsidRDefault="00FE5D64">
            <w:pPr>
              <w:autoSpaceDE w:val="0"/>
              <w:autoSpaceDN w:val="0"/>
              <w:adjustRightInd w:val="0"/>
              <w:ind w:left="708"/>
              <w:rPr>
                <w:rFonts w:ascii="Times New Roman" w:eastAsia="MS Mincho" w:hAnsi="Times New Roman" w:cs="Times New Roman"/>
                <w:sz w:val="20"/>
                <w:szCs w:val="20"/>
              </w:rPr>
            </w:pPr>
          </w:p>
          <w:p w14:paraId="7FE1C287" w14:textId="675737F3" w:rsidR="00FE5D64" w:rsidRDefault="00E40776">
            <w:pPr>
              <w:pStyle w:val="P68B1DB1-Normal54"/>
              <w:autoSpaceDE w:val="0"/>
              <w:autoSpaceDN w:val="0"/>
              <w:adjustRightInd w:val="0"/>
              <w:rPr>
                <w:sz w:val="24"/>
              </w:rPr>
            </w:pPr>
            <w:r>
              <w:rPr>
                <w:sz w:val="20"/>
              </w:rPr>
              <w:t>Работа с парични средства</w:t>
            </w:r>
            <w:r>
              <w:rPr>
                <w:sz w:val="24"/>
              </w:rPr>
              <w:t xml:space="preserve"> </w:t>
            </w:r>
          </w:p>
          <w:p w14:paraId="7FE1C288" w14:textId="77777777" w:rsidR="00FE5D64" w:rsidRDefault="00FE5D64">
            <w:pPr>
              <w:autoSpaceDE w:val="0"/>
              <w:autoSpaceDN w:val="0"/>
              <w:adjustRightInd w:val="0"/>
              <w:rPr>
                <w:rFonts w:ascii="Times New Roman" w:eastAsia="MS Mincho" w:hAnsi="Times New Roman" w:cs="Times New Roman"/>
                <w:sz w:val="24"/>
                <w:szCs w:val="20"/>
              </w:rPr>
            </w:pPr>
          </w:p>
          <w:p w14:paraId="7FE1C289" w14:textId="180A5CA4" w:rsidR="00FE5D64" w:rsidRDefault="00E40776">
            <w:pPr>
              <w:pStyle w:val="P68B1DB1-Normal52"/>
              <w:autoSpaceDE w:val="0"/>
              <w:autoSpaceDN w:val="0"/>
              <w:adjustRightInd w:val="0"/>
            </w:pPr>
            <w:r>
              <w:t>Друг вид услуга</w:t>
            </w:r>
          </w:p>
          <w:p w14:paraId="7FE1C28B" w14:textId="56625F93" w:rsidR="00FE5D64" w:rsidRDefault="00FE5D64">
            <w:pPr>
              <w:spacing w:line="276" w:lineRule="auto"/>
              <w:jc w:val="both"/>
              <w:rPr>
                <w:rFonts w:ascii="Times New Roman" w:eastAsia="Calibri" w:hAnsi="Times New Roman" w:cs="Times New Roman"/>
                <w:b/>
                <w:i/>
                <w:sz w:val="20"/>
                <w:szCs w:val="20"/>
              </w:rPr>
            </w:pPr>
          </w:p>
        </w:tc>
      </w:tr>
      <w:tr w:rsidR="00FE5D64" w14:paraId="7FE1C292" w14:textId="77777777">
        <w:trPr>
          <w:trHeight w:val="463"/>
        </w:trPr>
        <w:tc>
          <w:tcPr>
            <w:tcW w:w="1129" w:type="dxa"/>
            <w:shd w:val="clear" w:color="auto" w:fill="FFFFFF" w:themeFill="background1"/>
          </w:tcPr>
          <w:p w14:paraId="7FE1C28D" w14:textId="77777777" w:rsidR="00FE5D64" w:rsidRDefault="00E40776">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FE5D64" w:rsidRDefault="00E40776">
            <w:pPr>
              <w:pStyle w:val="P68B1DB1-Normal49"/>
              <w:spacing w:line="276" w:lineRule="auto"/>
              <w:jc w:val="both"/>
              <w:rPr>
                <w:bCs/>
              </w:rPr>
            </w:pPr>
            <w:r>
              <w:t>Уникално наименование на услугата съгласно таксономията на банката</w:t>
            </w:r>
          </w:p>
          <w:p w14:paraId="1C0060B3" w14:textId="77777777" w:rsidR="00FE5D64" w:rsidRDefault="00E40776">
            <w:pPr>
              <w:rPr>
                <w:rFonts w:ascii="Times New Roman" w:eastAsiaTheme="minorHAnsi" w:hAnsi="Times New Roman" w:cs="Times New Roman"/>
                <w:sz w:val="24"/>
              </w:rPr>
            </w:pPr>
            <w:r>
              <w:rPr>
                <w:rFonts w:ascii="Times New Roman" w:eastAsia="Calibri" w:hAnsi="Times New Roman" w:cs="Times New Roman"/>
                <w:sz w:val="20"/>
              </w:rPr>
              <w:t>Наименование/кратко описание на услугата според собствената диференцирана таксономия на банката (ниво 3), което категоризира услугите и подгрупите от тези услуги на йерархични нива. Например таксономия на услугите, която категоризира услугите на три йерархични нива, където на най-високо ниво има групата услуги (L1: Финансови услуги), в рамките на които услугите са представени на второ ниво (L2: хазна, финансов анализ, данъчно облагане, отношения с инвеститори и др.) и подуслуги на трето ниво (L3 — в рамките</w:t>
            </w:r>
            <w:r>
              <w:rPr>
                <w:rFonts w:ascii="Times New Roman" w:eastAsia="Calibri" w:hAnsi="Times New Roman" w:cs="Times New Roman"/>
                <w:sz w:val="20"/>
              </w:rPr>
              <w:t xml:space="preserve"> на държавната хазна: управление на ликвидността, управление на активи и пасиви, управление на обезпечения и др.). От банката се очаква да отчита услугите на по-детайлно ниво от предвиденото за ниво 2 (c0010), така че всяка конкретна услуга да бъде определена точно и целенасочено.</w:t>
            </w:r>
            <w:r>
              <w:rPr>
                <w:rFonts w:ascii="Times New Roman" w:eastAsiaTheme="minorHAnsi" w:hAnsi="Times New Roman" w:cs="Times New Roman"/>
                <w:sz w:val="24"/>
              </w:rPr>
              <w:t xml:space="preserve"> </w:t>
            </w:r>
          </w:p>
          <w:p w14:paraId="7FE1C290" w14:textId="77777777" w:rsidR="00FE5D64" w:rsidRDefault="00FE5D64">
            <w:pPr>
              <w:spacing w:line="276" w:lineRule="auto"/>
              <w:jc w:val="both"/>
              <w:rPr>
                <w:rFonts w:ascii="Times New Roman" w:eastAsia="Calibri" w:hAnsi="Times New Roman" w:cs="Times New Roman"/>
                <w:sz w:val="20"/>
              </w:rPr>
            </w:pPr>
          </w:p>
          <w:p w14:paraId="7FE1C291" w14:textId="77777777" w:rsidR="00FE5D64" w:rsidRDefault="00FE5D64">
            <w:pPr>
              <w:spacing w:line="276" w:lineRule="auto"/>
              <w:jc w:val="both"/>
              <w:rPr>
                <w:rFonts w:ascii="Times New Roman" w:eastAsia="Calibri" w:hAnsi="Times New Roman" w:cs="Times New Roman"/>
                <w:i/>
                <w:sz w:val="20"/>
              </w:rPr>
            </w:pPr>
          </w:p>
        </w:tc>
      </w:tr>
      <w:tr w:rsidR="00FE5D64" w14:paraId="7FE1C298" w14:textId="77777777">
        <w:trPr>
          <w:trHeight w:val="463"/>
        </w:trPr>
        <w:tc>
          <w:tcPr>
            <w:tcW w:w="1129" w:type="dxa"/>
            <w:shd w:val="clear" w:color="auto" w:fill="FFFFFF" w:themeFill="background1"/>
          </w:tcPr>
          <w:p w14:paraId="7FE1C293" w14:textId="77777777" w:rsidR="00FE5D64" w:rsidRDefault="00E40776">
            <w:pPr>
              <w:pStyle w:val="P68B1DB1-Normal50"/>
              <w:spacing w:before="120" w:after="120" w:line="276" w:lineRule="auto"/>
            </w:pPr>
            <w:r>
              <w:t>0030—0040</w:t>
            </w:r>
          </w:p>
          <w:p w14:paraId="7FE1C294" w14:textId="77777777" w:rsidR="00FE5D64" w:rsidRDefault="00FE5D6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FE5D64" w:rsidRDefault="00E40776">
            <w:pPr>
              <w:pStyle w:val="P68B1DB1-Normal49"/>
              <w:spacing w:line="276" w:lineRule="auto"/>
              <w:jc w:val="both"/>
              <w:rPr>
                <w:bCs/>
              </w:rPr>
            </w:pPr>
            <w:r>
              <w:t>Получател на услугата</w:t>
            </w:r>
          </w:p>
          <w:p w14:paraId="7FE1C296" w14:textId="6BB16960" w:rsidR="00FE5D64" w:rsidRDefault="00E40776">
            <w:pPr>
              <w:pStyle w:val="P68B1DB1-Normal45"/>
              <w:spacing w:line="276" w:lineRule="auto"/>
              <w:jc w:val="both"/>
            </w:pPr>
            <w:r>
              <w:t>Субектът от групата, който получава услугата, посочена в колона 0010, от друга бизнес единица, субект от групата или външния доставчик, посочен в колони 0050—0110.</w:t>
            </w:r>
          </w:p>
          <w:p w14:paraId="7FE1C297" w14:textId="77777777" w:rsidR="00FE5D64" w:rsidRDefault="00FE5D64">
            <w:pPr>
              <w:spacing w:line="276" w:lineRule="auto"/>
              <w:jc w:val="both"/>
              <w:rPr>
                <w:rFonts w:ascii="Times New Roman" w:eastAsia="Calibri" w:hAnsi="Times New Roman" w:cs="Times New Roman"/>
                <w:sz w:val="20"/>
              </w:rPr>
            </w:pPr>
          </w:p>
        </w:tc>
      </w:tr>
      <w:tr w:rsidR="00FE5D64" w14:paraId="7FE1C29F" w14:textId="77777777">
        <w:trPr>
          <w:trHeight w:val="463"/>
        </w:trPr>
        <w:tc>
          <w:tcPr>
            <w:tcW w:w="1129" w:type="dxa"/>
            <w:shd w:val="clear" w:color="auto" w:fill="FFFFFF" w:themeFill="background1"/>
          </w:tcPr>
          <w:p w14:paraId="7FE1C299" w14:textId="77777777" w:rsidR="00FE5D64" w:rsidRDefault="00E40776">
            <w:pPr>
              <w:pStyle w:val="P68B1DB1-Normal50"/>
              <w:spacing w:before="120" w:after="120" w:line="276" w:lineRule="auto"/>
            </w:pPr>
            <w:r>
              <w:t>0030</w:t>
            </w:r>
          </w:p>
          <w:p w14:paraId="7FE1C29A" w14:textId="77777777" w:rsidR="00FE5D64" w:rsidRDefault="00FE5D6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FE5D64" w:rsidRDefault="00E40776">
            <w:pPr>
              <w:pStyle w:val="P68B1DB1-Normal49"/>
              <w:spacing w:before="120" w:after="120" w:line="276" w:lineRule="auto"/>
              <w:rPr>
                <w:bCs/>
              </w:rPr>
            </w:pPr>
            <w:r>
              <w:t>Наименование</w:t>
            </w:r>
          </w:p>
          <w:p w14:paraId="7FE1C29C" w14:textId="5429A4DF" w:rsidR="00FE5D64" w:rsidRDefault="00E40776">
            <w:pPr>
              <w:pStyle w:val="P68B1DB1-Normal45"/>
              <w:spacing w:line="276" w:lineRule="auto"/>
              <w:jc w:val="both"/>
            </w:pPr>
            <w:r>
              <w:t>Тя трябва да е различна от наименованието, посочено в колона 0050, освен ако услугата е вътрешнофирмена. В този случай се очаква името на субекта получател на услуги и наименованието на субекта доставчик на услуги да съвпадат.</w:t>
            </w:r>
          </w:p>
          <w:p w14:paraId="7FE1C29D" w14:textId="77777777" w:rsidR="00FE5D64" w:rsidRDefault="00FE5D64">
            <w:pPr>
              <w:spacing w:line="276" w:lineRule="auto"/>
              <w:jc w:val="both"/>
              <w:rPr>
                <w:rFonts w:ascii="Times New Roman" w:eastAsia="Calibri" w:hAnsi="Times New Roman" w:cs="Times New Roman"/>
                <w:sz w:val="20"/>
              </w:rPr>
            </w:pPr>
          </w:p>
          <w:p w14:paraId="7FE1C29E" w14:textId="77777777" w:rsidR="00FE5D64" w:rsidRDefault="00FE5D64">
            <w:pPr>
              <w:spacing w:line="276" w:lineRule="auto"/>
              <w:jc w:val="both"/>
              <w:rPr>
                <w:rFonts w:ascii="Times New Roman" w:eastAsia="Calibri" w:hAnsi="Times New Roman" w:cs="Times New Roman"/>
                <w:b/>
                <w:sz w:val="20"/>
              </w:rPr>
            </w:pPr>
          </w:p>
        </w:tc>
      </w:tr>
      <w:tr w:rsidR="00FE5D64" w14:paraId="7FE1C2A6" w14:textId="77777777">
        <w:trPr>
          <w:trHeight w:val="463"/>
        </w:trPr>
        <w:tc>
          <w:tcPr>
            <w:tcW w:w="1129" w:type="dxa"/>
            <w:shd w:val="clear" w:color="auto" w:fill="FFFFFF" w:themeFill="background1"/>
          </w:tcPr>
          <w:p w14:paraId="7FE1C2A0" w14:textId="77777777" w:rsidR="00FE5D64" w:rsidRDefault="00E40776">
            <w:pPr>
              <w:pStyle w:val="P68B1DB1-Normal50"/>
              <w:spacing w:before="120" w:after="120" w:line="276" w:lineRule="auto"/>
            </w:pPr>
            <w:r>
              <w:t>0040</w:t>
            </w:r>
          </w:p>
          <w:p w14:paraId="7FE1C2A1" w14:textId="77777777" w:rsidR="00FE5D64" w:rsidRDefault="00FE5D6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FE5D64" w:rsidRDefault="00E40776">
            <w:pPr>
              <w:pStyle w:val="P68B1DB1-Normal49"/>
              <w:spacing w:before="120" w:after="120" w:line="276" w:lineRule="auto"/>
              <w:rPr>
                <w:bCs/>
              </w:rPr>
            </w:pPr>
            <w:r>
              <w:t>Осемцифров код по ХС</w:t>
            </w:r>
          </w:p>
          <w:p w14:paraId="7FE1C2A3" w14:textId="77777777" w:rsidR="00FE5D64" w:rsidRDefault="00E40776">
            <w:pPr>
              <w:pStyle w:val="P68B1DB1-Normal45"/>
              <w:spacing w:line="276" w:lineRule="auto"/>
              <w:jc w:val="both"/>
            </w:pPr>
            <w:r>
              <w:t>Уникален идентификатора на правния субект в колона 0030, посочен в образец Z 01.01 (ORG).</w:t>
            </w:r>
          </w:p>
          <w:p w14:paraId="7FE1C2A4" w14:textId="77777777" w:rsidR="00FE5D64" w:rsidRDefault="00E40776">
            <w:pPr>
              <w:pStyle w:val="P68B1DB1-Normal45"/>
              <w:spacing w:line="276" w:lineRule="auto"/>
              <w:jc w:val="both"/>
            </w:pPr>
            <w:r>
              <w:t>Той трябва да е различен от идентификатора, посочен в колона 0060, освен ако услугата е вътрешнофирмена. В този случай се очаква кодът на получателя на услугата и кодът на доставчика на услуги да съвпадат.</w:t>
            </w:r>
          </w:p>
          <w:p w14:paraId="7FE1C2A5" w14:textId="77777777" w:rsidR="00FE5D64" w:rsidRDefault="00FE5D64">
            <w:pPr>
              <w:spacing w:line="276" w:lineRule="auto"/>
              <w:jc w:val="both"/>
              <w:rPr>
                <w:rFonts w:ascii="Times New Roman" w:eastAsia="Calibri" w:hAnsi="Times New Roman" w:cs="Times New Roman"/>
                <w:b/>
                <w:i/>
                <w:sz w:val="20"/>
              </w:rPr>
            </w:pPr>
          </w:p>
        </w:tc>
      </w:tr>
      <w:tr w:rsidR="00FE5D64" w14:paraId="7FE1C2AC" w14:textId="77777777">
        <w:trPr>
          <w:trHeight w:val="463"/>
        </w:trPr>
        <w:tc>
          <w:tcPr>
            <w:tcW w:w="1129" w:type="dxa"/>
            <w:shd w:val="clear" w:color="auto" w:fill="FFFFFF" w:themeFill="background1"/>
          </w:tcPr>
          <w:p w14:paraId="7FE1C2A7" w14:textId="77777777" w:rsidR="00FE5D64" w:rsidRDefault="00E40776">
            <w:pPr>
              <w:pStyle w:val="P68B1DB1-Normal50"/>
              <w:spacing w:before="120" w:after="120" w:line="276" w:lineRule="auto"/>
            </w:pPr>
            <w:r>
              <w:t>0050—0110</w:t>
            </w:r>
          </w:p>
          <w:p w14:paraId="7FE1C2A8" w14:textId="77777777" w:rsidR="00FE5D64" w:rsidRDefault="00FE5D64">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FE5D64" w:rsidRDefault="00E40776">
            <w:pPr>
              <w:pStyle w:val="P68B1DB1-Normal55"/>
              <w:spacing w:line="276" w:lineRule="auto"/>
              <w:jc w:val="both"/>
              <w:rPr>
                <w:bCs/>
              </w:rPr>
            </w:pPr>
            <w:r>
              <w:rPr>
                <w:szCs w:val="20"/>
              </w:rPr>
              <w:lastRenderedPageBreak/>
              <w:t>Доставчик на услуги</w:t>
            </w:r>
            <w:r>
              <w:t xml:space="preserve"> </w:t>
            </w:r>
          </w:p>
          <w:p w14:paraId="7FE1C2AA" w14:textId="77777777" w:rsidR="00FE5D64" w:rsidRDefault="00E40776">
            <w:pPr>
              <w:pStyle w:val="P68B1DB1-Normal45"/>
              <w:spacing w:line="276" w:lineRule="auto"/>
              <w:jc w:val="both"/>
            </w:pPr>
            <w:r>
              <w:lastRenderedPageBreak/>
              <w:t>Юридическото лице (за вътрешнофирмени или вътрешногрупови услуги) или външният доставчик (за външни услуги), който предоставя услугата, посочена в колона 0020, на субекта от групата, докладван в колона 0030.</w:t>
            </w:r>
          </w:p>
          <w:p w14:paraId="7FE1C2AB" w14:textId="77777777" w:rsidR="00FE5D64" w:rsidRDefault="00FE5D64">
            <w:pPr>
              <w:spacing w:line="276" w:lineRule="auto"/>
              <w:jc w:val="both"/>
              <w:rPr>
                <w:rFonts w:ascii="Times New Roman" w:eastAsia="Calibri" w:hAnsi="Times New Roman" w:cs="Times New Roman"/>
                <w:sz w:val="20"/>
              </w:rPr>
            </w:pPr>
          </w:p>
        </w:tc>
      </w:tr>
      <w:tr w:rsidR="00FE5D64" w14:paraId="244B34A5" w14:textId="77777777">
        <w:trPr>
          <w:trHeight w:val="463"/>
        </w:trPr>
        <w:tc>
          <w:tcPr>
            <w:tcW w:w="1129" w:type="dxa"/>
            <w:shd w:val="clear" w:color="auto" w:fill="FFFFFF" w:themeFill="background1"/>
          </w:tcPr>
          <w:p w14:paraId="26770022" w14:textId="77E4D0B7" w:rsidR="00FE5D64" w:rsidRDefault="00E40776">
            <w:pPr>
              <w:pStyle w:val="P68B1DB1-Normal50"/>
              <w:spacing w:before="120" w:after="120" w:line="276" w:lineRule="auto"/>
            </w:pPr>
            <w:r>
              <w:lastRenderedPageBreak/>
              <w:t>0050—0070</w:t>
            </w:r>
          </w:p>
        </w:tc>
        <w:tc>
          <w:tcPr>
            <w:tcW w:w="7938" w:type="dxa"/>
            <w:shd w:val="clear" w:color="auto" w:fill="FFFFFF" w:themeFill="background1"/>
          </w:tcPr>
          <w:p w14:paraId="3E4CD319" w14:textId="6DCA5709" w:rsidR="00FE5D64" w:rsidRDefault="00E40776">
            <w:pPr>
              <w:pStyle w:val="P68B1DB1-Normal49"/>
              <w:spacing w:line="276" w:lineRule="auto"/>
              <w:jc w:val="both"/>
              <w:rPr>
                <w:bCs/>
              </w:rPr>
            </w:pPr>
            <w:r>
              <w:t>Субект</w:t>
            </w:r>
          </w:p>
        </w:tc>
      </w:tr>
      <w:tr w:rsidR="00FE5D64" w14:paraId="7FE1C2B2" w14:textId="77777777">
        <w:trPr>
          <w:trHeight w:val="463"/>
        </w:trPr>
        <w:tc>
          <w:tcPr>
            <w:tcW w:w="1129" w:type="dxa"/>
            <w:shd w:val="clear" w:color="auto" w:fill="FFFFFF" w:themeFill="background1"/>
          </w:tcPr>
          <w:p w14:paraId="7FE1C2AD" w14:textId="77777777" w:rsidR="00FE5D64" w:rsidRDefault="00E40776">
            <w:pPr>
              <w:pStyle w:val="P68B1DB1-Normal50"/>
              <w:spacing w:before="120" w:after="120" w:line="276" w:lineRule="auto"/>
            </w:pPr>
            <w:r>
              <w:t>0050</w:t>
            </w:r>
          </w:p>
          <w:p w14:paraId="7FE1C2AE" w14:textId="77777777" w:rsidR="00FE5D64" w:rsidRDefault="00FE5D64">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FE5D64" w:rsidRDefault="00E40776">
            <w:pPr>
              <w:pStyle w:val="P68B1DB1-Normal49"/>
              <w:spacing w:before="120" w:after="120" w:line="276" w:lineRule="auto"/>
              <w:rPr>
                <w:bCs/>
              </w:rPr>
            </w:pPr>
            <w:r>
              <w:t>Наименование</w:t>
            </w:r>
          </w:p>
          <w:p w14:paraId="7FE1C2B0" w14:textId="77777777" w:rsidR="00FE5D64" w:rsidRDefault="00E40776">
            <w:pPr>
              <w:pStyle w:val="P68B1DB1-Normal45"/>
              <w:spacing w:line="276" w:lineRule="auto"/>
              <w:jc w:val="both"/>
            </w:pPr>
            <w:r>
              <w:t>Тя трябва да е различна от наименованието, посочено в колона 0030, освен ако услугата е вътрешнофирмена. В този случай се очаква името на субекта получател на услуги и наименованието на субекта доставчик на услуги да съвпадат.</w:t>
            </w:r>
          </w:p>
          <w:p w14:paraId="7FE1C2B1" w14:textId="77777777" w:rsidR="00FE5D64" w:rsidRDefault="00FE5D64">
            <w:pPr>
              <w:spacing w:line="276" w:lineRule="auto"/>
              <w:jc w:val="both"/>
              <w:rPr>
                <w:rFonts w:ascii="Times New Roman" w:eastAsia="Calibri" w:hAnsi="Times New Roman" w:cs="Times New Roman"/>
                <w:b/>
                <w:sz w:val="20"/>
              </w:rPr>
            </w:pPr>
          </w:p>
        </w:tc>
      </w:tr>
      <w:tr w:rsidR="00FE5D64" w14:paraId="7FE1C2BE" w14:textId="77777777">
        <w:trPr>
          <w:trHeight w:val="463"/>
        </w:trPr>
        <w:tc>
          <w:tcPr>
            <w:tcW w:w="1129" w:type="dxa"/>
            <w:shd w:val="clear" w:color="auto" w:fill="FFFFFF" w:themeFill="background1"/>
          </w:tcPr>
          <w:p w14:paraId="7FE1C2B3" w14:textId="77777777" w:rsidR="00FE5D64" w:rsidRDefault="00E40776">
            <w:pPr>
              <w:pStyle w:val="P68B1DB1-Normal45"/>
              <w:spacing w:line="276" w:lineRule="auto"/>
              <w:jc w:val="both"/>
            </w:pPr>
            <w:r>
              <w:t>0060</w:t>
            </w:r>
          </w:p>
          <w:p w14:paraId="7FE1C2B4" w14:textId="77777777" w:rsidR="00FE5D64" w:rsidRDefault="00FE5D6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FE5D64" w:rsidRDefault="00E40776">
            <w:pPr>
              <w:pStyle w:val="P68B1DB1-Normal55"/>
              <w:spacing w:line="276" w:lineRule="auto"/>
              <w:jc w:val="both"/>
              <w:rPr>
                <w:bCs/>
              </w:rPr>
            </w:pPr>
            <w:r>
              <w:t>Осемцифров код по ХС</w:t>
            </w:r>
          </w:p>
          <w:p w14:paraId="7FE1C2B6" w14:textId="77777777" w:rsidR="00FE5D64" w:rsidRDefault="00E40776">
            <w:pPr>
              <w:pStyle w:val="P68B1DB1-Normal45"/>
              <w:spacing w:line="276" w:lineRule="auto"/>
              <w:jc w:val="both"/>
              <w:rPr>
                <w:strike/>
              </w:rPr>
            </w:pPr>
            <w:r>
              <w:t>Собственият идентификационен код на правния субект в колона 0050. Той трябва да е различен от идентификатора, посочен в колона 0040, освен ако услугата е вътрешнофирмена. В този случай се очаква кодът на получателя на услугата и кодът на доставчика на услуги да съвпадат.</w:t>
            </w:r>
          </w:p>
          <w:p w14:paraId="7FE1C2B7" w14:textId="77777777" w:rsidR="00FE5D64" w:rsidRDefault="00E40776">
            <w:pPr>
              <w:pStyle w:val="P68B1DB1-Normal45"/>
              <w:spacing w:line="276" w:lineRule="auto"/>
              <w:jc w:val="both"/>
            </w:pPr>
            <w:r>
              <w:t>Когато доставчикът на услугата е субект от групата, кодът е същият като посоченият в образец Z 01.01 (ORG).</w:t>
            </w:r>
          </w:p>
          <w:p w14:paraId="7FE1C2B8" w14:textId="77777777" w:rsidR="00FE5D64" w:rsidRDefault="00E40776">
            <w:pPr>
              <w:pStyle w:val="P68B1DB1-Normal45"/>
              <w:spacing w:line="276" w:lineRule="auto"/>
              <w:jc w:val="both"/>
            </w:pPr>
            <w:r>
              <w:t>Когато доставчикът на услугата не е субект от групата, неговият код е:</w:t>
            </w:r>
          </w:p>
          <w:p w14:paraId="7FE1C2B9" w14:textId="77777777" w:rsidR="00FE5D64" w:rsidRDefault="00E40776">
            <w:pPr>
              <w:pStyle w:val="P68B1DB1-Normal45"/>
              <w:spacing w:line="276" w:lineRule="auto"/>
              <w:jc w:val="both"/>
            </w:pPr>
            <w:r>
              <w:t>за субекти с идентификационен код на правния субект (ИКПС) — 20-цифреният буквено-цифров ИКПС;</w:t>
            </w:r>
          </w:p>
          <w:p w14:paraId="7FE1C2BA" w14:textId="77777777" w:rsidR="00FE5D64" w:rsidRDefault="00E40776">
            <w:pPr>
              <w:pStyle w:val="P68B1DB1-Normal45"/>
              <w:spacing w:line="276" w:lineRule="auto"/>
              <w:jc w:val="both"/>
            </w:pPr>
            <w:r>
              <w:t>— за субекти без ИКПС — корпоративният регистрационен номер съгласно националното законодателство</w:t>
            </w:r>
            <w:r>
              <w:rPr>
                <w:strike/>
              </w:rPr>
              <w:t>.</w:t>
            </w:r>
          </w:p>
          <w:p w14:paraId="7FE1C2BB" w14:textId="77777777" w:rsidR="00FE5D64" w:rsidRDefault="00FE5D64">
            <w:pPr>
              <w:spacing w:line="276" w:lineRule="auto"/>
              <w:jc w:val="both"/>
              <w:rPr>
                <w:rFonts w:ascii="Times New Roman" w:eastAsia="Calibri" w:hAnsi="Times New Roman" w:cs="Times New Roman"/>
                <w:sz w:val="20"/>
              </w:rPr>
            </w:pPr>
          </w:p>
          <w:p w14:paraId="7FE1C2BC" w14:textId="77777777" w:rsidR="00FE5D64" w:rsidRDefault="00E40776">
            <w:pPr>
              <w:pStyle w:val="P68B1DB1-Normal45"/>
              <w:spacing w:line="276" w:lineRule="auto"/>
              <w:jc w:val="both"/>
            </w:pPr>
            <w:r>
              <w:t>За двата случая, кодът е собствен и се използва последователно във всички образци.</w:t>
            </w:r>
          </w:p>
          <w:p w14:paraId="7FE1C2BD" w14:textId="77777777" w:rsidR="00FE5D64" w:rsidRDefault="00E40776">
            <w:pPr>
              <w:pStyle w:val="P68B1DB1-Normal56"/>
              <w:spacing w:line="276" w:lineRule="auto"/>
              <w:jc w:val="both"/>
            </w:pPr>
            <w:r>
              <w:t xml:space="preserve"> </w:t>
            </w:r>
          </w:p>
        </w:tc>
      </w:tr>
      <w:tr w:rsidR="00FE5D64" w14:paraId="7FE1C2C7" w14:textId="77777777">
        <w:trPr>
          <w:trHeight w:val="463"/>
        </w:trPr>
        <w:tc>
          <w:tcPr>
            <w:tcW w:w="1129" w:type="dxa"/>
            <w:shd w:val="clear" w:color="auto" w:fill="FFFFFF" w:themeFill="background1"/>
          </w:tcPr>
          <w:p w14:paraId="7FE1C2BF" w14:textId="77777777" w:rsidR="00FE5D64" w:rsidRDefault="00E40776">
            <w:pPr>
              <w:pStyle w:val="P68B1DB1-Normal45"/>
              <w:spacing w:line="276" w:lineRule="auto"/>
              <w:jc w:val="both"/>
            </w:pPr>
            <w:r>
              <w:t>0070</w:t>
            </w:r>
          </w:p>
        </w:tc>
        <w:tc>
          <w:tcPr>
            <w:tcW w:w="7938" w:type="dxa"/>
            <w:shd w:val="clear" w:color="auto" w:fill="FFFFFF" w:themeFill="background1"/>
          </w:tcPr>
          <w:p w14:paraId="7FE1C2C0" w14:textId="77777777" w:rsidR="00FE5D64" w:rsidRDefault="00E40776">
            <w:pPr>
              <w:pStyle w:val="P68B1DB1-Normal55"/>
              <w:spacing w:line="276" w:lineRule="auto"/>
              <w:jc w:val="both"/>
              <w:rPr>
                <w:bCs/>
              </w:rPr>
            </w:pPr>
            <w:r>
              <w:t xml:space="preserve">Вид код </w:t>
            </w:r>
          </w:p>
          <w:p w14:paraId="7FE1C2C3" w14:textId="5EDF8AF2" w:rsidR="00FE5D64" w:rsidRDefault="00E40776">
            <w:pPr>
              <w:pStyle w:val="P68B1DB1-Normal57"/>
              <w:spacing w:line="276" w:lineRule="auto"/>
              <w:contextualSpacing/>
              <w:jc w:val="both"/>
              <w:rPr>
                <w:bCs/>
              </w:rPr>
            </w:pPr>
            <w:r>
              <w:t>Посочете едно от следните:</w:t>
            </w:r>
          </w:p>
          <w:p w14:paraId="7FE1C2C4" w14:textId="77777777" w:rsidR="00FE5D64" w:rsidRDefault="00E40776">
            <w:pPr>
              <w:pStyle w:val="P68B1DB1-ListParagraph58"/>
              <w:numPr>
                <w:ilvl w:val="0"/>
                <w:numId w:val="64"/>
              </w:numPr>
              <w:spacing w:line="276" w:lineRule="auto"/>
              <w:contextualSpacing/>
              <w:jc w:val="both"/>
            </w:pPr>
            <w:r>
              <w:t>ИКПС</w:t>
            </w:r>
          </w:p>
          <w:p w14:paraId="7FE1C2C5" w14:textId="77777777" w:rsidR="00FE5D64" w:rsidRDefault="00E40776">
            <w:pPr>
              <w:pStyle w:val="P68B1DB1-ListParagraph58"/>
              <w:numPr>
                <w:ilvl w:val="0"/>
                <w:numId w:val="64"/>
              </w:numPr>
              <w:spacing w:line="276" w:lineRule="auto"/>
              <w:contextualSpacing/>
              <w:jc w:val="both"/>
            </w:pPr>
            <w:r>
              <w:t>Търговски регистрационен номер,</w:t>
            </w:r>
          </w:p>
          <w:p w14:paraId="7FE1C2C6" w14:textId="77777777" w:rsidR="00FE5D64" w:rsidRDefault="00FE5D64">
            <w:pPr>
              <w:spacing w:line="276" w:lineRule="auto"/>
              <w:jc w:val="both"/>
              <w:rPr>
                <w:rFonts w:ascii="Times New Roman" w:eastAsia="Calibri" w:hAnsi="Times New Roman" w:cs="Times New Roman"/>
                <w:sz w:val="20"/>
              </w:rPr>
            </w:pPr>
          </w:p>
        </w:tc>
      </w:tr>
      <w:tr w:rsidR="00FE5D64" w14:paraId="5AC7028E" w14:textId="77777777">
        <w:trPr>
          <w:trHeight w:val="463"/>
        </w:trPr>
        <w:tc>
          <w:tcPr>
            <w:tcW w:w="1129" w:type="dxa"/>
            <w:shd w:val="clear" w:color="auto" w:fill="FFFFFF" w:themeFill="background1"/>
          </w:tcPr>
          <w:p w14:paraId="3ECEFB75" w14:textId="74BF0EC5" w:rsidR="00FE5D64" w:rsidRDefault="00E40776">
            <w:pPr>
              <w:pStyle w:val="P68B1DB1-Normal45"/>
              <w:spacing w:line="276" w:lineRule="auto"/>
              <w:jc w:val="both"/>
            </w:pPr>
            <w:r>
              <w:t>0080—0100</w:t>
            </w:r>
          </w:p>
        </w:tc>
        <w:tc>
          <w:tcPr>
            <w:tcW w:w="7938" w:type="dxa"/>
            <w:shd w:val="clear" w:color="auto" w:fill="FFFFFF" w:themeFill="background1"/>
          </w:tcPr>
          <w:p w14:paraId="259185CE" w14:textId="65A5A83F" w:rsidR="00FE5D64" w:rsidRDefault="00E40776">
            <w:pPr>
              <w:pStyle w:val="P68B1DB1-Normal55"/>
              <w:spacing w:line="276" w:lineRule="auto"/>
              <w:jc w:val="both"/>
              <w:rPr>
                <w:bCs/>
              </w:rPr>
            </w:pPr>
            <w:r>
              <w:t>Предприятие майка</w:t>
            </w:r>
          </w:p>
        </w:tc>
      </w:tr>
      <w:tr w:rsidR="00FE5D64" w14:paraId="7FE1C2CC" w14:textId="77777777">
        <w:trPr>
          <w:trHeight w:val="463"/>
        </w:trPr>
        <w:tc>
          <w:tcPr>
            <w:tcW w:w="1129" w:type="dxa"/>
          </w:tcPr>
          <w:p w14:paraId="7FE1C2C8" w14:textId="77777777" w:rsidR="00FE5D64" w:rsidRDefault="00E40776">
            <w:pPr>
              <w:pStyle w:val="P68B1DB1-Normal45"/>
              <w:spacing w:line="276" w:lineRule="auto"/>
              <w:jc w:val="both"/>
            </w:pPr>
            <w:r>
              <w:t>0080</w:t>
            </w:r>
          </w:p>
        </w:tc>
        <w:tc>
          <w:tcPr>
            <w:tcW w:w="7938" w:type="dxa"/>
            <w:shd w:val="clear" w:color="auto" w:fill="FFFFFF" w:themeFill="background1"/>
          </w:tcPr>
          <w:p w14:paraId="0DC1DDCB" w14:textId="24E6B1FE" w:rsidR="00FE5D64" w:rsidRDefault="00E40776">
            <w:pPr>
              <w:pStyle w:val="P68B1DB1-Normal55"/>
              <w:spacing w:line="276" w:lineRule="auto"/>
              <w:jc w:val="both"/>
            </w:pPr>
            <w:r>
              <w:t>Наименование</w:t>
            </w:r>
          </w:p>
          <w:p w14:paraId="7FE1C2CA" w14:textId="07E2401A" w:rsidR="00FE5D64" w:rsidRDefault="00E40776">
            <w:pPr>
              <w:pStyle w:val="P68B1DB1-Normal45"/>
              <w:spacing w:line="276" w:lineRule="auto"/>
              <w:jc w:val="both"/>
            </w:pPr>
            <w:r>
              <w:t>Наименование на (крайното) дружество майка на доставчика на услуги, отчетено в колона 0050, когато това не е субект от групата. В останалите случаи не е приложимо.</w:t>
            </w:r>
          </w:p>
          <w:p w14:paraId="7FE1C2CB" w14:textId="77777777" w:rsidR="00FE5D64" w:rsidRDefault="00FE5D64">
            <w:pPr>
              <w:spacing w:line="276" w:lineRule="auto"/>
              <w:jc w:val="both"/>
              <w:rPr>
                <w:rFonts w:ascii="Times New Roman" w:hAnsi="Times New Roman" w:cs="Times New Roman"/>
              </w:rPr>
            </w:pPr>
          </w:p>
        </w:tc>
      </w:tr>
      <w:tr w:rsidR="00FE5D64" w14:paraId="7FE1C2D3" w14:textId="77777777">
        <w:trPr>
          <w:trHeight w:val="463"/>
        </w:trPr>
        <w:tc>
          <w:tcPr>
            <w:tcW w:w="1129" w:type="dxa"/>
          </w:tcPr>
          <w:p w14:paraId="7FE1C2CD" w14:textId="77777777" w:rsidR="00FE5D64" w:rsidRDefault="00E40776">
            <w:pPr>
              <w:pStyle w:val="P68B1DB1-Normal45"/>
              <w:spacing w:line="276" w:lineRule="auto"/>
              <w:jc w:val="both"/>
            </w:pPr>
            <w:r>
              <w:t>0090</w:t>
            </w:r>
          </w:p>
        </w:tc>
        <w:tc>
          <w:tcPr>
            <w:tcW w:w="7938" w:type="dxa"/>
            <w:shd w:val="clear" w:color="auto" w:fill="FFFFFF" w:themeFill="background1"/>
          </w:tcPr>
          <w:p w14:paraId="7FE1C2CE" w14:textId="414718EB" w:rsidR="00FE5D64" w:rsidRDefault="00E40776">
            <w:pPr>
              <w:pStyle w:val="P68B1DB1-Normal55"/>
              <w:spacing w:line="276" w:lineRule="auto"/>
              <w:jc w:val="both"/>
              <w:rPr>
                <w:bCs/>
              </w:rPr>
            </w:pPr>
            <w:r>
              <w:t>Осемцифров код по ХС</w:t>
            </w:r>
          </w:p>
          <w:p w14:paraId="7FE1C2CF" w14:textId="77777777" w:rsidR="00FE5D64" w:rsidRDefault="00E40776">
            <w:pPr>
              <w:pStyle w:val="P68B1DB1-Normal45"/>
              <w:spacing w:line="276" w:lineRule="auto"/>
              <w:jc w:val="both"/>
            </w:pPr>
            <w:r>
              <w:t>Отчетеният в колона 0080 код на дружеството майка е:</w:t>
            </w:r>
          </w:p>
          <w:p w14:paraId="7FE1C2D0" w14:textId="77777777" w:rsidR="00FE5D64" w:rsidRDefault="00E40776">
            <w:pPr>
              <w:pStyle w:val="P68B1DB1-Normal45"/>
              <w:spacing w:line="276" w:lineRule="auto"/>
              <w:jc w:val="both"/>
            </w:pPr>
            <w:r>
              <w:t>за субекти с идентификационен код на правния субект (ИКПС) — 20-цифреният буквено-цифров ИКПС;</w:t>
            </w:r>
          </w:p>
          <w:p w14:paraId="7FE1C2D1" w14:textId="77777777" w:rsidR="00FE5D64" w:rsidRDefault="00E40776">
            <w:pPr>
              <w:pStyle w:val="P68B1DB1-Normal45"/>
              <w:spacing w:line="276" w:lineRule="auto"/>
              <w:jc w:val="both"/>
            </w:pPr>
            <w:r>
              <w:t xml:space="preserve">— за субекти без ИКПС — корпоративният регистрационен номер съгласно националното законодателство. </w:t>
            </w:r>
          </w:p>
          <w:p w14:paraId="7FE1C2D2" w14:textId="77777777" w:rsidR="00FE5D64" w:rsidRDefault="00FE5D64">
            <w:pPr>
              <w:spacing w:line="276" w:lineRule="auto"/>
              <w:jc w:val="both"/>
              <w:rPr>
                <w:rFonts w:ascii="Times New Roman" w:eastAsia="Calibri" w:hAnsi="Times New Roman" w:cs="Times New Roman"/>
                <w:sz w:val="20"/>
              </w:rPr>
            </w:pPr>
          </w:p>
        </w:tc>
      </w:tr>
      <w:tr w:rsidR="00FE5D64" w14:paraId="7FE1C2DC" w14:textId="77777777">
        <w:trPr>
          <w:trHeight w:val="463"/>
        </w:trPr>
        <w:tc>
          <w:tcPr>
            <w:tcW w:w="1129" w:type="dxa"/>
          </w:tcPr>
          <w:p w14:paraId="7FE1C2D4" w14:textId="77777777" w:rsidR="00FE5D64" w:rsidRDefault="00E40776">
            <w:pPr>
              <w:pStyle w:val="P68B1DB1-Normal45"/>
              <w:spacing w:line="276" w:lineRule="auto"/>
              <w:jc w:val="both"/>
            </w:pPr>
            <w:r>
              <w:t>0100</w:t>
            </w:r>
          </w:p>
        </w:tc>
        <w:tc>
          <w:tcPr>
            <w:tcW w:w="7938" w:type="dxa"/>
            <w:shd w:val="clear" w:color="auto" w:fill="FFFFFF" w:themeFill="background1"/>
          </w:tcPr>
          <w:p w14:paraId="7FE1C2D5" w14:textId="77777777" w:rsidR="00FE5D64" w:rsidRDefault="00E40776">
            <w:pPr>
              <w:pStyle w:val="P68B1DB1-Normal55"/>
              <w:spacing w:line="276" w:lineRule="auto"/>
              <w:jc w:val="both"/>
              <w:rPr>
                <w:bCs/>
              </w:rPr>
            </w:pPr>
            <w:r>
              <w:t xml:space="preserve">Вид код </w:t>
            </w:r>
          </w:p>
          <w:p w14:paraId="7FE1C2D6" w14:textId="77777777" w:rsidR="00FE5D64" w:rsidRDefault="00E40776">
            <w:pPr>
              <w:pStyle w:val="P68B1DB1-Normal57"/>
              <w:spacing w:line="276" w:lineRule="auto"/>
              <w:contextualSpacing/>
              <w:jc w:val="both"/>
              <w:rPr>
                <w:bCs/>
              </w:rPr>
            </w:pPr>
            <w:r>
              <w:t>Посочете едно от следните:</w:t>
            </w:r>
          </w:p>
          <w:p w14:paraId="7FE1C2D7" w14:textId="77777777" w:rsidR="00FE5D64" w:rsidRDefault="00E40776">
            <w:pPr>
              <w:pStyle w:val="P68B1DB1-ListParagraph58"/>
              <w:numPr>
                <w:ilvl w:val="0"/>
                <w:numId w:val="64"/>
              </w:numPr>
              <w:spacing w:line="276" w:lineRule="auto"/>
              <w:contextualSpacing/>
              <w:jc w:val="both"/>
            </w:pPr>
            <w:r>
              <w:lastRenderedPageBreak/>
              <w:t>ИКПС</w:t>
            </w:r>
          </w:p>
          <w:p w14:paraId="7FE1C2D8" w14:textId="77777777" w:rsidR="00FE5D64" w:rsidRDefault="00E40776">
            <w:pPr>
              <w:pStyle w:val="P68B1DB1-ListParagraph58"/>
              <w:numPr>
                <w:ilvl w:val="0"/>
                <w:numId w:val="64"/>
              </w:numPr>
              <w:spacing w:line="276" w:lineRule="auto"/>
              <w:contextualSpacing/>
              <w:jc w:val="both"/>
            </w:pPr>
            <w:r>
              <w:t>Търговски регистрационен номер,</w:t>
            </w:r>
          </w:p>
          <w:p w14:paraId="7FE1C2DB" w14:textId="010B0D6D" w:rsidR="00FE5D64" w:rsidRDefault="00FE5D64">
            <w:pPr>
              <w:spacing w:line="276" w:lineRule="auto"/>
              <w:jc w:val="both"/>
              <w:rPr>
                <w:rFonts w:ascii="Times New Roman" w:eastAsia="Calibri" w:hAnsi="Times New Roman" w:cs="Times New Roman"/>
                <w:sz w:val="20"/>
              </w:rPr>
            </w:pPr>
          </w:p>
        </w:tc>
      </w:tr>
      <w:tr w:rsidR="00FE5D64" w14:paraId="7FE1C2E4" w14:textId="77777777">
        <w:trPr>
          <w:trHeight w:val="463"/>
        </w:trPr>
        <w:tc>
          <w:tcPr>
            <w:tcW w:w="1129" w:type="dxa"/>
            <w:shd w:val="clear" w:color="auto" w:fill="FFFFFF" w:themeFill="background1"/>
          </w:tcPr>
          <w:p w14:paraId="7FE1C2DD" w14:textId="77777777" w:rsidR="00FE5D64" w:rsidRDefault="00E40776">
            <w:pPr>
              <w:pStyle w:val="P68B1DB1-Normal45"/>
              <w:spacing w:line="276" w:lineRule="auto"/>
              <w:jc w:val="both"/>
            </w:pPr>
            <w:r>
              <w:lastRenderedPageBreak/>
              <w:t>0110</w:t>
            </w:r>
          </w:p>
        </w:tc>
        <w:tc>
          <w:tcPr>
            <w:tcW w:w="7938" w:type="dxa"/>
            <w:shd w:val="clear" w:color="auto" w:fill="FFFFFF" w:themeFill="background1"/>
          </w:tcPr>
          <w:p w14:paraId="7FE1C2DE" w14:textId="77777777" w:rsidR="00FE5D64" w:rsidRDefault="00E40776">
            <w:pPr>
              <w:pStyle w:val="P68B1DB1-Normal45"/>
              <w:spacing w:line="276" w:lineRule="auto"/>
              <w:jc w:val="both"/>
            </w:pPr>
            <w:r>
              <w:rPr>
                <w:b/>
              </w:rPr>
              <w:t>Предоставяне на услуги</w:t>
            </w:r>
            <w:r>
              <w:t xml:space="preserve"> </w:t>
            </w:r>
          </w:p>
          <w:p w14:paraId="7FE1C2DF" w14:textId="77777777" w:rsidR="00FE5D64" w:rsidRDefault="00E40776">
            <w:pPr>
              <w:pStyle w:val="P68B1DB1-Normal45"/>
              <w:spacing w:line="276" w:lineRule="auto"/>
              <w:jc w:val="both"/>
            </w:pPr>
            <w:r>
              <w:t>„Вътрешнофирмена услуга“, ако услугата се предоставя от една стопанска единица на друга стопанска единица на същото юридическо лице.</w:t>
            </w:r>
          </w:p>
          <w:p w14:paraId="7FE1C2E0" w14:textId="200EB8B6" w:rsidR="00FE5D64" w:rsidRDefault="00E40776">
            <w:pPr>
              <w:spacing w:line="276" w:lineRule="auto"/>
              <w:jc w:val="both"/>
              <w:rPr>
                <w:rFonts w:ascii="Times New Roman" w:eastAsia="Calibri" w:hAnsi="Times New Roman" w:cs="Times New Roman"/>
                <w:sz w:val="20"/>
              </w:rPr>
            </w:pPr>
            <w:r>
              <w:rPr>
                <w:rFonts w:ascii="Times New Roman" w:eastAsia="Calibri" w:hAnsi="Times New Roman" w:cs="Times New Roman"/>
                <w:sz w:val="20"/>
              </w:rPr>
              <w:t>„Вътрешногрупов — регулиран субект“</w:t>
            </w:r>
            <w:r>
              <w:rPr>
                <w:rFonts w:ascii="Times New Roman" w:hAnsi="Times New Roman" w:cs="Times New Roman"/>
              </w:rPr>
              <w:t xml:space="preserve">, ако </w:t>
            </w:r>
            <w:r>
              <w:rPr>
                <w:rFonts w:ascii="Times New Roman" w:eastAsia="Calibri" w:hAnsi="Times New Roman" w:cs="Times New Roman"/>
                <w:sz w:val="20"/>
              </w:rPr>
              <w:t>услугата се</w:t>
            </w:r>
            <w:r>
              <w:rPr>
                <w:rFonts w:ascii="Times New Roman" w:hAnsi="Times New Roman" w:cs="Times New Roman"/>
              </w:rPr>
              <w:t xml:space="preserve"> </w:t>
            </w:r>
            <w:r>
              <w:rPr>
                <w:rFonts w:ascii="Times New Roman" w:eastAsia="Calibri" w:hAnsi="Times New Roman" w:cs="Times New Roman"/>
                <w:sz w:val="20"/>
              </w:rPr>
              <w:t>предоставя от субект от групата, който подлежи на пруденциално регулиране по отношение на капитала/ликвидността на индивидуална основа, включително когато пруденциалните изисквания са отменени.</w:t>
            </w:r>
          </w:p>
          <w:p w14:paraId="7FE1C2E1" w14:textId="6FD0E03D" w:rsidR="00FE5D64" w:rsidRDefault="00E40776">
            <w:pPr>
              <w:pStyle w:val="P68B1DB1-Normal45"/>
              <w:spacing w:line="276" w:lineRule="auto"/>
              <w:jc w:val="both"/>
            </w:pPr>
            <w:r>
              <w:t>„Вътрешногрупов — нерегулиран субект“, ако услугата се предоставя от субект от групата, който е оперативно образувание, което не подлежи на пруденциално регулиране по отношение на капитала/ликвидността на индивидуална основа, включително когато пруденциалните изисквания са отменени.</w:t>
            </w:r>
          </w:p>
          <w:p w14:paraId="7FE1C2E2" w14:textId="7B6AA381" w:rsidR="00FE5D64" w:rsidRDefault="00E40776">
            <w:pPr>
              <w:pStyle w:val="P68B1DB1-Normal45"/>
              <w:spacing w:line="276" w:lineRule="auto"/>
              <w:jc w:val="both"/>
            </w:pPr>
            <w:r>
              <w:t>„Външен субект“, ако услугата се предоставя от външен доставчик, който е извън групата.</w:t>
            </w:r>
          </w:p>
          <w:p w14:paraId="7FE1C2E3" w14:textId="77777777" w:rsidR="00FE5D64" w:rsidRDefault="00FE5D64">
            <w:pPr>
              <w:spacing w:line="276" w:lineRule="auto"/>
              <w:jc w:val="both"/>
              <w:rPr>
                <w:rFonts w:ascii="Times New Roman" w:eastAsia="Calibri" w:hAnsi="Times New Roman" w:cs="Times New Roman"/>
                <w:i/>
                <w:sz w:val="20"/>
              </w:rPr>
            </w:pPr>
          </w:p>
        </w:tc>
      </w:tr>
      <w:tr w:rsidR="00FE5D64" w14:paraId="7FE1C2EB" w14:textId="77777777">
        <w:trPr>
          <w:trHeight w:val="463"/>
        </w:trPr>
        <w:tc>
          <w:tcPr>
            <w:tcW w:w="1129" w:type="dxa"/>
            <w:shd w:val="clear" w:color="auto" w:fill="FFFFFF" w:themeFill="background1"/>
          </w:tcPr>
          <w:p w14:paraId="7FE1C2E5" w14:textId="77777777" w:rsidR="00FE5D64" w:rsidRDefault="00E40776">
            <w:pPr>
              <w:pStyle w:val="P68B1DB1-Normal50"/>
              <w:spacing w:line="276" w:lineRule="auto"/>
              <w:jc w:val="both"/>
            </w:pPr>
            <w:r>
              <w:t>0120</w:t>
            </w:r>
          </w:p>
          <w:p w14:paraId="7FE1C2E6" w14:textId="77777777" w:rsidR="00FE5D64" w:rsidRDefault="00FE5D6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FE5D64" w:rsidRDefault="00E40776">
            <w:pPr>
              <w:pStyle w:val="P68B1DB1-Normal49"/>
              <w:spacing w:line="276" w:lineRule="auto"/>
              <w:jc w:val="both"/>
              <w:rPr>
                <w:bCs/>
                <w:strike/>
              </w:rPr>
            </w:pPr>
            <w:r>
              <w:t>Критичност</w:t>
            </w:r>
            <w:r>
              <w:rPr>
                <w:strike/>
              </w:rPr>
              <w:t xml:space="preserve"> </w:t>
            </w:r>
          </w:p>
          <w:p w14:paraId="7FE1C2E8" w14:textId="77777777" w:rsidR="00FE5D64" w:rsidRDefault="00E40776">
            <w:pPr>
              <w:pStyle w:val="P68B1DB1-ListParagraph58"/>
              <w:numPr>
                <w:ilvl w:val="0"/>
                <w:numId w:val="239"/>
              </w:numPr>
              <w:spacing w:line="276" w:lineRule="auto"/>
              <w:contextualSpacing/>
              <w:jc w:val="both"/>
            </w:pPr>
            <w:r>
              <w:t>Критична значимост: ако услугата е необходима за изпълнението на една или повече критични функции, чието прекъсване би възпрепятствало сериозно или би възпрепятствало изпълнението на тези критични функции.</w:t>
            </w:r>
          </w:p>
          <w:p w14:paraId="7FE1C2E9" w14:textId="77777777" w:rsidR="00FE5D64" w:rsidRDefault="00E40776">
            <w:pPr>
              <w:pStyle w:val="P68B1DB1-ListParagraph9"/>
              <w:numPr>
                <w:ilvl w:val="0"/>
                <w:numId w:val="239"/>
              </w:numPr>
              <w:spacing w:line="276" w:lineRule="auto"/>
              <w:contextualSpacing/>
              <w:jc w:val="both"/>
              <w:rPr>
                <w:sz w:val="20"/>
              </w:rPr>
            </w:pPr>
            <w:r>
              <w:rPr>
                <w:sz w:val="20"/>
              </w:rPr>
              <w:t>Задължителни изисквания: ако посредникът</w:t>
            </w:r>
            <w:r>
              <w:t xml:space="preserve"> </w:t>
            </w:r>
            <w:r>
              <w:rPr>
                <w:sz w:val="20"/>
              </w:rPr>
              <w:t>е свързан с основни стопански дейности, чиято непрекъснатост е необходима за ефективното изпълнение на стратегията за преструктуриране и всяко последващо преструктуриране.</w:t>
            </w:r>
          </w:p>
          <w:p w14:paraId="7FE1C2EA" w14:textId="3B37659B" w:rsidR="00FE5D64" w:rsidRDefault="00E40776">
            <w:pPr>
              <w:pStyle w:val="P68B1DB1-ListParagraph58"/>
              <w:numPr>
                <w:ilvl w:val="0"/>
                <w:numId w:val="239"/>
              </w:numPr>
              <w:spacing w:line="276" w:lineRule="auto"/>
              <w:contextualSpacing/>
              <w:jc w:val="both"/>
            </w:pPr>
            <w:r>
              <w:t>Критични и съществени</w:t>
            </w:r>
          </w:p>
        </w:tc>
      </w:tr>
      <w:tr w:rsidR="00FE5D64" w14:paraId="7FE1C2F0" w14:textId="77777777">
        <w:trPr>
          <w:trHeight w:val="463"/>
        </w:trPr>
        <w:tc>
          <w:tcPr>
            <w:tcW w:w="1129" w:type="dxa"/>
            <w:shd w:val="clear" w:color="auto" w:fill="FFFFFF" w:themeFill="background1"/>
          </w:tcPr>
          <w:p w14:paraId="7FE1C2EC" w14:textId="77777777" w:rsidR="00FE5D64" w:rsidRDefault="00E40776">
            <w:pPr>
              <w:pStyle w:val="P68B1DB1-Normal45"/>
              <w:spacing w:line="276" w:lineRule="auto"/>
              <w:jc w:val="both"/>
            </w:pPr>
            <w:r>
              <w:t>0130</w:t>
            </w:r>
          </w:p>
        </w:tc>
        <w:tc>
          <w:tcPr>
            <w:tcW w:w="7938" w:type="dxa"/>
            <w:shd w:val="clear" w:color="auto" w:fill="FFFFFF" w:themeFill="background1"/>
          </w:tcPr>
          <w:p w14:paraId="7FE1C2ED" w14:textId="77777777" w:rsidR="00FE5D64" w:rsidRDefault="00E40776">
            <w:pPr>
              <w:pStyle w:val="P68B1DB1-Normal49"/>
              <w:spacing w:line="276" w:lineRule="auto"/>
              <w:jc w:val="both"/>
              <w:rPr>
                <w:bCs/>
              </w:rPr>
            </w:pPr>
            <w:r>
              <w:t>Идентификационен код на договора</w:t>
            </w:r>
          </w:p>
          <w:p w14:paraId="7FE1C2EE" w14:textId="77777777" w:rsidR="00FE5D64" w:rsidRDefault="00E40776">
            <w:pPr>
              <w:pStyle w:val="P68B1DB1-Normal45"/>
              <w:spacing w:line="276" w:lineRule="auto"/>
              <w:jc w:val="both"/>
            </w:pPr>
            <w:r>
              <w:t>Уникален идентификатор на договора, който е в основата на услугата, съгласно таксономията на услугите на групата.</w:t>
            </w:r>
          </w:p>
          <w:p w14:paraId="7FE1C2EF" w14:textId="77777777" w:rsidR="00FE5D64" w:rsidRDefault="00FE5D64">
            <w:pPr>
              <w:spacing w:line="276" w:lineRule="auto"/>
              <w:jc w:val="both"/>
              <w:rPr>
                <w:rFonts w:ascii="Times New Roman" w:eastAsia="Calibri" w:hAnsi="Times New Roman" w:cs="Times New Roman"/>
                <w:sz w:val="20"/>
              </w:rPr>
            </w:pPr>
          </w:p>
        </w:tc>
      </w:tr>
      <w:tr w:rsidR="00FE5D64" w14:paraId="7FE1C2F6" w14:textId="77777777">
        <w:trPr>
          <w:trHeight w:val="628"/>
        </w:trPr>
        <w:tc>
          <w:tcPr>
            <w:tcW w:w="1129" w:type="dxa"/>
          </w:tcPr>
          <w:p w14:paraId="7FE1C2F1" w14:textId="77777777" w:rsidR="00FE5D64" w:rsidRDefault="00E40776">
            <w:pPr>
              <w:pStyle w:val="P68B1DB1-Normal45"/>
              <w:spacing w:line="276" w:lineRule="auto"/>
              <w:jc w:val="both"/>
            </w:pPr>
            <w:r>
              <w:t>0140</w:t>
            </w:r>
          </w:p>
          <w:p w14:paraId="7FE1C2F2" w14:textId="77777777" w:rsidR="00FE5D64" w:rsidRDefault="00FE5D64">
            <w:pPr>
              <w:spacing w:line="276" w:lineRule="auto"/>
              <w:jc w:val="both"/>
              <w:rPr>
                <w:rFonts w:ascii="Times New Roman" w:eastAsia="Calibri" w:hAnsi="Times New Roman" w:cs="Times New Roman"/>
                <w:strike/>
                <w:sz w:val="20"/>
              </w:rPr>
            </w:pPr>
          </w:p>
        </w:tc>
        <w:tc>
          <w:tcPr>
            <w:tcW w:w="7938" w:type="dxa"/>
          </w:tcPr>
          <w:p w14:paraId="7FE1C2F3" w14:textId="77777777" w:rsidR="00FE5D64" w:rsidRDefault="00E40776">
            <w:pPr>
              <w:pStyle w:val="P68B1DB1-Normal55"/>
              <w:spacing w:line="276" w:lineRule="auto"/>
              <w:jc w:val="both"/>
            </w:pPr>
            <w:r>
              <w:rPr>
                <w:szCs w:val="20"/>
              </w:rPr>
              <w:t>Приложима правна уредба</w:t>
            </w:r>
            <w:r>
              <w:t xml:space="preserve"> </w:t>
            </w:r>
          </w:p>
          <w:p w14:paraId="7FE1C2F4" w14:textId="77777777" w:rsidR="00FE5D64" w:rsidRDefault="00E40776">
            <w:pPr>
              <w:pStyle w:val="P68B1DB1-Normal45"/>
              <w:spacing w:line="276" w:lineRule="auto"/>
              <w:jc w:val="both"/>
            </w:pPr>
            <w:r>
              <w:t>Кодът по ISO на държавата, съгласно чието право се урежда договора.</w:t>
            </w:r>
          </w:p>
          <w:p w14:paraId="7FE1C2F5" w14:textId="77777777" w:rsidR="00FE5D64" w:rsidRDefault="00FE5D64">
            <w:pPr>
              <w:spacing w:line="276" w:lineRule="auto"/>
              <w:jc w:val="both"/>
              <w:rPr>
                <w:rFonts w:ascii="Times New Roman" w:eastAsia="Calibri" w:hAnsi="Times New Roman" w:cs="Times New Roman"/>
                <w:sz w:val="20"/>
              </w:rPr>
            </w:pPr>
          </w:p>
        </w:tc>
      </w:tr>
      <w:tr w:rsidR="00FE5D64" w14:paraId="7FE1C2FC" w14:textId="77777777">
        <w:trPr>
          <w:trHeight w:val="628"/>
        </w:trPr>
        <w:tc>
          <w:tcPr>
            <w:tcW w:w="1129" w:type="dxa"/>
          </w:tcPr>
          <w:p w14:paraId="7FE1C2F7" w14:textId="77777777" w:rsidR="00FE5D64" w:rsidRDefault="00E40776">
            <w:pPr>
              <w:pStyle w:val="P68B1DB1-Normal45"/>
              <w:spacing w:line="276" w:lineRule="auto"/>
              <w:jc w:val="both"/>
            </w:pPr>
            <w:r>
              <w:t>0150—0170</w:t>
            </w:r>
          </w:p>
          <w:p w14:paraId="7FE1C2F8" w14:textId="77777777" w:rsidR="00FE5D64" w:rsidRDefault="00FE5D64">
            <w:pPr>
              <w:spacing w:line="276" w:lineRule="auto"/>
              <w:jc w:val="both"/>
              <w:rPr>
                <w:rFonts w:ascii="Times New Roman" w:eastAsia="Calibri" w:hAnsi="Times New Roman" w:cs="Times New Roman"/>
                <w:strike/>
                <w:sz w:val="20"/>
              </w:rPr>
            </w:pPr>
          </w:p>
        </w:tc>
        <w:tc>
          <w:tcPr>
            <w:tcW w:w="7938" w:type="dxa"/>
          </w:tcPr>
          <w:p w14:paraId="7FE1C2F9" w14:textId="77777777" w:rsidR="00FE5D64" w:rsidRDefault="00E40776">
            <w:pPr>
              <w:pStyle w:val="P68B1DB1-Normal49"/>
              <w:spacing w:before="120" w:after="120" w:line="276" w:lineRule="auto"/>
              <w:rPr>
                <w:bCs/>
                <w:iCs/>
              </w:rPr>
            </w:pPr>
            <w:r>
              <w:t xml:space="preserve">Устойчивост на преструктурирането </w:t>
            </w:r>
          </w:p>
          <w:p w14:paraId="7FE1C2FA" w14:textId="77777777" w:rsidR="00FE5D64" w:rsidRDefault="00E40776">
            <w:pPr>
              <w:pStyle w:val="P68B1DB1-NormalWeb59"/>
              <w:spacing w:before="0" w:beforeAutospacing="0" w:after="0" w:afterAutospacing="0"/>
              <w:rPr>
                <w:iCs/>
                <w:szCs w:val="20"/>
              </w:rPr>
            </w:pPr>
            <w:r>
              <w:rPr>
                <w:szCs w:val="20"/>
              </w:rPr>
              <w:t xml:space="preserve">Оценката дали договорът за предоставяне на услугата, посочен в колона 0020, може да бъде продължен и прехвърлен по време на изпълнението на стратегията за преструктуриране, включително плана за реорганизация на дейността, </w:t>
            </w:r>
            <w:r>
              <w:t>в съответствие с EBA/GL/2022/01 и съответното национално законодателство.</w:t>
            </w:r>
          </w:p>
          <w:p w14:paraId="7FE1C2FB" w14:textId="77777777" w:rsidR="00FE5D64" w:rsidRDefault="00FE5D64">
            <w:pPr>
              <w:spacing w:line="276" w:lineRule="auto"/>
              <w:jc w:val="both"/>
              <w:rPr>
                <w:rFonts w:ascii="Times New Roman" w:eastAsia="Calibri" w:hAnsi="Times New Roman" w:cs="Times New Roman"/>
                <w:iCs/>
                <w:sz w:val="20"/>
                <w:szCs w:val="20"/>
              </w:rPr>
            </w:pPr>
          </w:p>
        </w:tc>
      </w:tr>
      <w:tr w:rsidR="00FE5D64" w14:paraId="7FE1C30C" w14:textId="77777777">
        <w:trPr>
          <w:trHeight w:val="2120"/>
        </w:trPr>
        <w:tc>
          <w:tcPr>
            <w:tcW w:w="1129" w:type="dxa"/>
          </w:tcPr>
          <w:p w14:paraId="7FE1C2FD" w14:textId="77777777" w:rsidR="00FE5D64" w:rsidRDefault="00E40776">
            <w:pPr>
              <w:pStyle w:val="P68B1DB1-Normal45"/>
              <w:spacing w:line="276" w:lineRule="auto"/>
              <w:jc w:val="both"/>
            </w:pPr>
            <w:r>
              <w:t>0150</w:t>
            </w:r>
          </w:p>
        </w:tc>
        <w:tc>
          <w:tcPr>
            <w:tcW w:w="7938" w:type="dxa"/>
          </w:tcPr>
          <w:p w14:paraId="7FE1C2FE" w14:textId="77777777" w:rsidR="00FE5D64" w:rsidRDefault="00E40776">
            <w:pPr>
              <w:pStyle w:val="P68B1DB1-Normal55"/>
              <w:spacing w:line="276" w:lineRule="auto"/>
              <w:jc w:val="both"/>
              <w:rPr>
                <w:bCs/>
              </w:rPr>
            </w:pPr>
            <w:r>
              <w:rPr>
                <w:szCs w:val="20"/>
              </w:rPr>
              <w:t>Функции за устойчивост на преструктурирането</w:t>
            </w:r>
            <w:r>
              <w:t xml:space="preserve"> </w:t>
            </w:r>
          </w:p>
          <w:p w14:paraId="7FE1C2FF" w14:textId="77777777" w:rsidR="00FE5D64" w:rsidRDefault="00E40776">
            <w:pPr>
              <w:pStyle w:val="P68B1DB1-Normal50"/>
              <w:spacing w:line="276" w:lineRule="auto"/>
              <w:jc w:val="both"/>
              <w:rPr>
                <w:iCs/>
              </w:rPr>
            </w:pPr>
            <w:r>
              <w:t>Устойчивите на преструктуриране характеристики са имоти, които се очаква да имат съответен договор за услуги, за да се счита за устойчив на преструктуриране. Те включват следното, при условие че материалноправните задължения по договора продължават да се изпълняват:</w:t>
            </w:r>
          </w:p>
          <w:p w14:paraId="7FE1C300" w14:textId="77777777" w:rsidR="00FE5D64" w:rsidRDefault="00E40776">
            <w:pPr>
              <w:pStyle w:val="P68B1DB1-ListParagraph60"/>
              <w:numPr>
                <w:ilvl w:val="0"/>
                <w:numId w:val="240"/>
              </w:numPr>
              <w:spacing w:line="276" w:lineRule="auto"/>
              <w:ind w:left="500"/>
              <w:contextualSpacing/>
              <w:jc w:val="both"/>
              <w:rPr>
                <w:iCs/>
              </w:rPr>
            </w:pPr>
            <w:r>
              <w:t xml:space="preserve">няма прекратяване, спиране или изменение на основание преструктуриране (включително реорганизация на дейността съгласно член 51 от Директива 2014/59/ЕС); </w:t>
            </w:r>
          </w:p>
          <w:p w14:paraId="7FE1C301" w14:textId="77777777" w:rsidR="00FE5D64" w:rsidRDefault="00E40776">
            <w:pPr>
              <w:pStyle w:val="P68B1DB1-ListParagraph60"/>
              <w:numPr>
                <w:ilvl w:val="0"/>
                <w:numId w:val="240"/>
              </w:numPr>
              <w:spacing w:line="276" w:lineRule="auto"/>
              <w:ind w:left="500"/>
              <w:contextualSpacing/>
              <w:jc w:val="both"/>
              <w:rPr>
                <w:iCs/>
              </w:rPr>
            </w:pPr>
            <w:r>
              <w:t xml:space="preserve">възможността за прехвърляне на предоставянето на услуги на нов получател от получателя на услуги или от органа за преструктуриране поради преструктуриране (включително реорганизация съгласно член 51 от Директива 2014/59/ЕС); </w:t>
            </w:r>
          </w:p>
          <w:p w14:paraId="7FE1C302" w14:textId="77777777" w:rsidR="00FE5D64" w:rsidRDefault="00E40776">
            <w:pPr>
              <w:pStyle w:val="P68B1DB1-ListParagraph60"/>
              <w:numPr>
                <w:ilvl w:val="0"/>
                <w:numId w:val="240"/>
              </w:numPr>
              <w:spacing w:line="276" w:lineRule="auto"/>
              <w:ind w:left="500"/>
              <w:contextualSpacing/>
              <w:jc w:val="both"/>
              <w:rPr>
                <w:iCs/>
              </w:rPr>
            </w:pPr>
            <w:r>
              <w:lastRenderedPageBreak/>
              <w:t>подпомагането при прехвърляне или прекратяване по време на преструктуриране (включително реорганизация съгласно член 51 от Директива 2014/59/ЕС) за разумен период от време (например 24 месеца) от настоящия доставчик на услуги и при същите условия; както и</w:t>
            </w:r>
          </w:p>
          <w:p w14:paraId="7FE1C303" w14:textId="77777777" w:rsidR="00FE5D64" w:rsidRDefault="00E40776">
            <w:pPr>
              <w:pStyle w:val="P68B1DB1-ListParagraph60"/>
              <w:numPr>
                <w:ilvl w:val="0"/>
                <w:numId w:val="240"/>
              </w:numPr>
              <w:spacing w:line="276" w:lineRule="auto"/>
              <w:ind w:left="500"/>
              <w:contextualSpacing/>
              <w:jc w:val="both"/>
              <w:rPr>
                <w:iCs/>
              </w:rPr>
            </w:pPr>
            <w:r>
              <w:t>продължаващото предоставяне на услуги на продаден субект от групата по време на преструктурирането (включително реорганизация съгласно член 51 от Директива 2014/59/ЕС) за разумен период от време след продажбата — например 24 месеца.</w:t>
            </w:r>
          </w:p>
          <w:p w14:paraId="7FE1C304" w14:textId="77777777" w:rsidR="00FE5D64" w:rsidRDefault="00E40776">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Това се отнася за договори, за които приложимото право и юрисдикцията на договора е това на държава — членка на ЕС</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(„договори на ЕС“), и за договори, за които се прилага правото на трета държава.</w:t>
            </w:r>
          </w:p>
          <w:p w14:paraId="7FE1C305" w14:textId="77777777" w:rsidR="00FE5D64" w:rsidRDefault="00FE5D64">
            <w:pPr>
              <w:spacing w:line="276" w:lineRule="auto"/>
              <w:jc w:val="both"/>
              <w:rPr>
                <w:rFonts w:ascii="Times New Roman" w:eastAsia="Calibri" w:hAnsi="Times New Roman" w:cs="Times New Roman"/>
                <w:sz w:val="20"/>
              </w:rPr>
            </w:pPr>
          </w:p>
          <w:p w14:paraId="7FE1C306" w14:textId="77777777" w:rsidR="00FE5D64" w:rsidRDefault="00E40776">
            <w:pPr>
              <w:pStyle w:val="P68B1DB1-Normal45"/>
              <w:spacing w:line="276" w:lineRule="auto"/>
              <w:jc w:val="both"/>
            </w:pPr>
            <w:r>
              <w:t>Посочете едно от следните:</w:t>
            </w:r>
          </w:p>
          <w:p w14:paraId="7FE1C307" w14:textId="77777777" w:rsidR="00FE5D64" w:rsidRDefault="00E40776">
            <w:pPr>
              <w:pStyle w:val="P68B1DB1-Normal50"/>
              <w:spacing w:line="276" w:lineRule="auto"/>
              <w:jc w:val="both"/>
            </w:pPr>
            <w:r>
              <w:t>„Да“ — ако съгласно оценката договорът не се поддава</w:t>
            </w:r>
            <w:r>
              <w:rPr>
                <w:strike/>
              </w:rPr>
              <w:t xml:space="preserve">на </w:t>
            </w:r>
            <w:r>
              <w:t>преструктуриране</w:t>
            </w:r>
          </w:p>
          <w:p w14:paraId="7FE1C308" w14:textId="77777777" w:rsidR="00FE5D64" w:rsidRDefault="00E40776">
            <w:pPr>
              <w:pStyle w:val="P68B1DB1-Normal50"/>
              <w:spacing w:line="276" w:lineRule="auto"/>
              <w:jc w:val="both"/>
            </w:pPr>
            <w:r>
              <w:t>„Не“ — ако съгласно оценката договорът се поддава</w:t>
            </w:r>
            <w:r>
              <w:rPr>
                <w:strike/>
              </w:rPr>
              <w:t xml:space="preserve"> на </w:t>
            </w:r>
            <w:r>
              <w:t>преструктуриране</w:t>
            </w:r>
          </w:p>
          <w:p w14:paraId="7FE1C309" w14:textId="77777777" w:rsidR="00FE5D64" w:rsidRDefault="00E40776">
            <w:pPr>
              <w:pStyle w:val="P68B1DB1-Normal50"/>
              <w:spacing w:line="276" w:lineRule="auto"/>
              <w:jc w:val="both"/>
            </w:pPr>
            <w:r>
              <w:t>„Без оценка“ — ако не е направена оценка</w:t>
            </w:r>
          </w:p>
          <w:p w14:paraId="7FE1C30A" w14:textId="5741BAA8" w:rsidR="00FE5D64" w:rsidRDefault="00E40776">
            <w:pPr>
              <w:pStyle w:val="P68B1DB1-Normal50"/>
              <w:spacing w:line="276" w:lineRule="auto"/>
              <w:jc w:val="both"/>
            </w:pPr>
            <w:r>
              <w:t>„Не ЗАДЪЛЖИТЕЛНО“ — за вътрешнофирмени услуги</w:t>
            </w:r>
          </w:p>
          <w:p w14:paraId="7FE1C30B" w14:textId="77777777" w:rsidR="00FE5D64" w:rsidRDefault="00FE5D64">
            <w:pPr>
              <w:spacing w:line="276" w:lineRule="auto"/>
              <w:jc w:val="both"/>
              <w:rPr>
                <w:rFonts w:ascii="Times New Roman" w:eastAsia="Calibri" w:hAnsi="Times New Roman" w:cs="Times New Roman"/>
                <w:sz w:val="20"/>
              </w:rPr>
            </w:pPr>
          </w:p>
        </w:tc>
      </w:tr>
      <w:tr w:rsidR="00FE5D64" w14:paraId="7FE1C316" w14:textId="77777777">
        <w:trPr>
          <w:trHeight w:val="2120"/>
        </w:trPr>
        <w:tc>
          <w:tcPr>
            <w:tcW w:w="1129" w:type="dxa"/>
          </w:tcPr>
          <w:p w14:paraId="7FE1C30D" w14:textId="77777777" w:rsidR="00FE5D64" w:rsidRDefault="00E40776">
            <w:pPr>
              <w:pStyle w:val="P68B1DB1-Normal45"/>
              <w:spacing w:line="276" w:lineRule="auto"/>
              <w:jc w:val="both"/>
            </w:pPr>
            <w:r>
              <w:lastRenderedPageBreak/>
              <w:t>0160</w:t>
            </w:r>
          </w:p>
        </w:tc>
        <w:tc>
          <w:tcPr>
            <w:tcW w:w="7938" w:type="dxa"/>
          </w:tcPr>
          <w:p w14:paraId="7FE1C30E" w14:textId="77777777" w:rsidR="00FE5D64" w:rsidRDefault="00E40776">
            <w:pPr>
              <w:pStyle w:val="P68B1DB1-Normal55"/>
              <w:spacing w:line="276" w:lineRule="auto"/>
              <w:jc w:val="both"/>
              <w:rPr>
                <w:bCs/>
                <w:iCs/>
              </w:rPr>
            </w:pPr>
            <w:r>
              <w:t>План за бизнес реорганизация (BRP)</w:t>
            </w:r>
          </w:p>
          <w:p w14:paraId="7FE1C30F" w14:textId="77777777" w:rsidR="00FE5D64" w:rsidRDefault="00E40776">
            <w:pPr>
              <w:pStyle w:val="P68B1DB1-Normal45"/>
              <w:spacing w:line="276" w:lineRule="auto"/>
              <w:jc w:val="both"/>
              <w:rPr>
                <w:iCs/>
              </w:rPr>
            </w:pPr>
            <w:r>
              <w:t xml:space="preserve">Ако стратегията за преструктуриране (предпочитана или вариантна) изисква план за реорганизация на дейността (BRP), от договорите на ЕС се очаква да включват изрични клаузи, за да се гарантира тяхната устойчивост на преструктуриране при изпълнението на BRP. </w:t>
            </w:r>
          </w:p>
          <w:p w14:paraId="7FE1C310" w14:textId="77777777" w:rsidR="00FE5D64" w:rsidRDefault="00FE5D64">
            <w:pPr>
              <w:spacing w:line="276" w:lineRule="auto"/>
              <w:jc w:val="both"/>
              <w:rPr>
                <w:rFonts w:ascii="Times New Roman" w:eastAsia="Calibri" w:hAnsi="Times New Roman" w:cs="Times New Roman"/>
                <w:iCs/>
                <w:sz w:val="20"/>
              </w:rPr>
            </w:pPr>
          </w:p>
          <w:p w14:paraId="7FE1C311" w14:textId="77777777" w:rsidR="00FE5D64" w:rsidRDefault="00E40776">
            <w:pPr>
              <w:pStyle w:val="P68B1DB1-Normal45"/>
              <w:spacing w:line="276" w:lineRule="auto"/>
              <w:jc w:val="both"/>
              <w:rPr>
                <w:iCs/>
              </w:rPr>
            </w:pPr>
            <w:r>
              <w:t>Посочете едно от следните:</w:t>
            </w:r>
          </w:p>
          <w:p w14:paraId="7FE1C312" w14:textId="77777777" w:rsidR="00FE5D64" w:rsidRDefault="00E40776">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Да“ — ако договорът включва изрични клаузи, за да се гарантира тяхната устойчивост на преструктуриране при изпълнението на BRP</w:t>
            </w:r>
          </w:p>
          <w:p w14:paraId="7FE1C313" w14:textId="77777777" w:rsidR="00FE5D64" w:rsidRDefault="00E40776">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Не“ — ако договорът не включва изрични клаузи, за да се гарантира тяхната устойчивост на преструктуриране при изпълнението на BRP</w:t>
            </w:r>
          </w:p>
          <w:p w14:paraId="7FE1C314" w14:textId="77777777" w:rsidR="00FE5D64" w:rsidRDefault="00E40776">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Без оценка“ — ако не е направена оценка</w:t>
            </w:r>
          </w:p>
          <w:p w14:paraId="7FE1C315" w14:textId="0FA2A696" w:rsidR="00FE5D64" w:rsidRDefault="00E40776">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Not APPLICABLE“ — за вътрешнофирмени услуги или за вътрешногрупови и външни услуги, ако стратегията за преструктуриране (предпочитана и вариант) не изисква план за реорганизация на дейността </w:t>
            </w:r>
          </w:p>
        </w:tc>
      </w:tr>
      <w:tr w:rsidR="00FE5D64" w14:paraId="7FE1C320" w14:textId="77777777">
        <w:trPr>
          <w:trHeight w:val="416"/>
        </w:trPr>
        <w:tc>
          <w:tcPr>
            <w:tcW w:w="1129" w:type="dxa"/>
          </w:tcPr>
          <w:p w14:paraId="7FE1C317" w14:textId="77777777" w:rsidR="00FE5D64" w:rsidRDefault="00E40776">
            <w:pPr>
              <w:pStyle w:val="P68B1DB1-Normal45"/>
              <w:spacing w:line="276" w:lineRule="auto"/>
              <w:jc w:val="both"/>
            </w:pPr>
            <w:r>
              <w:t>0170</w:t>
            </w:r>
          </w:p>
        </w:tc>
        <w:tc>
          <w:tcPr>
            <w:tcW w:w="7938" w:type="dxa"/>
          </w:tcPr>
          <w:p w14:paraId="7FE1C318" w14:textId="77777777" w:rsidR="00FE5D64" w:rsidRDefault="00E40776">
            <w:pPr>
              <w:pStyle w:val="P68B1DB1-Normal55"/>
              <w:spacing w:line="276" w:lineRule="auto"/>
              <w:jc w:val="both"/>
              <w:rPr>
                <w:bCs/>
              </w:rPr>
            </w:pPr>
            <w:r>
              <w:t xml:space="preserve">Алтернативни смекчаващи действия </w:t>
            </w:r>
          </w:p>
          <w:p w14:paraId="7FE1C319" w14:textId="77777777" w:rsidR="00FE5D64" w:rsidRDefault="00E40776">
            <w:pPr>
              <w:pStyle w:val="P68B1DB1-Normal45"/>
              <w:spacing w:line="276" w:lineRule="auto"/>
              <w:jc w:val="both"/>
            </w:pPr>
            <w:r>
              <w:t xml:space="preserve">Когато се очаква да бъде постигната устойчивост на преструктурирането, но банките не са успели да го направят, от банките се очаква да проучат алтернативни действия за смекчаване на последиците. </w:t>
            </w:r>
          </w:p>
          <w:p w14:paraId="7FE1C31A" w14:textId="77777777" w:rsidR="00FE5D64" w:rsidRDefault="00FE5D64">
            <w:pPr>
              <w:spacing w:line="276" w:lineRule="auto"/>
              <w:jc w:val="both"/>
              <w:rPr>
                <w:rFonts w:ascii="Times New Roman" w:eastAsia="Calibri" w:hAnsi="Times New Roman" w:cs="Times New Roman"/>
                <w:sz w:val="20"/>
              </w:rPr>
            </w:pPr>
          </w:p>
          <w:p w14:paraId="7FE1C31B" w14:textId="77777777" w:rsidR="00FE5D64" w:rsidRDefault="00E40776">
            <w:pPr>
              <w:pStyle w:val="P68B1DB1-Normal45"/>
              <w:spacing w:line="276" w:lineRule="auto"/>
              <w:jc w:val="both"/>
              <w:rPr>
                <w:iCs/>
              </w:rPr>
            </w:pPr>
            <w:r>
              <w:t>Посочете едно от следните:</w:t>
            </w:r>
          </w:p>
          <w:p w14:paraId="7FE1C31C" w14:textId="77777777" w:rsidR="00FE5D64" w:rsidRDefault="00E40776">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Да“ — ако банката е предприела алтернативни смекчаващи действия</w:t>
            </w:r>
          </w:p>
          <w:p w14:paraId="7FE1C31D" w14:textId="77777777" w:rsidR="00FE5D64" w:rsidRDefault="00E40776">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Не“ — ако банката не е предприела алтернативни смекчаващи действия</w:t>
            </w:r>
          </w:p>
          <w:p w14:paraId="7FE1C31E" w14:textId="7B22C50F" w:rsidR="00FE5D64" w:rsidRDefault="00E40776">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Не Е ПРИЛОЖЕНИЕ „— в случаите, когато някоя от колони 0150 и 0160 е отбелязана с „Да„или „НЕ Е ПРИЛОЖЕНИЕ“</w:t>
            </w:r>
          </w:p>
          <w:p w14:paraId="7FE1C31F" w14:textId="77777777" w:rsidR="00FE5D64" w:rsidRDefault="00FE5D64">
            <w:pPr>
              <w:spacing w:line="276" w:lineRule="auto"/>
              <w:jc w:val="both"/>
              <w:rPr>
                <w:rFonts w:ascii="Times New Roman" w:eastAsia="Calibri" w:hAnsi="Times New Roman" w:cs="Times New Roman"/>
                <w:sz w:val="20"/>
              </w:rPr>
            </w:pPr>
          </w:p>
        </w:tc>
      </w:tr>
      <w:tr w:rsidR="00FE5D64" w14:paraId="7FE1C327" w14:textId="77777777">
        <w:trPr>
          <w:trHeight w:val="1257"/>
        </w:trPr>
        <w:tc>
          <w:tcPr>
            <w:tcW w:w="1129" w:type="dxa"/>
          </w:tcPr>
          <w:p w14:paraId="7FE1C321" w14:textId="77777777" w:rsidR="00FE5D64" w:rsidRDefault="00E40776">
            <w:pPr>
              <w:pStyle w:val="P68B1DB1-Normal45"/>
              <w:spacing w:line="276" w:lineRule="auto"/>
              <w:jc w:val="both"/>
            </w:pPr>
            <w:r>
              <w:lastRenderedPageBreak/>
              <w:t>0180</w:t>
            </w:r>
          </w:p>
        </w:tc>
        <w:tc>
          <w:tcPr>
            <w:tcW w:w="7938" w:type="dxa"/>
          </w:tcPr>
          <w:p w14:paraId="7FE1C322" w14:textId="77777777" w:rsidR="00FE5D64" w:rsidRDefault="00E40776">
            <w:pPr>
              <w:pStyle w:val="P68B1DB1-Normal55"/>
              <w:spacing w:line="276" w:lineRule="auto"/>
              <w:jc w:val="both"/>
              <w:rPr>
                <w:iCs/>
              </w:rPr>
            </w:pPr>
            <w:r>
              <w:rPr>
                <w:szCs w:val="20"/>
              </w:rPr>
              <w:t>Трета страна критичен доставчик на услуги в областта на ИКТ по DORA</w:t>
            </w:r>
            <w:r>
              <w:t xml:space="preserve"> </w:t>
            </w:r>
          </w:p>
          <w:p w14:paraId="7FE1C323" w14:textId="77777777" w:rsidR="00FE5D64" w:rsidRDefault="00E40776">
            <w:pPr>
              <w:pStyle w:val="P68B1DB1-Normal45"/>
              <w:spacing w:line="276" w:lineRule="auto"/>
              <w:jc w:val="both"/>
              <w:rPr>
                <w:iCs/>
              </w:rPr>
            </w:pPr>
            <w:r>
              <w:t>Посочете едно от следните:</w:t>
            </w:r>
          </w:p>
          <w:p w14:paraId="7FE1C324" w14:textId="77777777" w:rsidR="00FE5D64" w:rsidRDefault="00E40776">
            <w:pPr>
              <w:pStyle w:val="P68B1DB1-Normal50"/>
              <w:spacing w:line="276" w:lineRule="auto"/>
              <w:jc w:val="both"/>
            </w:pPr>
            <w:r>
              <w:t>„Да“ — ако това е трета страна критичен доставчик на услуги в областта на ИКТ съгласно член 3, параграф 23 от Регламент 2022/2554 (DORA)</w:t>
            </w:r>
          </w:p>
          <w:p w14:paraId="7FE1C325" w14:textId="77777777" w:rsidR="00FE5D64" w:rsidRDefault="00E40776">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Не“ — ако това не е трета страна критичен доставчик на услуги в областта на ИКТ съгласно член 3, параграф 23 от Регламент 2022/2554 (</w:t>
            </w:r>
            <w:r>
              <w:rPr>
                <w:rFonts w:ascii="Times New Roman" w:hAnsi="Times New Roman" w:cs="Times New Roman"/>
              </w:rPr>
              <w:t xml:space="preserve"> DORA)</w:t>
            </w:r>
          </w:p>
          <w:p w14:paraId="7FE1C326" w14:textId="77777777" w:rsidR="00FE5D64" w:rsidRDefault="00FE5D64">
            <w:pPr>
              <w:spacing w:line="276" w:lineRule="auto"/>
              <w:jc w:val="both"/>
              <w:rPr>
                <w:rFonts w:ascii="Times New Roman" w:eastAsia="Calibri" w:hAnsi="Times New Roman" w:cs="Times New Roman"/>
                <w:sz w:val="20"/>
              </w:rPr>
            </w:pPr>
          </w:p>
        </w:tc>
      </w:tr>
      <w:tr w:rsidR="00FE5D64" w14:paraId="7FE1C32E" w14:textId="77777777">
        <w:trPr>
          <w:trHeight w:val="1257"/>
        </w:trPr>
        <w:tc>
          <w:tcPr>
            <w:tcW w:w="1129" w:type="dxa"/>
          </w:tcPr>
          <w:p w14:paraId="7FE1C328" w14:textId="77777777" w:rsidR="00FE5D64" w:rsidRDefault="00E40776">
            <w:pPr>
              <w:pStyle w:val="P68B1DB1-Normal45"/>
              <w:spacing w:line="276" w:lineRule="auto"/>
              <w:jc w:val="both"/>
            </w:pPr>
            <w:r>
              <w:t>0190</w:t>
            </w:r>
          </w:p>
        </w:tc>
        <w:tc>
          <w:tcPr>
            <w:tcW w:w="7938" w:type="dxa"/>
          </w:tcPr>
          <w:p w14:paraId="7FE1C329" w14:textId="77777777" w:rsidR="00FE5D64" w:rsidRDefault="00E40776">
            <w:pPr>
              <w:pStyle w:val="P68B1DB1-Normal55"/>
              <w:spacing w:line="276" w:lineRule="auto"/>
              <w:jc w:val="both"/>
              <w:rPr>
                <w:iCs/>
              </w:rPr>
            </w:pPr>
            <w:r>
              <w:rPr>
                <w:szCs w:val="20"/>
              </w:rPr>
              <w:t>ИКТ услуга в рамките на DORA</w:t>
            </w:r>
            <w:r>
              <w:t xml:space="preserve"> </w:t>
            </w:r>
          </w:p>
          <w:p w14:paraId="7FE1C32A" w14:textId="77777777" w:rsidR="00FE5D64" w:rsidRDefault="00E40776">
            <w:pPr>
              <w:pStyle w:val="P68B1DB1-Normal45"/>
              <w:spacing w:line="276" w:lineRule="auto"/>
              <w:jc w:val="both"/>
              <w:rPr>
                <w:iCs/>
              </w:rPr>
            </w:pPr>
            <w:r>
              <w:t>Посочете едно от следните:</w:t>
            </w:r>
          </w:p>
          <w:p w14:paraId="7FE1C32B" w14:textId="3A99D278" w:rsidR="00FE5D64" w:rsidRDefault="00E40776">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„Да“ — ако това е услуга в областта на ИКТ съгласно член 3, параграф 21 от</w:t>
            </w:r>
            <w:r>
              <w:rPr>
                <w:rStyle w:val="FootnoteReference"/>
                <w:rFonts w:eastAsia="Calibri" w:cs="Times New Roman"/>
              </w:rPr>
              <w:footnoteReference w:id="27"/>
            </w:r>
            <w:r>
              <w:rPr>
                <w:rFonts w:ascii="Times New Roman" w:eastAsia="Calibri" w:hAnsi="Times New Roman" w:cs="Times New Roman"/>
                <w:sz w:val="20"/>
                <w:szCs w:val="20"/>
              </w:rPr>
              <w:t xml:space="preserve"> Регламент 2022/2554 (DORA)</w:t>
            </w:r>
          </w:p>
          <w:p w14:paraId="7FE1C32C" w14:textId="77777777" w:rsidR="00FE5D64" w:rsidRDefault="00E40776">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Не“ — ако това не е услуга в областта на ИКТ съгласно член 3, параграф 21 от Регламент 2022/2554 (</w:t>
            </w:r>
            <w:r>
              <w:rPr>
                <w:rFonts w:ascii="Times New Roman" w:hAnsi="Times New Roman" w:cs="Times New Roman"/>
              </w:rPr>
              <w:t xml:space="preserve"> DORA)</w:t>
            </w:r>
          </w:p>
          <w:p w14:paraId="7FE1C32D" w14:textId="77777777" w:rsidR="00FE5D64" w:rsidRDefault="00FE5D64">
            <w:pPr>
              <w:spacing w:line="276" w:lineRule="auto"/>
              <w:jc w:val="both"/>
              <w:rPr>
                <w:rFonts w:ascii="Times New Roman" w:eastAsia="Calibri" w:hAnsi="Times New Roman" w:cs="Times New Roman"/>
                <w:iCs/>
                <w:sz w:val="20"/>
              </w:rPr>
            </w:pPr>
          </w:p>
        </w:tc>
      </w:tr>
    </w:tbl>
    <w:p w14:paraId="7FE1C32F" w14:textId="77777777" w:rsidR="00FE5D64" w:rsidRDefault="00FE5D64">
      <w:pPr>
        <w:spacing w:line="276" w:lineRule="auto"/>
        <w:jc w:val="both"/>
        <w:rPr>
          <w:rFonts w:ascii="Times New Roman" w:eastAsia="Calibri" w:hAnsi="Times New Roman" w:cs="Times New Roman"/>
          <w:color w:val="0070C0"/>
          <w:sz w:val="20"/>
        </w:rPr>
      </w:pPr>
    </w:p>
    <w:p w14:paraId="7FE1C478" w14:textId="77777777" w:rsidR="00FE5D64" w:rsidRDefault="00FE5D64">
      <w:pPr>
        <w:rPr>
          <w:rFonts w:ascii="Times New Roman" w:eastAsia="Times New Roman" w:hAnsi="Times New Roman" w:cs="Times New Roman"/>
          <w:sz w:val="20"/>
          <w:szCs w:val="20"/>
          <w:u w:val="single"/>
        </w:rPr>
      </w:pPr>
    </w:p>
    <w:p w14:paraId="7FE1C479" w14:textId="77777777" w:rsidR="00FE5D64" w:rsidRDefault="00FE5D64">
      <w:pPr>
        <w:rPr>
          <w:rFonts w:ascii="Times New Roman" w:eastAsia="Times New Roman" w:hAnsi="Times New Roman" w:cs="Times New Roman"/>
          <w:sz w:val="20"/>
          <w:szCs w:val="20"/>
          <w:u w:val="single"/>
        </w:rPr>
      </w:pPr>
    </w:p>
    <w:p w14:paraId="7FE1C47A" w14:textId="77777777" w:rsidR="00FE5D64" w:rsidRDefault="00E40776">
      <w:pPr>
        <w:pStyle w:val="P68B1DB1-Instructionsberschrift25"/>
        <w:numPr>
          <w:ilvl w:val="1"/>
          <w:numId w:val="49"/>
        </w:numPr>
        <w:ind w:left="357" w:hanging="357"/>
        <w:rPr>
          <w:szCs w:val="20"/>
        </w:rPr>
      </w:pPr>
      <w:bookmarkStart w:id="128" w:name="_Toc208244473"/>
      <w:r>
        <w:t>Z 08.02 — Съответни услуги — съотнасяне към оперативните активи (SERV 2)</w:t>
      </w:r>
      <w:bookmarkEnd w:id="128"/>
    </w:p>
    <w:p w14:paraId="7FE1C47B" w14:textId="77777777" w:rsidR="00FE5D64" w:rsidRDefault="00E40776">
      <w:pPr>
        <w:pStyle w:val="P68B1DB1-Normal50"/>
        <w:spacing w:line="276" w:lineRule="auto"/>
        <w:jc w:val="both"/>
      </w:pPr>
      <w:r>
        <w:t>Основни инструкции</w:t>
      </w:r>
    </w:p>
    <w:p w14:paraId="7FE1C47C" w14:textId="77777777" w:rsidR="00FE5D64" w:rsidRDefault="00E40776">
      <w:pPr>
        <w:pStyle w:val="P68B1DB1-Instructionsberschrift346"/>
        <w:numPr>
          <w:ilvl w:val="4"/>
          <w:numId w:val="259"/>
        </w:numPr>
        <w:contextualSpacing/>
        <w:jc w:val="both"/>
        <w:rPr>
          <w:color w:val="auto"/>
        </w:rPr>
      </w:pPr>
      <w:bookmarkStart w:id="129" w:name="_Hlk161330001"/>
      <w:r>
        <w:rPr>
          <w:color w:val="auto"/>
          <w:szCs w:val="24"/>
        </w:rPr>
        <w:t>Информацията, която трябва да се включи в този образец, се отчита веднъж за цялата група; изброяват се критичните услуги, ползвани от всеки субект в групата, и се свързват с критичните функции, изпълнявани от групата</w:t>
      </w:r>
      <w:r>
        <w:t>.</w:t>
      </w:r>
    </w:p>
    <w:p w14:paraId="7FE1C47D" w14:textId="790BE864" w:rsidR="00FE5D64" w:rsidRDefault="00E40776">
      <w:pPr>
        <w:pStyle w:val="P68B1DB1-Instructionsberschrift348"/>
        <w:numPr>
          <w:ilvl w:val="4"/>
          <w:numId w:val="49"/>
        </w:numPr>
        <w:contextualSpacing/>
        <w:jc w:val="both"/>
        <w:rPr>
          <w:color w:val="auto"/>
        </w:rPr>
      </w:pPr>
      <w:r>
        <w:t>Стойностите, отчетени в колони 0010, 0020, 0030 и 0080 от този образец, формират първичен код, който трябва да е уникален за всеки ред от образеца.</w:t>
      </w:r>
    </w:p>
    <w:bookmarkEnd w:id="129"/>
    <w:p w14:paraId="7FE1C482" w14:textId="77777777" w:rsidR="00FE5D64" w:rsidRDefault="00FE5D64">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FE5D64" w14:paraId="7FE1C54A" w14:textId="77777777">
        <w:trPr>
          <w:trHeight w:val="495"/>
          <w:tblHeader/>
        </w:trPr>
        <w:tc>
          <w:tcPr>
            <w:tcW w:w="1418" w:type="dxa"/>
            <w:shd w:val="clear" w:color="auto" w:fill="E7E6E6"/>
          </w:tcPr>
          <w:p w14:paraId="7FE1C548" w14:textId="77777777" w:rsidR="00FE5D64" w:rsidRDefault="00E40776">
            <w:pPr>
              <w:pStyle w:val="P68B1DB1-Normal61"/>
              <w:spacing w:before="120" w:after="120" w:line="276" w:lineRule="auto"/>
            </w:pPr>
            <w:r>
              <w:t>Колони</w:t>
            </w:r>
          </w:p>
        </w:tc>
        <w:tc>
          <w:tcPr>
            <w:tcW w:w="7791" w:type="dxa"/>
            <w:shd w:val="clear" w:color="auto" w:fill="E7E6E6"/>
          </w:tcPr>
          <w:p w14:paraId="7FE1C549" w14:textId="77777777" w:rsidR="00FE5D64" w:rsidRDefault="00E40776">
            <w:pPr>
              <w:pStyle w:val="P68B1DB1-Normal61"/>
              <w:spacing w:before="120" w:after="120" w:line="276" w:lineRule="auto"/>
            </w:pPr>
            <w:r>
              <w:t>Указания</w:t>
            </w:r>
          </w:p>
        </w:tc>
      </w:tr>
      <w:tr w:rsidR="00FE5D64" w14:paraId="7FE1C550" w14:textId="77777777">
        <w:trPr>
          <w:trHeight w:val="450"/>
        </w:trPr>
        <w:tc>
          <w:tcPr>
            <w:tcW w:w="1418" w:type="dxa"/>
            <w:shd w:val="clear" w:color="auto" w:fill="FFFFFF" w:themeFill="background1"/>
          </w:tcPr>
          <w:p w14:paraId="7FE1C54B" w14:textId="77777777" w:rsidR="00FE5D64" w:rsidRDefault="00E40776">
            <w:pPr>
              <w:pStyle w:val="P68B1DB1-Normal62"/>
              <w:spacing w:before="120" w:after="120" w:line="276" w:lineRule="auto"/>
            </w:pPr>
            <w:r>
              <w:t>0005</w:t>
            </w:r>
          </w:p>
        </w:tc>
        <w:tc>
          <w:tcPr>
            <w:tcW w:w="7791" w:type="dxa"/>
            <w:shd w:val="clear" w:color="auto" w:fill="FFFFFF" w:themeFill="background1"/>
          </w:tcPr>
          <w:p w14:paraId="7FE1C54C" w14:textId="77777777" w:rsidR="00FE5D64" w:rsidRDefault="00E40776">
            <w:pPr>
              <w:pStyle w:val="P68B1DB1-Normal61"/>
              <w:spacing w:before="120" w:after="120" w:line="276" w:lineRule="auto"/>
            </w:pPr>
            <w:r>
              <w:t xml:space="preserve">Service Identifier (идентификатор на услугата) </w:t>
            </w:r>
          </w:p>
          <w:p w14:paraId="7FE1C54D" w14:textId="77777777" w:rsidR="00FE5D64" w:rsidRDefault="00E40776">
            <w:pPr>
              <w:pStyle w:val="P68B1DB1-Normal62"/>
              <w:spacing w:before="120" w:after="120" w:line="276" w:lineRule="auto"/>
            </w:pPr>
            <w:r>
              <w:t>Използва се идентификаторът на услугата, докладван в Z 08.01 (SERV 1).</w:t>
            </w:r>
          </w:p>
          <w:p w14:paraId="7FE1C54E" w14:textId="77777777" w:rsidR="00FE5D64" w:rsidRDefault="00E40776">
            <w:pPr>
              <w:pStyle w:val="P68B1DB1-Normal62"/>
              <w:spacing w:before="120" w:after="120" w:line="276" w:lineRule="auto"/>
            </w:pPr>
            <w:r>
              <w:t>Идентификаторът на услугата се отнася до услугата, докладвана в c0020.</w:t>
            </w:r>
          </w:p>
          <w:p w14:paraId="7FE1C54F" w14:textId="77777777" w:rsidR="00FE5D64" w:rsidRDefault="00FE5D64">
            <w:pPr>
              <w:spacing w:before="120" w:after="120" w:line="276" w:lineRule="auto"/>
              <w:rPr>
                <w:rFonts w:ascii="Times New Roman" w:hAnsi="Times New Roman"/>
                <w:i/>
                <w:sz w:val="20"/>
                <w:szCs w:val="20"/>
              </w:rPr>
            </w:pPr>
          </w:p>
        </w:tc>
      </w:tr>
      <w:tr w:rsidR="00FE5D64" w14:paraId="7FE1C594" w14:textId="77777777">
        <w:trPr>
          <w:trHeight w:val="450"/>
        </w:trPr>
        <w:tc>
          <w:tcPr>
            <w:tcW w:w="1418" w:type="dxa"/>
            <w:shd w:val="clear" w:color="auto" w:fill="FFFFFF" w:themeFill="background1"/>
          </w:tcPr>
          <w:p w14:paraId="7FE1C551" w14:textId="77777777" w:rsidR="00FE5D64" w:rsidRDefault="00E40776">
            <w:pPr>
              <w:pStyle w:val="P68B1DB1-Normal62"/>
              <w:spacing w:before="120" w:after="120" w:line="276" w:lineRule="auto"/>
            </w:pPr>
            <w:r>
              <w:t>0010</w:t>
            </w:r>
          </w:p>
        </w:tc>
        <w:tc>
          <w:tcPr>
            <w:tcW w:w="7791" w:type="dxa"/>
            <w:shd w:val="clear" w:color="auto" w:fill="FFFFFF" w:themeFill="background1"/>
          </w:tcPr>
          <w:p w14:paraId="7FE1C552" w14:textId="77777777" w:rsidR="00FE5D64" w:rsidRDefault="00E40776">
            <w:pPr>
              <w:pStyle w:val="P68B1DB1-Normal61"/>
              <w:autoSpaceDE w:val="0"/>
              <w:autoSpaceDN w:val="0"/>
              <w:adjustRightInd w:val="0"/>
              <w:rPr>
                <w:rFonts w:eastAsia="MS Mincho"/>
              </w:rPr>
            </w:pPr>
            <w:r>
              <w:t xml:space="preserve">Вид услуга </w:t>
            </w:r>
          </w:p>
          <w:p w14:paraId="7FE1C57A" w14:textId="35040E48" w:rsidR="00FE5D64" w:rsidRDefault="00E40776">
            <w:pPr>
              <w:pStyle w:val="P68B1DB1-Normal63"/>
              <w:autoSpaceDE w:val="0"/>
              <w:autoSpaceDN w:val="0"/>
              <w:adjustRightInd w:val="0"/>
            </w:pPr>
            <w:r>
              <w:t>Видът на услугата е един от видовете услуги, изброени в Z 08.01 0010 по-горе.</w:t>
            </w:r>
          </w:p>
          <w:p w14:paraId="7FE1C593" w14:textId="77777777" w:rsidR="00FE5D64" w:rsidRDefault="00FE5D64">
            <w:pPr>
              <w:autoSpaceDE w:val="0"/>
              <w:autoSpaceDN w:val="0"/>
              <w:adjustRightInd w:val="0"/>
              <w:rPr>
                <w:rFonts w:ascii="Times New Roman" w:hAnsi="Times New Roman"/>
                <w:sz w:val="20"/>
                <w:szCs w:val="20"/>
              </w:rPr>
            </w:pPr>
          </w:p>
        </w:tc>
      </w:tr>
      <w:tr w:rsidR="00FE5D64" w14:paraId="7FE1C599" w14:textId="77777777">
        <w:trPr>
          <w:trHeight w:val="450"/>
        </w:trPr>
        <w:tc>
          <w:tcPr>
            <w:tcW w:w="1418" w:type="dxa"/>
            <w:shd w:val="clear" w:color="auto" w:fill="FFFFFF" w:themeFill="background1"/>
          </w:tcPr>
          <w:p w14:paraId="7FE1C595" w14:textId="77777777" w:rsidR="00FE5D64" w:rsidRDefault="00E40776">
            <w:pPr>
              <w:pStyle w:val="P68B1DB1-Normal62"/>
              <w:spacing w:before="120" w:after="120" w:line="276" w:lineRule="auto"/>
            </w:pPr>
            <w:r>
              <w:t>0020</w:t>
            </w:r>
          </w:p>
        </w:tc>
        <w:tc>
          <w:tcPr>
            <w:tcW w:w="7791" w:type="dxa"/>
            <w:shd w:val="clear" w:color="auto" w:fill="FFFFFF" w:themeFill="background1"/>
          </w:tcPr>
          <w:p w14:paraId="7FE1C596" w14:textId="77777777" w:rsidR="00FE5D64" w:rsidRDefault="00E40776">
            <w:pPr>
              <w:pStyle w:val="P68B1DB1-Normal61"/>
              <w:spacing w:line="276" w:lineRule="auto"/>
              <w:jc w:val="both"/>
              <w:rPr>
                <w:bCs/>
              </w:rPr>
            </w:pPr>
            <w:r>
              <w:t xml:space="preserve">Уникално наименование на услугата съгласно таксономията на банката </w:t>
            </w:r>
          </w:p>
          <w:p w14:paraId="7FE1C597" w14:textId="31873D66" w:rsidR="00FE5D64" w:rsidRDefault="00E40776">
            <w:pPr>
              <w:pStyle w:val="P68B1DB1-Normal64"/>
              <w:rPr>
                <w:rFonts w:eastAsiaTheme="minorHAnsi"/>
                <w:sz w:val="24"/>
              </w:rPr>
            </w:pPr>
            <w:r>
              <w:t xml:space="preserve">Наименование/кратко описание на услугата според собствената диференцирана таксономия на банката (ниво 3), както е отчетено в Z 08.01 (SERV 1), колона 0020. От </w:t>
            </w:r>
            <w:r>
              <w:lastRenderedPageBreak/>
              <w:t>банката се очаква да отчита услугите на по-детайлно ниво от предвиденото за ниво 2 (c0010), така че всяка конкретна услуга да бъде определена точно и целенасочено.</w:t>
            </w:r>
          </w:p>
          <w:p w14:paraId="7FE1C598" w14:textId="77777777" w:rsidR="00FE5D64" w:rsidRDefault="00FE5D64">
            <w:pPr>
              <w:spacing w:before="120" w:after="120" w:line="276" w:lineRule="auto"/>
              <w:rPr>
                <w:rFonts w:ascii="Times New Roman" w:hAnsi="Times New Roman"/>
                <w:sz w:val="20"/>
                <w:szCs w:val="20"/>
              </w:rPr>
            </w:pPr>
          </w:p>
        </w:tc>
      </w:tr>
      <w:tr w:rsidR="00FE5D64" w14:paraId="7FE1C59E" w14:textId="77777777">
        <w:trPr>
          <w:trHeight w:val="450"/>
        </w:trPr>
        <w:tc>
          <w:tcPr>
            <w:tcW w:w="1418" w:type="dxa"/>
            <w:shd w:val="clear" w:color="auto" w:fill="FFFFFF" w:themeFill="background1"/>
          </w:tcPr>
          <w:p w14:paraId="7FE1C59A" w14:textId="77777777" w:rsidR="00FE5D64" w:rsidRDefault="00E40776">
            <w:pPr>
              <w:pStyle w:val="P68B1DB1-Normal62"/>
              <w:spacing w:before="120" w:after="120" w:line="276" w:lineRule="auto"/>
            </w:pPr>
            <w:r>
              <w:lastRenderedPageBreak/>
              <w:t>0030</w:t>
            </w:r>
          </w:p>
        </w:tc>
        <w:tc>
          <w:tcPr>
            <w:tcW w:w="7791" w:type="dxa"/>
            <w:shd w:val="clear" w:color="auto" w:fill="FFFFFF" w:themeFill="background1"/>
          </w:tcPr>
          <w:p w14:paraId="7FE1C59B" w14:textId="77777777" w:rsidR="00FE5D64" w:rsidRDefault="00E40776">
            <w:pPr>
              <w:pStyle w:val="P68B1DB1-Normal61"/>
              <w:spacing w:before="120" w:after="120" w:line="276" w:lineRule="auto"/>
              <w:rPr>
                <w:bCs/>
              </w:rPr>
            </w:pPr>
            <w:r>
              <w:t>Идентификатор на актива</w:t>
            </w:r>
          </w:p>
          <w:p w14:paraId="7FE1C59C" w14:textId="77777777" w:rsidR="00FE5D64" w:rsidRDefault="00E40776">
            <w:pPr>
              <w:pStyle w:val="P68B1DB1-Normal64"/>
              <w:spacing w:line="276" w:lineRule="auto"/>
              <w:jc w:val="both"/>
            </w:pPr>
            <w:r>
              <w:t>Идентификаторът на актива се отнася до актива, отчетен в c0050.</w:t>
            </w:r>
          </w:p>
          <w:p w14:paraId="7FE1C59D" w14:textId="77777777" w:rsidR="00FE5D64" w:rsidRDefault="00FE5D64">
            <w:pPr>
              <w:spacing w:before="120" w:after="120" w:line="276" w:lineRule="auto"/>
              <w:rPr>
                <w:rFonts w:ascii="Times New Roman" w:hAnsi="Times New Roman"/>
                <w:sz w:val="20"/>
                <w:szCs w:val="20"/>
              </w:rPr>
            </w:pPr>
          </w:p>
        </w:tc>
      </w:tr>
      <w:tr w:rsidR="00FE5D64" w14:paraId="7FE1C5AD" w14:textId="77777777">
        <w:trPr>
          <w:trHeight w:val="450"/>
        </w:trPr>
        <w:tc>
          <w:tcPr>
            <w:tcW w:w="1418" w:type="dxa"/>
            <w:shd w:val="clear" w:color="auto" w:fill="FFFFFF" w:themeFill="background1"/>
          </w:tcPr>
          <w:p w14:paraId="7FE1C59F" w14:textId="77777777" w:rsidR="00FE5D64" w:rsidRDefault="00E40776">
            <w:pPr>
              <w:pStyle w:val="P68B1DB1-Normal62"/>
              <w:spacing w:before="120" w:after="120" w:line="276" w:lineRule="auto"/>
            </w:pPr>
            <w:r>
              <w:t>0040</w:t>
            </w:r>
          </w:p>
        </w:tc>
        <w:tc>
          <w:tcPr>
            <w:tcW w:w="7791" w:type="dxa"/>
            <w:shd w:val="clear" w:color="auto" w:fill="FFFFFF" w:themeFill="background1"/>
          </w:tcPr>
          <w:p w14:paraId="7FE1C5A0" w14:textId="77777777" w:rsidR="00FE5D64" w:rsidRDefault="00E40776">
            <w:pPr>
              <w:pStyle w:val="P68B1DB1-Normal64"/>
              <w:spacing w:line="276" w:lineRule="auto"/>
              <w:jc w:val="both"/>
            </w:pPr>
            <w:r>
              <w:rPr>
                <w:b/>
                <w:szCs w:val="20"/>
              </w:rPr>
              <w:t>Вид на актива;</w:t>
            </w:r>
            <w:r>
              <w:t xml:space="preserve"> </w:t>
            </w:r>
          </w:p>
          <w:p w14:paraId="7FE1C5A1" w14:textId="77777777" w:rsidR="00FE5D64" w:rsidRDefault="00E40776">
            <w:pPr>
              <w:pStyle w:val="P68B1DB1-Normal64"/>
              <w:spacing w:line="276" w:lineRule="auto"/>
              <w:jc w:val="both"/>
            </w:pPr>
            <w:r>
              <w:t xml:space="preserve">— Информационен и комуникационен хардуер </w:t>
            </w:r>
          </w:p>
          <w:p w14:paraId="7FE1C5A2" w14:textId="77777777" w:rsidR="00FE5D64" w:rsidRDefault="00FE5D64">
            <w:pPr>
              <w:spacing w:line="276" w:lineRule="auto"/>
              <w:rPr>
                <w:rFonts w:ascii="Times New Roman" w:hAnsi="Times New Roman"/>
                <w:sz w:val="20"/>
              </w:rPr>
            </w:pPr>
          </w:p>
          <w:p w14:paraId="7FE1C5A3" w14:textId="77777777" w:rsidR="00FE5D64" w:rsidRDefault="00E40776">
            <w:pPr>
              <w:pStyle w:val="P68B1DB1-Normal64"/>
              <w:spacing w:line="276" w:lineRule="auto"/>
            </w:pPr>
            <w:r>
              <w:t>Друга ИТ инфраструктура (като работни станции, телекомуникации, сървъри, центрове за данни и свързани с тях активи)</w:t>
            </w:r>
          </w:p>
          <w:p w14:paraId="7FE1C5A4" w14:textId="77777777" w:rsidR="00FE5D64" w:rsidRDefault="00FE5D64">
            <w:pPr>
              <w:spacing w:line="276" w:lineRule="auto"/>
              <w:rPr>
                <w:rFonts w:ascii="Times New Roman" w:hAnsi="Times New Roman"/>
                <w:sz w:val="20"/>
              </w:rPr>
            </w:pPr>
          </w:p>
          <w:p w14:paraId="7FE1C5A5" w14:textId="77777777" w:rsidR="00FE5D64" w:rsidRDefault="00E40776">
            <w:pPr>
              <w:pStyle w:val="P68B1DB1-Normal64"/>
              <w:spacing w:line="276" w:lineRule="auto"/>
            </w:pPr>
            <w:r>
              <w:t xml:space="preserve">— Офиси и съхранение; </w:t>
            </w:r>
          </w:p>
          <w:p w14:paraId="7FE1C5A6" w14:textId="77777777" w:rsidR="00FE5D64" w:rsidRDefault="00FE5D64">
            <w:pPr>
              <w:spacing w:line="276" w:lineRule="auto"/>
              <w:rPr>
                <w:rFonts w:ascii="Times New Roman" w:hAnsi="Times New Roman"/>
                <w:sz w:val="20"/>
              </w:rPr>
            </w:pPr>
          </w:p>
          <w:p w14:paraId="7FE1C5A7" w14:textId="77777777" w:rsidR="00FE5D64" w:rsidRDefault="00E40776">
            <w:pPr>
              <w:pStyle w:val="P68B1DB1-Normal64"/>
              <w:spacing w:line="276" w:lineRule="auto"/>
            </w:pPr>
            <w:r>
              <w:t>— Интелектуална собственост (като патенти, търговски марки и др.)</w:t>
            </w:r>
          </w:p>
          <w:p w14:paraId="7FE1C5A8" w14:textId="77777777" w:rsidR="00FE5D64" w:rsidRDefault="00FE5D64">
            <w:pPr>
              <w:spacing w:line="276" w:lineRule="auto"/>
              <w:rPr>
                <w:rFonts w:ascii="Times New Roman" w:hAnsi="Times New Roman"/>
                <w:sz w:val="20"/>
              </w:rPr>
            </w:pPr>
          </w:p>
          <w:p w14:paraId="7FE1C5A9" w14:textId="77777777" w:rsidR="00FE5D64" w:rsidRDefault="00E40776">
            <w:pPr>
              <w:pStyle w:val="P68B1DB1-Normal64"/>
              <w:spacing w:line="276" w:lineRule="auto"/>
            </w:pPr>
            <w:r>
              <w:t xml:space="preserve"> Устройства за самообслужване в клонове АТМ</w:t>
            </w:r>
          </w:p>
          <w:p w14:paraId="7FE1C5AA" w14:textId="77777777" w:rsidR="00FE5D64" w:rsidRDefault="00FE5D64">
            <w:pPr>
              <w:spacing w:line="276" w:lineRule="auto"/>
              <w:rPr>
                <w:rFonts w:ascii="Times New Roman" w:hAnsi="Times New Roman"/>
                <w:sz w:val="20"/>
              </w:rPr>
            </w:pPr>
          </w:p>
          <w:p w14:paraId="7FE1C5AB" w14:textId="07413E54" w:rsidR="00FE5D64" w:rsidRDefault="00E40776">
            <w:pPr>
              <w:pStyle w:val="P68B1DB1-Normal62"/>
              <w:spacing w:line="276" w:lineRule="auto"/>
              <w:jc w:val="both"/>
              <w:rPr>
                <w:b/>
              </w:rPr>
            </w:pPr>
            <w:r>
              <w:t>— Друг вид актив</w:t>
            </w:r>
          </w:p>
          <w:p w14:paraId="7FE1C5AC" w14:textId="77777777" w:rsidR="00FE5D64" w:rsidRDefault="00FE5D64">
            <w:pPr>
              <w:spacing w:line="276" w:lineRule="auto"/>
              <w:jc w:val="both"/>
              <w:rPr>
                <w:rFonts w:ascii="Times New Roman" w:hAnsi="Times New Roman"/>
                <w:sz w:val="20"/>
              </w:rPr>
            </w:pPr>
          </w:p>
        </w:tc>
      </w:tr>
      <w:tr w:rsidR="00FE5D64" w14:paraId="7FE1C5B2" w14:textId="77777777">
        <w:trPr>
          <w:trHeight w:val="450"/>
        </w:trPr>
        <w:tc>
          <w:tcPr>
            <w:tcW w:w="1418" w:type="dxa"/>
            <w:shd w:val="clear" w:color="auto" w:fill="FFFFFF" w:themeFill="background1"/>
          </w:tcPr>
          <w:p w14:paraId="7FE1C5AE" w14:textId="77777777" w:rsidR="00FE5D64" w:rsidRDefault="00E40776">
            <w:pPr>
              <w:pStyle w:val="P68B1DB1-Normal62"/>
              <w:spacing w:before="120" w:after="120" w:line="276" w:lineRule="auto"/>
            </w:pPr>
            <w:r>
              <w:t>0050</w:t>
            </w:r>
          </w:p>
        </w:tc>
        <w:tc>
          <w:tcPr>
            <w:tcW w:w="7791" w:type="dxa"/>
            <w:shd w:val="clear" w:color="auto" w:fill="FFFFFF" w:themeFill="background1"/>
          </w:tcPr>
          <w:p w14:paraId="7FE1C5AF" w14:textId="77777777" w:rsidR="00FE5D64" w:rsidRDefault="00E40776">
            <w:pPr>
              <w:pStyle w:val="P68B1DB1-Normal61"/>
              <w:spacing w:line="276" w:lineRule="auto"/>
              <w:jc w:val="both"/>
            </w:pPr>
            <w:r>
              <w:t xml:space="preserve">Наименование на актива </w:t>
            </w:r>
          </w:p>
          <w:p w14:paraId="7FE1C5B0" w14:textId="77777777" w:rsidR="00FE5D64" w:rsidRDefault="00E40776">
            <w:pPr>
              <w:pStyle w:val="P68B1DB1-Normal64"/>
              <w:spacing w:line="276" w:lineRule="auto"/>
              <w:jc w:val="both"/>
            </w:pPr>
            <w:r>
              <w:t>Търговско или вътрешно название на актива.</w:t>
            </w:r>
          </w:p>
          <w:p w14:paraId="7FE1C5B1" w14:textId="77777777" w:rsidR="00FE5D64" w:rsidRDefault="00FE5D64">
            <w:pPr>
              <w:spacing w:line="276" w:lineRule="auto"/>
              <w:jc w:val="both"/>
              <w:rPr>
                <w:rFonts w:ascii="Times New Roman" w:hAnsi="Times New Roman"/>
                <w:sz w:val="20"/>
              </w:rPr>
            </w:pPr>
          </w:p>
        </w:tc>
      </w:tr>
      <w:tr w:rsidR="00FE5D64" w14:paraId="7FE1C5BA" w14:textId="77777777">
        <w:trPr>
          <w:trHeight w:val="450"/>
        </w:trPr>
        <w:tc>
          <w:tcPr>
            <w:tcW w:w="1418" w:type="dxa"/>
            <w:shd w:val="clear" w:color="auto" w:fill="FFFFFF" w:themeFill="background1"/>
          </w:tcPr>
          <w:p w14:paraId="7FE1C5B3" w14:textId="77777777" w:rsidR="00FE5D64" w:rsidRDefault="00E40776">
            <w:pPr>
              <w:pStyle w:val="P68B1DB1-Normal62"/>
              <w:spacing w:before="120" w:after="120" w:line="276" w:lineRule="auto"/>
            </w:pPr>
            <w:r>
              <w:t>0060</w:t>
            </w:r>
          </w:p>
        </w:tc>
        <w:tc>
          <w:tcPr>
            <w:tcW w:w="7791" w:type="dxa"/>
            <w:shd w:val="clear" w:color="auto" w:fill="FFFFFF" w:themeFill="background1"/>
          </w:tcPr>
          <w:p w14:paraId="7FE1C5B4" w14:textId="77777777" w:rsidR="00FE5D64" w:rsidRDefault="00E40776">
            <w:pPr>
              <w:pStyle w:val="P68B1DB1-Normal65"/>
              <w:spacing w:line="276" w:lineRule="auto"/>
              <w:jc w:val="both"/>
              <w:rPr>
                <w:iCs/>
              </w:rPr>
            </w:pPr>
            <w:r>
              <w:rPr>
                <w:szCs w:val="20"/>
              </w:rPr>
              <w:t>Критичност</w:t>
            </w:r>
            <w:r>
              <w:t xml:space="preserve"> </w:t>
            </w:r>
          </w:p>
          <w:p w14:paraId="7FE1C5B5" w14:textId="77777777" w:rsidR="00FE5D64" w:rsidRDefault="00E40776">
            <w:pPr>
              <w:pStyle w:val="P68B1DB1-Normal64"/>
              <w:spacing w:line="276" w:lineRule="auto"/>
              <w:jc w:val="both"/>
              <w:rPr>
                <w:iCs/>
              </w:rPr>
            </w:pPr>
            <w:r>
              <w:t>Посочете едно от следните:</w:t>
            </w:r>
          </w:p>
          <w:p w14:paraId="7FE1C5B6" w14:textId="77777777" w:rsidR="00FE5D64" w:rsidRDefault="00E40776">
            <w:pPr>
              <w:pStyle w:val="P68B1DB1-ListParagraph58"/>
              <w:numPr>
                <w:ilvl w:val="0"/>
                <w:numId w:val="236"/>
              </w:numPr>
              <w:spacing w:line="276" w:lineRule="auto"/>
              <w:contextualSpacing/>
              <w:jc w:val="both"/>
              <w:rPr>
                <w:iCs/>
              </w:rPr>
            </w:pPr>
            <w:r>
              <w:t>Критична значимост: ако услугата е необходима за изпълнението на една или повече критични функции, чието прекъсване би възпрепятствало сериозно или би възпрепятствало изпълнението на тези критични функции.</w:t>
            </w:r>
          </w:p>
          <w:p w14:paraId="7FE1C5B7" w14:textId="77777777" w:rsidR="00FE5D64" w:rsidRDefault="00E40776">
            <w:pPr>
              <w:pStyle w:val="P68B1DB1-ListParagraph58"/>
              <w:numPr>
                <w:ilvl w:val="0"/>
                <w:numId w:val="236"/>
              </w:numPr>
              <w:spacing w:line="276" w:lineRule="auto"/>
              <w:contextualSpacing/>
              <w:jc w:val="both"/>
              <w:rPr>
                <w:iCs/>
              </w:rPr>
            </w:pPr>
            <w:r>
              <w:t>Задължителни изисквания: ако услугата е свързана с основни стопански дейности, чиято непрекъснатост е необходима за ефективното изпълнение на стратегията за преструктуриране и всяко последващо преструктуриране.</w:t>
            </w:r>
          </w:p>
          <w:p w14:paraId="7FE1C5B8" w14:textId="475A76CC" w:rsidR="00FE5D64" w:rsidRDefault="00E40776">
            <w:pPr>
              <w:pStyle w:val="P68B1DB1-ListParagraph58"/>
              <w:numPr>
                <w:ilvl w:val="0"/>
                <w:numId w:val="236"/>
              </w:numPr>
              <w:spacing w:line="276" w:lineRule="auto"/>
              <w:contextualSpacing/>
              <w:jc w:val="both"/>
              <w:rPr>
                <w:iCs/>
              </w:rPr>
            </w:pPr>
            <w:r>
              <w:t>Критични и съществени</w:t>
            </w:r>
          </w:p>
          <w:p w14:paraId="7FE1C5B9" w14:textId="77777777" w:rsidR="00FE5D64" w:rsidRDefault="00FE5D64">
            <w:pPr>
              <w:spacing w:line="276" w:lineRule="auto"/>
              <w:jc w:val="both"/>
              <w:rPr>
                <w:rFonts w:ascii="Times New Roman" w:hAnsi="Times New Roman"/>
                <w:sz w:val="20"/>
              </w:rPr>
            </w:pPr>
          </w:p>
        </w:tc>
      </w:tr>
      <w:tr w:rsidR="00FE5D64" w14:paraId="7FE1C5C3" w14:textId="77777777">
        <w:trPr>
          <w:trHeight w:val="450"/>
        </w:trPr>
        <w:tc>
          <w:tcPr>
            <w:tcW w:w="1418" w:type="dxa"/>
            <w:shd w:val="clear" w:color="auto" w:fill="FFFFFF" w:themeFill="background1"/>
          </w:tcPr>
          <w:p w14:paraId="7FE1C5BB" w14:textId="77777777" w:rsidR="00FE5D64" w:rsidRDefault="00E40776">
            <w:pPr>
              <w:pStyle w:val="P68B1DB1-Normal62"/>
              <w:spacing w:before="120" w:after="120" w:line="276" w:lineRule="auto"/>
            </w:pPr>
            <w:r>
              <w:t>0070</w:t>
            </w:r>
          </w:p>
        </w:tc>
        <w:tc>
          <w:tcPr>
            <w:tcW w:w="7791" w:type="dxa"/>
            <w:shd w:val="clear" w:color="auto" w:fill="FFFFFF" w:themeFill="background1"/>
          </w:tcPr>
          <w:p w14:paraId="7FE1C5BC" w14:textId="77777777" w:rsidR="00FE5D64" w:rsidRDefault="00E40776">
            <w:pPr>
              <w:pStyle w:val="P68B1DB1-Normal64"/>
              <w:spacing w:line="276" w:lineRule="auto"/>
              <w:jc w:val="both"/>
              <w:rPr>
                <w:iCs/>
              </w:rPr>
            </w:pPr>
            <w:r>
              <w:rPr>
                <w:b/>
                <w:szCs w:val="20"/>
              </w:rPr>
              <w:t>Правен/вид на договора</w:t>
            </w:r>
            <w:r>
              <w:t xml:space="preserve"> </w:t>
            </w:r>
          </w:p>
          <w:p w14:paraId="7FE1C5BD" w14:textId="77777777" w:rsidR="00FE5D64" w:rsidRDefault="00E40776">
            <w:pPr>
              <w:pStyle w:val="P68B1DB1-Normal64"/>
              <w:spacing w:line="276" w:lineRule="auto"/>
              <w:jc w:val="both"/>
              <w:rPr>
                <w:iCs/>
              </w:rPr>
            </w:pPr>
            <w:r>
              <w:t>Посочете едно от следните:</w:t>
            </w:r>
          </w:p>
          <w:p w14:paraId="7FE1C5BE" w14:textId="77777777" w:rsidR="00FE5D64" w:rsidRDefault="00E40776">
            <w:pPr>
              <w:pStyle w:val="P68B1DB1-Normal66"/>
              <w:numPr>
                <w:ilvl w:val="0"/>
                <w:numId w:val="236"/>
              </w:numPr>
              <w:contextualSpacing/>
              <w:jc w:val="both"/>
            </w:pPr>
            <w:r>
              <w:t>Собствено жилище</w:t>
            </w:r>
          </w:p>
          <w:p w14:paraId="7FE1C5BF" w14:textId="77777777" w:rsidR="00FE5D64" w:rsidRDefault="00E40776">
            <w:pPr>
              <w:pStyle w:val="P68B1DB1-Normal66"/>
              <w:numPr>
                <w:ilvl w:val="0"/>
                <w:numId w:val="236"/>
              </w:numPr>
              <w:contextualSpacing/>
              <w:jc w:val="both"/>
            </w:pPr>
            <w:r>
              <w:t>На лизинг</w:t>
            </w:r>
          </w:p>
          <w:p w14:paraId="7FE1C5C0" w14:textId="77777777" w:rsidR="00FE5D64" w:rsidRDefault="00E40776">
            <w:pPr>
              <w:pStyle w:val="P68B1DB1-Normal66"/>
              <w:numPr>
                <w:ilvl w:val="0"/>
                <w:numId w:val="236"/>
              </w:numPr>
              <w:contextualSpacing/>
              <w:jc w:val="both"/>
            </w:pPr>
            <w:r>
              <w:t>Лицензиран</w:t>
            </w:r>
          </w:p>
          <w:p w14:paraId="7FE1C5C1" w14:textId="3AFF0D43" w:rsidR="00FE5D64" w:rsidRDefault="00E40776">
            <w:pPr>
              <w:pStyle w:val="P68B1DB1-Normal66"/>
              <w:numPr>
                <w:ilvl w:val="0"/>
                <w:numId w:val="236"/>
              </w:numPr>
              <w:contextualSpacing/>
              <w:jc w:val="both"/>
            </w:pPr>
            <w:r>
              <w:t>Друг правен вид/вид договор</w:t>
            </w:r>
          </w:p>
          <w:p w14:paraId="7FE1C5C2" w14:textId="77777777" w:rsidR="00FE5D64" w:rsidRDefault="00FE5D64">
            <w:pPr>
              <w:spacing w:line="276" w:lineRule="auto"/>
              <w:jc w:val="both"/>
              <w:rPr>
                <w:rFonts w:ascii="Times New Roman" w:hAnsi="Times New Roman"/>
                <w:sz w:val="20"/>
              </w:rPr>
            </w:pPr>
          </w:p>
        </w:tc>
      </w:tr>
      <w:tr w:rsidR="00FE5D64" w14:paraId="7FE1C5C9" w14:textId="77777777">
        <w:trPr>
          <w:trHeight w:val="450"/>
        </w:trPr>
        <w:tc>
          <w:tcPr>
            <w:tcW w:w="1418" w:type="dxa"/>
            <w:shd w:val="clear" w:color="auto" w:fill="FFFFFF" w:themeFill="background1"/>
          </w:tcPr>
          <w:p w14:paraId="7FE1C5C4" w14:textId="77777777" w:rsidR="00FE5D64" w:rsidRDefault="00E40776">
            <w:pPr>
              <w:pStyle w:val="P68B1DB1-Normal62"/>
              <w:spacing w:before="120" w:after="120" w:line="276" w:lineRule="auto"/>
            </w:pPr>
            <w:r>
              <w:t>0080</w:t>
            </w:r>
          </w:p>
        </w:tc>
        <w:tc>
          <w:tcPr>
            <w:tcW w:w="7791" w:type="dxa"/>
            <w:shd w:val="clear" w:color="auto" w:fill="FFFFFF" w:themeFill="background1"/>
          </w:tcPr>
          <w:p w14:paraId="7FE1C5C5" w14:textId="77777777" w:rsidR="00FE5D64" w:rsidRDefault="00E40776">
            <w:pPr>
              <w:pStyle w:val="P68B1DB1-Normal61"/>
              <w:spacing w:before="120" w:after="120" w:line="276" w:lineRule="auto"/>
              <w:rPr>
                <w:bCs/>
              </w:rPr>
            </w:pPr>
            <w:r>
              <w:t>Идентификационен код на договора</w:t>
            </w:r>
          </w:p>
          <w:p w14:paraId="7FE1C5C6" w14:textId="77777777" w:rsidR="00FE5D64" w:rsidRDefault="00E40776">
            <w:pPr>
              <w:pStyle w:val="P68B1DB1-Normal64"/>
              <w:spacing w:line="276" w:lineRule="auto"/>
              <w:jc w:val="both"/>
              <w:rPr>
                <w:i/>
              </w:rPr>
            </w:pPr>
            <w:r>
              <w:t>Уникален идентификатор на договора, който е в основата на актива, съгласно таксономията на услугите на групата.</w:t>
            </w:r>
          </w:p>
          <w:p w14:paraId="7FE1C5C7" w14:textId="77777777" w:rsidR="00FE5D64" w:rsidRDefault="00FE5D64">
            <w:pPr>
              <w:spacing w:line="276" w:lineRule="auto"/>
              <w:jc w:val="both"/>
              <w:rPr>
                <w:rFonts w:ascii="Times New Roman" w:hAnsi="Times New Roman"/>
                <w:i/>
                <w:sz w:val="20"/>
              </w:rPr>
            </w:pPr>
          </w:p>
          <w:p w14:paraId="7FE1C5C8" w14:textId="77777777" w:rsidR="00FE5D64" w:rsidRDefault="00FE5D64">
            <w:pPr>
              <w:spacing w:line="276" w:lineRule="auto"/>
              <w:jc w:val="both"/>
              <w:rPr>
                <w:rFonts w:ascii="Times New Roman" w:hAnsi="Times New Roman"/>
                <w:iCs/>
                <w:sz w:val="20"/>
              </w:rPr>
            </w:pPr>
          </w:p>
        </w:tc>
      </w:tr>
      <w:tr w:rsidR="00FE5D64" w14:paraId="7FE1C5CE" w14:textId="77777777">
        <w:trPr>
          <w:trHeight w:val="450"/>
        </w:trPr>
        <w:tc>
          <w:tcPr>
            <w:tcW w:w="1418" w:type="dxa"/>
            <w:shd w:val="clear" w:color="auto" w:fill="FFFFFF" w:themeFill="background1"/>
          </w:tcPr>
          <w:p w14:paraId="7FE1C5CA" w14:textId="77777777" w:rsidR="00FE5D64" w:rsidRDefault="00E40776">
            <w:pPr>
              <w:pStyle w:val="P68B1DB1-Normal62"/>
              <w:spacing w:before="120" w:after="120" w:line="276" w:lineRule="auto"/>
            </w:pPr>
            <w:r>
              <w:lastRenderedPageBreak/>
              <w:t>0090</w:t>
            </w:r>
          </w:p>
        </w:tc>
        <w:tc>
          <w:tcPr>
            <w:tcW w:w="7791" w:type="dxa"/>
            <w:shd w:val="clear" w:color="auto" w:fill="FFFFFF" w:themeFill="background1"/>
          </w:tcPr>
          <w:p w14:paraId="7FE1C5CB" w14:textId="77777777" w:rsidR="00FE5D64" w:rsidRDefault="00E40776">
            <w:pPr>
              <w:pStyle w:val="P68B1DB1-Normal65"/>
              <w:spacing w:line="276" w:lineRule="auto"/>
              <w:jc w:val="both"/>
            </w:pPr>
            <w:r>
              <w:rPr>
                <w:szCs w:val="20"/>
              </w:rPr>
              <w:t>Приложима правна уредба</w:t>
            </w:r>
            <w:r>
              <w:t xml:space="preserve"> </w:t>
            </w:r>
          </w:p>
          <w:p w14:paraId="7FE1C5CC" w14:textId="77777777" w:rsidR="00FE5D64" w:rsidRDefault="00E40776">
            <w:pPr>
              <w:pStyle w:val="P68B1DB1-Normal64"/>
              <w:spacing w:line="276" w:lineRule="auto"/>
              <w:jc w:val="both"/>
            </w:pPr>
            <w:r>
              <w:t>Кодът по ISO на държавата, съгласно чието право се урежда договора.</w:t>
            </w:r>
          </w:p>
          <w:p w14:paraId="7FE1C5CD" w14:textId="77777777" w:rsidR="00FE5D64" w:rsidRDefault="00FE5D64">
            <w:pPr>
              <w:spacing w:line="276" w:lineRule="auto"/>
              <w:jc w:val="both"/>
              <w:rPr>
                <w:rFonts w:ascii="Times New Roman" w:hAnsi="Times New Roman"/>
                <w:iCs/>
                <w:sz w:val="20"/>
              </w:rPr>
            </w:pPr>
          </w:p>
        </w:tc>
      </w:tr>
      <w:tr w:rsidR="00FE5D64" w14:paraId="7FE1C5D4" w14:textId="77777777">
        <w:trPr>
          <w:trHeight w:val="463"/>
        </w:trPr>
        <w:tc>
          <w:tcPr>
            <w:tcW w:w="1418" w:type="dxa"/>
            <w:shd w:val="clear" w:color="auto" w:fill="FFFFFF" w:themeFill="background1"/>
          </w:tcPr>
          <w:p w14:paraId="7FE1C5CF" w14:textId="77777777" w:rsidR="00FE5D64" w:rsidRDefault="00E40776">
            <w:pPr>
              <w:pStyle w:val="P68B1DB1-Normal64"/>
              <w:spacing w:line="276" w:lineRule="auto"/>
              <w:jc w:val="both"/>
            </w:pPr>
            <w:r>
              <w:t>0100—0120</w:t>
            </w:r>
          </w:p>
          <w:p w14:paraId="7FE1C5D0" w14:textId="77777777" w:rsidR="00FE5D64" w:rsidRDefault="00FE5D64">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FE5D64" w:rsidRDefault="00E40776">
            <w:pPr>
              <w:pStyle w:val="P68B1DB1-Normal61"/>
              <w:spacing w:before="120" w:after="120" w:line="276" w:lineRule="auto"/>
              <w:rPr>
                <w:bCs/>
                <w:iCs/>
              </w:rPr>
            </w:pPr>
            <w:r>
              <w:t xml:space="preserve">Устойчивост на преструктурирането </w:t>
            </w:r>
          </w:p>
          <w:p w14:paraId="7FE1C5D2" w14:textId="77777777" w:rsidR="00FE5D64" w:rsidRDefault="00E40776">
            <w:pPr>
              <w:pStyle w:val="P68B1DB1-NormalWeb59"/>
              <w:spacing w:before="0" w:beforeAutospacing="0" w:after="0" w:afterAutospacing="0"/>
              <w:rPr>
                <w:iCs/>
                <w:szCs w:val="20"/>
              </w:rPr>
            </w:pPr>
            <w:r>
              <w:rPr>
                <w:szCs w:val="20"/>
              </w:rPr>
              <w:t xml:space="preserve">Оценката дали договорът за подпомагане на актива, отчетен в колона 0030, може да бъде продължен и прехвърлен по време на изпълнението на стратегията за преструктуриране, включително плана за реорганизация на дейността, </w:t>
            </w:r>
            <w:r>
              <w:t>в съответствие с Насоки EBA/GL/2022/01 и съответното национално законодателство.</w:t>
            </w:r>
          </w:p>
          <w:p w14:paraId="7FE1C5D3" w14:textId="77777777" w:rsidR="00FE5D64" w:rsidRDefault="00FE5D64">
            <w:pPr>
              <w:pStyle w:val="NormalWeb"/>
              <w:spacing w:before="0" w:beforeAutospacing="0" w:after="0" w:afterAutospacing="0"/>
              <w:rPr>
                <w:sz w:val="20"/>
              </w:rPr>
            </w:pPr>
          </w:p>
        </w:tc>
      </w:tr>
      <w:tr w:rsidR="00FE5D64" w14:paraId="7FE1C5E4" w14:textId="77777777">
        <w:trPr>
          <w:trHeight w:val="463"/>
        </w:trPr>
        <w:tc>
          <w:tcPr>
            <w:tcW w:w="1418" w:type="dxa"/>
            <w:shd w:val="clear" w:color="auto" w:fill="FFFFFF" w:themeFill="background1"/>
          </w:tcPr>
          <w:p w14:paraId="7FE1C5D5" w14:textId="77777777" w:rsidR="00FE5D64" w:rsidRDefault="00E40776">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FE5D64" w:rsidRDefault="00E40776">
            <w:pPr>
              <w:pStyle w:val="P68B1DB1-Normal65"/>
              <w:spacing w:line="276" w:lineRule="auto"/>
              <w:jc w:val="both"/>
              <w:rPr>
                <w:bCs/>
              </w:rPr>
            </w:pPr>
            <w:r>
              <w:rPr>
                <w:szCs w:val="20"/>
              </w:rPr>
              <w:t>Функции за устойчивост на преструктурирането</w:t>
            </w:r>
            <w:r>
              <w:t xml:space="preserve"> </w:t>
            </w:r>
          </w:p>
          <w:p w14:paraId="7FE1C5D7" w14:textId="77777777" w:rsidR="00FE5D64" w:rsidRDefault="00E40776">
            <w:pPr>
              <w:pStyle w:val="P68B1DB1-Normal62"/>
              <w:spacing w:line="276" w:lineRule="auto"/>
              <w:jc w:val="both"/>
              <w:rPr>
                <w:iCs/>
              </w:rPr>
            </w:pPr>
            <w:r>
              <w:t>Устойчивите на преструктуриране характеристики са свойства, които се очаква да имат съответен договор, за да бъде считан за устойчив на преструктуриране. Те включват следното, при условие че материалноправните задължения по договора продължават да се изпълняват:</w:t>
            </w:r>
          </w:p>
          <w:p w14:paraId="7FE1C5D8" w14:textId="77777777" w:rsidR="00FE5D64" w:rsidRDefault="00E40776">
            <w:pPr>
              <w:pStyle w:val="P68B1DB1-ListParagraph60"/>
              <w:numPr>
                <w:ilvl w:val="0"/>
                <w:numId w:val="263"/>
              </w:numPr>
              <w:spacing w:line="276" w:lineRule="auto"/>
              <w:contextualSpacing/>
              <w:jc w:val="both"/>
              <w:rPr>
                <w:iCs/>
              </w:rPr>
            </w:pPr>
            <w:r>
              <w:t xml:space="preserve">няма прекратяване, спиране или изменение на основание преструктуриране (включително реорганизация на дейността съгласно член 51 от Директива 2014/59/ЕС); </w:t>
            </w:r>
          </w:p>
          <w:p w14:paraId="7FE1C5D9" w14:textId="77777777" w:rsidR="00FE5D64" w:rsidRDefault="00E40776">
            <w:pPr>
              <w:pStyle w:val="P68B1DB1-ListParagraph60"/>
              <w:numPr>
                <w:ilvl w:val="0"/>
                <w:numId w:val="263"/>
              </w:numPr>
              <w:spacing w:line="276" w:lineRule="auto"/>
              <w:contextualSpacing/>
              <w:jc w:val="both"/>
              <w:rPr>
                <w:iCs/>
              </w:rPr>
            </w:pPr>
            <w:r>
              <w:t xml:space="preserve">възможността за прехвърляне на предоставянето на услуги на нов получател от получателя на услуги или от органа за преструктуриране поради преструктуриране (включително реорганизация съгласно член 51 от Директива 2014/59/ЕС); </w:t>
            </w:r>
          </w:p>
          <w:p w14:paraId="7FE1C5DA" w14:textId="77777777" w:rsidR="00FE5D64" w:rsidRDefault="00E40776">
            <w:pPr>
              <w:pStyle w:val="P68B1DB1-ListParagraph60"/>
              <w:numPr>
                <w:ilvl w:val="0"/>
                <w:numId w:val="263"/>
              </w:numPr>
              <w:spacing w:line="276" w:lineRule="auto"/>
              <w:contextualSpacing/>
              <w:jc w:val="both"/>
              <w:rPr>
                <w:iCs/>
              </w:rPr>
            </w:pPr>
            <w:r>
              <w:t>подпомагането при прехвърляне или прекратяване по време на преструктуриране (включително реорганизация съгласно член 51 от Директива 2014/59/ЕС) за разумен период от време (например 24 месеца) от настоящия доставчик на услуги и при същите условия; както и</w:t>
            </w:r>
          </w:p>
          <w:p w14:paraId="7FE1C5DB" w14:textId="77777777" w:rsidR="00FE5D64" w:rsidRDefault="00E40776">
            <w:pPr>
              <w:pStyle w:val="P68B1DB1-ListParagraph60"/>
              <w:numPr>
                <w:ilvl w:val="0"/>
                <w:numId w:val="263"/>
              </w:numPr>
              <w:spacing w:line="276" w:lineRule="auto"/>
              <w:contextualSpacing/>
              <w:jc w:val="both"/>
              <w:rPr>
                <w:iCs/>
              </w:rPr>
            </w:pPr>
            <w:r>
              <w:t>продължаващото предоставяне на услуги на продаден субект от групата по време на преструктурирането (включително реорганизация съгласно член 51 от Директива 2014/59/ЕС) за разумен период от време след продажбата — например 24 месеца.</w:t>
            </w:r>
          </w:p>
          <w:p w14:paraId="7FE1C5DC" w14:textId="77777777" w:rsidR="00FE5D64" w:rsidRDefault="00E40776">
            <w:pPr>
              <w:spacing w:line="276" w:lineRule="auto"/>
              <w:jc w:val="both"/>
              <w:rPr>
                <w:rFonts w:ascii="Times New Roman" w:hAnsi="Times New Roman"/>
                <w:iCs/>
                <w:sz w:val="20"/>
                <w:szCs w:val="20"/>
              </w:rPr>
            </w:pPr>
            <w:r>
              <w:rPr>
                <w:rFonts w:ascii="Times New Roman" w:hAnsi="Times New Roman"/>
                <w:sz w:val="20"/>
                <w:szCs w:val="20"/>
              </w:rPr>
              <w:t>Това се отнася за договори, за които приложимото право и юрисдикцията на договора е това на държава — членка на ЕС</w:t>
            </w:r>
            <w:r>
              <w:rPr>
                <w:rStyle w:val="FootnoteReference"/>
                <w:rFonts w:ascii="Times New Roman" w:hAnsi="Times New Roman"/>
                <w:sz w:val="20"/>
                <w:szCs w:val="20"/>
              </w:rPr>
              <w:footnoteReference w:id="28"/>
            </w:r>
            <w:r>
              <w:rPr>
                <w:rFonts w:ascii="Times New Roman" w:hAnsi="Times New Roman"/>
                <w:sz w:val="20"/>
                <w:szCs w:val="20"/>
              </w:rPr>
              <w:t xml:space="preserve"> („договори на ЕС“), и за договори, за които се прилага правото на трета държава.</w:t>
            </w:r>
          </w:p>
          <w:p w14:paraId="7FE1C5DD" w14:textId="77777777" w:rsidR="00FE5D64" w:rsidRDefault="00FE5D64">
            <w:pPr>
              <w:spacing w:line="276" w:lineRule="auto"/>
              <w:jc w:val="both"/>
              <w:rPr>
                <w:rFonts w:ascii="Times New Roman" w:hAnsi="Times New Roman"/>
                <w:sz w:val="20"/>
              </w:rPr>
            </w:pPr>
          </w:p>
          <w:p w14:paraId="7FE1C5DE" w14:textId="77777777" w:rsidR="00FE5D64" w:rsidRDefault="00E40776">
            <w:pPr>
              <w:pStyle w:val="P68B1DB1-Normal64"/>
              <w:spacing w:line="276" w:lineRule="auto"/>
              <w:jc w:val="both"/>
            </w:pPr>
            <w:r>
              <w:t>Посочете едно от следните:</w:t>
            </w:r>
          </w:p>
          <w:p w14:paraId="7FE1C5DF" w14:textId="77777777" w:rsidR="00FE5D64" w:rsidRDefault="00E40776">
            <w:pPr>
              <w:pStyle w:val="P68B1DB1-Normal62"/>
              <w:spacing w:line="276" w:lineRule="auto"/>
              <w:jc w:val="both"/>
            </w:pPr>
            <w:r>
              <w:t>„Да“ — ако съгласно оценката договорът е устойчив към преструктуриране</w:t>
            </w:r>
          </w:p>
          <w:p w14:paraId="7FE1C5E0" w14:textId="77777777" w:rsidR="00FE5D64" w:rsidRDefault="00E40776">
            <w:pPr>
              <w:pStyle w:val="P68B1DB1-Normal62"/>
              <w:spacing w:line="276" w:lineRule="auto"/>
              <w:jc w:val="both"/>
            </w:pPr>
            <w:r>
              <w:t>„Не“ — ако съгласно оценката договорът се поддава на преструктуриране</w:t>
            </w:r>
          </w:p>
          <w:p w14:paraId="7FE1C5E1" w14:textId="77777777" w:rsidR="00FE5D64" w:rsidRDefault="00E40776">
            <w:pPr>
              <w:pStyle w:val="P68B1DB1-Normal62"/>
              <w:spacing w:line="276" w:lineRule="auto"/>
              <w:jc w:val="both"/>
            </w:pPr>
            <w:r>
              <w:t>„Без оценка“ — ако не е направена оценка</w:t>
            </w:r>
          </w:p>
          <w:p w14:paraId="7FE1C5E2" w14:textId="748C3D0F" w:rsidR="00FE5D64" w:rsidRDefault="00E40776">
            <w:pPr>
              <w:pStyle w:val="P68B1DB1-Normal62"/>
              <w:spacing w:line="276" w:lineRule="auto"/>
              <w:jc w:val="both"/>
            </w:pPr>
            <w:r>
              <w:t>„Не ЗАДЪЛЖИТЕЛНО“ — за вътрешнофирмени услуги</w:t>
            </w:r>
          </w:p>
          <w:p w14:paraId="7FE1C5E3" w14:textId="77777777" w:rsidR="00FE5D64" w:rsidRDefault="00FE5D64">
            <w:pPr>
              <w:spacing w:line="276" w:lineRule="auto"/>
              <w:jc w:val="both"/>
              <w:rPr>
                <w:rFonts w:ascii="Times New Roman" w:hAnsi="Times New Roman"/>
                <w:sz w:val="20"/>
              </w:rPr>
            </w:pPr>
          </w:p>
        </w:tc>
      </w:tr>
      <w:tr w:rsidR="00FE5D64" w14:paraId="7FE1C5EF" w14:textId="77777777">
        <w:trPr>
          <w:trHeight w:val="463"/>
        </w:trPr>
        <w:tc>
          <w:tcPr>
            <w:tcW w:w="1418" w:type="dxa"/>
            <w:shd w:val="clear" w:color="auto" w:fill="FFFFFF" w:themeFill="background1"/>
          </w:tcPr>
          <w:p w14:paraId="7FE1C5E5" w14:textId="77777777" w:rsidR="00FE5D64" w:rsidRDefault="00E40776">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FE5D64" w:rsidRDefault="00E40776">
            <w:pPr>
              <w:pStyle w:val="P68B1DB1-Normal65"/>
              <w:spacing w:line="276" w:lineRule="auto"/>
              <w:jc w:val="both"/>
              <w:rPr>
                <w:bCs/>
                <w:iCs/>
              </w:rPr>
            </w:pPr>
            <w:r>
              <w:t>План за бизнес реорганизация (BRP)</w:t>
            </w:r>
          </w:p>
          <w:p w14:paraId="7FE1C5E7" w14:textId="77777777" w:rsidR="00FE5D64" w:rsidRDefault="00E40776">
            <w:pPr>
              <w:pStyle w:val="P68B1DB1-Normal64"/>
              <w:spacing w:line="276" w:lineRule="auto"/>
              <w:jc w:val="both"/>
              <w:rPr>
                <w:iCs/>
              </w:rPr>
            </w:pPr>
            <w:r>
              <w:t>Ако стратегията за преструктуриране (предпочитана или вариантна) изисква план за реорганизация на дейността, от договорите на ЕС се очаква да включват изрични клаузи, за да се гарантира тяхната устойчивост на преструктуриране при изпълнението на плановете за реорганизация на дейността.</w:t>
            </w:r>
          </w:p>
          <w:p w14:paraId="7FE1C5E8" w14:textId="77777777" w:rsidR="00FE5D64" w:rsidRDefault="00FE5D64">
            <w:pPr>
              <w:spacing w:line="276" w:lineRule="auto"/>
              <w:jc w:val="both"/>
              <w:rPr>
                <w:rFonts w:ascii="Times New Roman" w:hAnsi="Times New Roman"/>
                <w:iCs/>
                <w:sz w:val="20"/>
              </w:rPr>
            </w:pPr>
          </w:p>
          <w:p w14:paraId="7FE1C5E9" w14:textId="77777777" w:rsidR="00FE5D64" w:rsidRDefault="00E40776">
            <w:pPr>
              <w:pStyle w:val="P68B1DB1-Normal64"/>
              <w:spacing w:line="276" w:lineRule="auto"/>
              <w:jc w:val="both"/>
              <w:rPr>
                <w:iCs/>
              </w:rPr>
            </w:pPr>
            <w:r>
              <w:lastRenderedPageBreak/>
              <w:t>Посочете едно от следните:</w:t>
            </w:r>
          </w:p>
          <w:p w14:paraId="7FE1C5EA" w14:textId="77777777" w:rsidR="00FE5D64" w:rsidRDefault="00E40776">
            <w:pPr>
              <w:pStyle w:val="P68B1DB1-Normal67"/>
              <w:spacing w:line="276" w:lineRule="auto"/>
              <w:jc w:val="both"/>
              <w:rPr>
                <w:iCs/>
                <w:sz w:val="20"/>
              </w:rPr>
            </w:pPr>
            <w:r>
              <w:t>„</w:t>
            </w:r>
            <w:r>
              <w:rPr>
                <w:sz w:val="20"/>
              </w:rPr>
              <w:t>Да“ — ако договорът включва изрични клаузи, за да се гарантира тяхната устойчивост на преструктуриране при изпълнението на BRP</w:t>
            </w:r>
          </w:p>
          <w:p w14:paraId="7FE1C5EB" w14:textId="77777777" w:rsidR="00FE5D64" w:rsidRDefault="00E40776">
            <w:pPr>
              <w:pStyle w:val="P68B1DB1-Normal67"/>
              <w:spacing w:line="276" w:lineRule="auto"/>
              <w:jc w:val="both"/>
              <w:rPr>
                <w:iCs/>
                <w:sz w:val="20"/>
              </w:rPr>
            </w:pPr>
            <w:r>
              <w:t>„</w:t>
            </w:r>
            <w:r>
              <w:rPr>
                <w:sz w:val="20"/>
              </w:rPr>
              <w:t>Не“ — ако договорът не включва изрични клаузи, за да се гарантира тяхната устойчивост на преструктуриране при изпълнението на BRP</w:t>
            </w:r>
          </w:p>
          <w:p w14:paraId="7FE1C5EC" w14:textId="77777777" w:rsidR="00FE5D64" w:rsidRDefault="00E40776">
            <w:pPr>
              <w:pStyle w:val="P68B1DB1-Normal67"/>
              <w:spacing w:line="276" w:lineRule="auto"/>
              <w:jc w:val="both"/>
              <w:rPr>
                <w:iCs/>
                <w:sz w:val="20"/>
              </w:rPr>
            </w:pPr>
            <w:r>
              <w:t>„</w:t>
            </w:r>
            <w:r>
              <w:rPr>
                <w:sz w:val="20"/>
              </w:rPr>
              <w:t>Без оценка“ — ако не е направена оценка</w:t>
            </w:r>
          </w:p>
          <w:p w14:paraId="7FE1C5ED" w14:textId="430F5732" w:rsidR="00FE5D64" w:rsidRDefault="00E40776">
            <w:pPr>
              <w:pStyle w:val="P68B1DB1-Normal67"/>
              <w:spacing w:line="276" w:lineRule="auto"/>
              <w:jc w:val="both"/>
              <w:rPr>
                <w:iCs/>
                <w:sz w:val="20"/>
              </w:rPr>
            </w:pPr>
            <w:r>
              <w:t>„</w:t>
            </w:r>
            <w:r>
              <w:rPr>
                <w:sz w:val="20"/>
              </w:rPr>
              <w:t xml:space="preserve">Not APPLICABLE“ — за вътрешнофирмени услуги или за вътрешногрупови и външни услуги, ако стратегията за преструктуриране (предпочитана и вариант) не изисква план за реорганизация на дейността </w:t>
            </w:r>
          </w:p>
          <w:p w14:paraId="7FE1C5EE" w14:textId="77777777" w:rsidR="00FE5D64" w:rsidRDefault="00FE5D64">
            <w:pPr>
              <w:spacing w:line="276" w:lineRule="auto"/>
              <w:jc w:val="both"/>
              <w:rPr>
                <w:rFonts w:ascii="Times New Roman" w:hAnsi="Times New Roman"/>
                <w:i/>
                <w:sz w:val="20"/>
              </w:rPr>
            </w:pPr>
          </w:p>
        </w:tc>
      </w:tr>
      <w:tr w:rsidR="00FE5D64" w14:paraId="7FE1C5F9" w14:textId="77777777">
        <w:trPr>
          <w:trHeight w:val="463"/>
        </w:trPr>
        <w:tc>
          <w:tcPr>
            <w:tcW w:w="1418" w:type="dxa"/>
            <w:shd w:val="clear" w:color="auto" w:fill="FFFFFF" w:themeFill="background1"/>
          </w:tcPr>
          <w:p w14:paraId="7FE1C5F0" w14:textId="77777777" w:rsidR="00FE5D64" w:rsidRDefault="00E40776">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FE5D64" w:rsidRDefault="00E40776">
            <w:pPr>
              <w:pStyle w:val="P68B1DB1-Normal64"/>
              <w:spacing w:line="276" w:lineRule="auto"/>
              <w:jc w:val="both"/>
            </w:pPr>
            <w:r>
              <w:rPr>
                <w:b/>
              </w:rPr>
              <w:t>Алтернативни смекчаващи действия</w:t>
            </w:r>
            <w:r>
              <w:t xml:space="preserve"> </w:t>
            </w:r>
          </w:p>
          <w:p w14:paraId="7FE1C5F2" w14:textId="77777777" w:rsidR="00FE5D64" w:rsidRDefault="00E40776">
            <w:pPr>
              <w:pStyle w:val="P68B1DB1-Normal64"/>
              <w:spacing w:line="276" w:lineRule="auto"/>
              <w:jc w:val="both"/>
            </w:pPr>
            <w:r>
              <w:t xml:space="preserve">Когато се очаква да бъде постигната устойчивост на преструктурирането, но банките не са успели да го направят, от банките се очаква да проучат алтернативни действия за смекчаване на последиците. </w:t>
            </w:r>
          </w:p>
          <w:p w14:paraId="7FE1C5F3" w14:textId="77777777" w:rsidR="00FE5D64" w:rsidRDefault="00FE5D64">
            <w:pPr>
              <w:spacing w:line="276" w:lineRule="auto"/>
              <w:jc w:val="both"/>
              <w:rPr>
                <w:rFonts w:ascii="Times New Roman" w:hAnsi="Times New Roman"/>
                <w:sz w:val="20"/>
              </w:rPr>
            </w:pPr>
          </w:p>
          <w:p w14:paraId="7FE1C5F4" w14:textId="77777777" w:rsidR="00FE5D64" w:rsidRDefault="00E40776">
            <w:pPr>
              <w:pStyle w:val="P68B1DB1-Normal64"/>
              <w:spacing w:line="276" w:lineRule="auto"/>
              <w:jc w:val="both"/>
              <w:rPr>
                <w:iCs/>
              </w:rPr>
            </w:pPr>
            <w:r>
              <w:t>Посочете едно от следните:</w:t>
            </w:r>
          </w:p>
          <w:p w14:paraId="7FE1C5F5" w14:textId="77777777" w:rsidR="00FE5D64" w:rsidRDefault="00E40776">
            <w:pPr>
              <w:pStyle w:val="P68B1DB1-Normal67"/>
              <w:spacing w:line="276" w:lineRule="auto"/>
              <w:jc w:val="both"/>
              <w:rPr>
                <w:iCs/>
                <w:sz w:val="20"/>
              </w:rPr>
            </w:pPr>
            <w:r>
              <w:t>„</w:t>
            </w:r>
            <w:r>
              <w:rPr>
                <w:sz w:val="20"/>
              </w:rPr>
              <w:t>Да“ — ако банката е предприела алтернативни смекчаващи действия</w:t>
            </w:r>
          </w:p>
          <w:p w14:paraId="7FE1C5F6" w14:textId="77777777" w:rsidR="00FE5D64" w:rsidRDefault="00E40776">
            <w:pPr>
              <w:pStyle w:val="P68B1DB1-Normal67"/>
              <w:spacing w:line="276" w:lineRule="auto"/>
              <w:jc w:val="both"/>
              <w:rPr>
                <w:iCs/>
                <w:sz w:val="20"/>
              </w:rPr>
            </w:pPr>
            <w:r>
              <w:t>„</w:t>
            </w:r>
            <w:r>
              <w:rPr>
                <w:sz w:val="20"/>
              </w:rPr>
              <w:t>Не“ — ако банката не е предприела алтернативни смекчаващи действия</w:t>
            </w:r>
          </w:p>
          <w:p w14:paraId="7FE1C5F7" w14:textId="20F99367" w:rsidR="00FE5D64" w:rsidRDefault="00E40776">
            <w:pPr>
              <w:pStyle w:val="P68B1DB1-Normal67"/>
              <w:spacing w:line="276" w:lineRule="auto"/>
              <w:jc w:val="both"/>
              <w:rPr>
                <w:iCs/>
                <w:sz w:val="20"/>
              </w:rPr>
            </w:pPr>
            <w:r>
              <w:t>„</w:t>
            </w:r>
            <w:r>
              <w:rPr>
                <w:sz w:val="20"/>
              </w:rPr>
              <w:t>Не Е ПРИЛОЖЕНИЕ „— в случаите, когато някоя от колони 0150 и 0160 е отбелязана с „Да„или „НЕ Е ПРИЛОЖЕНИЕ“</w:t>
            </w:r>
          </w:p>
          <w:p w14:paraId="7FE1C5F8" w14:textId="77777777" w:rsidR="00FE5D64" w:rsidRDefault="00FE5D64">
            <w:pPr>
              <w:spacing w:line="276" w:lineRule="auto"/>
              <w:jc w:val="both"/>
              <w:rPr>
                <w:rFonts w:ascii="Times New Roman" w:hAnsi="Times New Roman"/>
                <w:sz w:val="20"/>
              </w:rPr>
            </w:pPr>
          </w:p>
        </w:tc>
      </w:tr>
    </w:tbl>
    <w:p w14:paraId="7FE1C5FA" w14:textId="77777777" w:rsidR="00FE5D64" w:rsidRDefault="00FE5D64">
      <w:pPr>
        <w:rPr>
          <w:rFonts w:ascii="Times New Roman" w:eastAsia="Times New Roman" w:hAnsi="Times New Roman" w:cs="Times New Roman"/>
          <w:sz w:val="20"/>
          <w:szCs w:val="20"/>
          <w:u w:val="single"/>
        </w:rPr>
      </w:pPr>
    </w:p>
    <w:p w14:paraId="7FE1C5FB" w14:textId="77777777" w:rsidR="00FE5D64" w:rsidRDefault="00FE5D64">
      <w:pPr>
        <w:rPr>
          <w:rFonts w:ascii="Times New Roman" w:hAnsi="Times New Roman" w:cs="Times New Roman"/>
        </w:rPr>
      </w:pPr>
    </w:p>
    <w:p w14:paraId="7FE1C5FC" w14:textId="77777777" w:rsidR="00FE5D64" w:rsidRDefault="00E40776">
      <w:pPr>
        <w:pStyle w:val="P68B1DB1-Instructionsberschrift25"/>
        <w:numPr>
          <w:ilvl w:val="1"/>
          <w:numId w:val="49"/>
        </w:numPr>
        <w:ind w:left="357" w:hanging="357"/>
        <w:rPr>
          <w:rFonts w:eastAsia="Calibri"/>
          <w:szCs w:val="20"/>
        </w:rPr>
      </w:pPr>
      <w:bookmarkStart w:id="130" w:name="_Toc208244474"/>
      <w:r>
        <w:t>Z 08.03 — Съответни услуги — картографиране на ролите (SERV 3)</w:t>
      </w:r>
      <w:bookmarkEnd w:id="130"/>
    </w:p>
    <w:p w14:paraId="7FE1C5FD" w14:textId="77777777" w:rsidR="00FE5D64" w:rsidRDefault="00E40776">
      <w:pPr>
        <w:pStyle w:val="P68B1DB1-Normal50"/>
        <w:spacing w:line="276" w:lineRule="auto"/>
        <w:jc w:val="both"/>
      </w:pPr>
      <w:r>
        <w:t>Основни инструкции</w:t>
      </w:r>
    </w:p>
    <w:p w14:paraId="7FE1C5FE" w14:textId="77777777" w:rsidR="00FE5D64" w:rsidRDefault="00E40776">
      <w:pPr>
        <w:pStyle w:val="P68B1DB1-Instructionsberschrift346"/>
        <w:numPr>
          <w:ilvl w:val="2"/>
          <w:numId w:val="211"/>
        </w:numPr>
        <w:ind w:left="993"/>
        <w:contextualSpacing/>
        <w:jc w:val="both"/>
      </w:pPr>
      <w:r>
        <w:rPr>
          <w:color w:val="auto"/>
          <w:szCs w:val="24"/>
        </w:rPr>
        <w:t>Информацията, която трябва да се включи в този образец, се отчита веднъж за цялата група; изброяват се критичните услуги, ползвани от всеки субект в групата, и се свързват с критичните функции, изпълнявани от групата</w:t>
      </w:r>
      <w:r>
        <w:t>.</w:t>
      </w:r>
    </w:p>
    <w:p w14:paraId="7FE1C5FF" w14:textId="77777777" w:rsidR="00FE5D64" w:rsidRDefault="00E40776">
      <w:pPr>
        <w:pStyle w:val="P68B1DB1-Instructionsberschrift368"/>
        <w:numPr>
          <w:ilvl w:val="2"/>
          <w:numId w:val="211"/>
        </w:numPr>
        <w:ind w:left="993"/>
        <w:contextualSpacing/>
        <w:jc w:val="both"/>
      </w:pPr>
      <w:r>
        <w:t>Стойностите, отчетени в колони 0010, 0020 и 0030 от този образец, формира първичен код, който трябва да е уникален за всеки ред от образеца.</w:t>
      </w:r>
    </w:p>
    <w:p w14:paraId="7FE1C604" w14:textId="77777777" w:rsidR="00FE5D64" w:rsidRDefault="00FE5D64">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FE5D64" w14:paraId="7FE1C607" w14:textId="77777777">
        <w:trPr>
          <w:trHeight w:val="519"/>
          <w:tblHeader/>
        </w:trPr>
        <w:tc>
          <w:tcPr>
            <w:tcW w:w="1418" w:type="dxa"/>
            <w:shd w:val="clear" w:color="auto" w:fill="D9D9D9" w:themeFill="background1" w:themeFillShade="D9"/>
          </w:tcPr>
          <w:p w14:paraId="7FE1C605" w14:textId="77777777" w:rsidR="00FE5D64" w:rsidRDefault="00E40776">
            <w:pPr>
              <w:pStyle w:val="P68B1DB1-Normal61"/>
              <w:spacing w:before="120" w:after="120" w:line="276" w:lineRule="auto"/>
            </w:pPr>
            <w:r>
              <w:t>Колони</w:t>
            </w:r>
          </w:p>
        </w:tc>
        <w:tc>
          <w:tcPr>
            <w:tcW w:w="7649" w:type="dxa"/>
            <w:shd w:val="clear" w:color="auto" w:fill="D9D9D9" w:themeFill="background1" w:themeFillShade="D9"/>
          </w:tcPr>
          <w:p w14:paraId="7FE1C606" w14:textId="77777777" w:rsidR="00FE5D64" w:rsidRDefault="00E40776">
            <w:pPr>
              <w:pStyle w:val="P68B1DB1-Normal61"/>
              <w:spacing w:before="120" w:after="120" w:line="276" w:lineRule="auto"/>
            </w:pPr>
            <w:r>
              <w:t>Указания</w:t>
            </w:r>
          </w:p>
        </w:tc>
      </w:tr>
      <w:tr w:rsidR="00FE5D64" w14:paraId="7FE1C60C" w14:textId="77777777">
        <w:trPr>
          <w:trHeight w:val="450"/>
        </w:trPr>
        <w:tc>
          <w:tcPr>
            <w:tcW w:w="1418" w:type="dxa"/>
          </w:tcPr>
          <w:p w14:paraId="7FE1C608" w14:textId="77777777" w:rsidR="00FE5D64" w:rsidRDefault="00E40776">
            <w:pPr>
              <w:pStyle w:val="P68B1DB1-Normal62"/>
              <w:spacing w:before="120" w:after="120" w:line="276" w:lineRule="auto"/>
            </w:pPr>
            <w:r>
              <w:t>0005</w:t>
            </w:r>
          </w:p>
        </w:tc>
        <w:tc>
          <w:tcPr>
            <w:tcW w:w="7649" w:type="dxa"/>
          </w:tcPr>
          <w:p w14:paraId="7FE1C609" w14:textId="77777777" w:rsidR="00FE5D64" w:rsidRDefault="00E40776">
            <w:pPr>
              <w:pStyle w:val="P68B1DB1-Normal61"/>
              <w:spacing w:before="120" w:after="120" w:line="276" w:lineRule="auto"/>
              <w:rPr>
                <w:bCs/>
              </w:rPr>
            </w:pPr>
            <w:r>
              <w:t xml:space="preserve">Service Identifier (идентификатор на услугата) </w:t>
            </w:r>
          </w:p>
          <w:p w14:paraId="7FE1C60A" w14:textId="77777777" w:rsidR="00FE5D64" w:rsidRDefault="00E40776">
            <w:pPr>
              <w:pStyle w:val="P68B1DB1-Normal62"/>
              <w:spacing w:before="120" w:after="120" w:line="276" w:lineRule="auto"/>
            </w:pPr>
            <w:r>
              <w:t>Използва се идентификаторът на услугата, докладван в Z 08.01 (SERV 1).</w:t>
            </w:r>
          </w:p>
          <w:p w14:paraId="7FE1C60B" w14:textId="77777777" w:rsidR="00FE5D64" w:rsidRDefault="00E40776">
            <w:pPr>
              <w:pStyle w:val="P68B1DB1-Normal62"/>
              <w:spacing w:before="120" w:after="120" w:line="276" w:lineRule="auto"/>
              <w:rPr>
                <w:iCs/>
              </w:rPr>
            </w:pPr>
            <w:r>
              <w:t>Идентификаторът на услугата се отнася до услугата, докладвана в c0020.</w:t>
            </w:r>
          </w:p>
        </w:tc>
      </w:tr>
      <w:tr w:rsidR="00FE5D64" w14:paraId="7FE1C650" w14:textId="77777777">
        <w:trPr>
          <w:trHeight w:val="450"/>
        </w:trPr>
        <w:tc>
          <w:tcPr>
            <w:tcW w:w="1418" w:type="dxa"/>
          </w:tcPr>
          <w:p w14:paraId="7FE1C60D" w14:textId="77777777" w:rsidR="00FE5D64" w:rsidRDefault="00E40776">
            <w:pPr>
              <w:pStyle w:val="P68B1DB1-Normal62"/>
              <w:spacing w:before="120" w:after="120" w:line="276" w:lineRule="auto"/>
            </w:pPr>
            <w:r>
              <w:t>0010</w:t>
            </w:r>
          </w:p>
        </w:tc>
        <w:tc>
          <w:tcPr>
            <w:tcW w:w="7649" w:type="dxa"/>
          </w:tcPr>
          <w:p w14:paraId="7FE1C60E" w14:textId="77777777" w:rsidR="00FE5D64" w:rsidRDefault="00E40776">
            <w:pPr>
              <w:pStyle w:val="P68B1DB1-Normal61"/>
              <w:autoSpaceDE w:val="0"/>
              <w:autoSpaceDN w:val="0"/>
              <w:adjustRightInd w:val="0"/>
              <w:rPr>
                <w:rFonts w:eastAsia="MS Mincho"/>
                <w:bCs/>
              </w:rPr>
            </w:pPr>
            <w:r>
              <w:t xml:space="preserve">Вид услуга </w:t>
            </w:r>
          </w:p>
          <w:p w14:paraId="7FE1C645" w14:textId="21F3184E" w:rsidR="00FE5D64" w:rsidRDefault="00E40776">
            <w:pPr>
              <w:pStyle w:val="P68B1DB1-Normal63"/>
              <w:autoSpaceDE w:val="0"/>
              <w:autoSpaceDN w:val="0"/>
              <w:adjustRightInd w:val="0"/>
            </w:pPr>
            <w:r>
              <w:t xml:space="preserve">Видът на услугата е един от видовете услуги, изброени в Z 08.01 0010 по-горе. </w:t>
            </w:r>
          </w:p>
          <w:p w14:paraId="7FE1C64F" w14:textId="2C039B1C" w:rsidR="00FE5D64" w:rsidRDefault="00FE5D64">
            <w:pPr>
              <w:spacing w:before="120" w:after="120" w:line="276" w:lineRule="auto"/>
              <w:rPr>
                <w:rFonts w:ascii="Times New Roman" w:hAnsi="Times New Roman"/>
                <w:sz w:val="20"/>
                <w:szCs w:val="20"/>
              </w:rPr>
            </w:pPr>
          </w:p>
        </w:tc>
      </w:tr>
      <w:tr w:rsidR="00FE5D64" w14:paraId="7FE1C655" w14:textId="77777777">
        <w:trPr>
          <w:trHeight w:val="450"/>
        </w:trPr>
        <w:tc>
          <w:tcPr>
            <w:tcW w:w="1418" w:type="dxa"/>
          </w:tcPr>
          <w:p w14:paraId="7FE1C651" w14:textId="77777777" w:rsidR="00FE5D64" w:rsidRDefault="00E40776">
            <w:pPr>
              <w:pStyle w:val="P68B1DB1-Normal62"/>
              <w:spacing w:before="120" w:after="120" w:line="276" w:lineRule="auto"/>
            </w:pPr>
            <w:r>
              <w:t>0020</w:t>
            </w:r>
          </w:p>
        </w:tc>
        <w:tc>
          <w:tcPr>
            <w:tcW w:w="7649" w:type="dxa"/>
          </w:tcPr>
          <w:p w14:paraId="7FE1C652" w14:textId="77777777" w:rsidR="00FE5D64" w:rsidRDefault="00E40776">
            <w:pPr>
              <w:pStyle w:val="P68B1DB1-Normal65"/>
              <w:spacing w:line="276" w:lineRule="auto"/>
              <w:jc w:val="both"/>
            </w:pPr>
            <w:r>
              <w:rPr>
                <w:szCs w:val="20"/>
              </w:rPr>
              <w:t>Уникално наименование на услугата съгласно таксономията на банката</w:t>
            </w:r>
            <w:r>
              <w:t xml:space="preserve"> </w:t>
            </w:r>
          </w:p>
          <w:p w14:paraId="7FE1C653" w14:textId="61186926" w:rsidR="00FE5D64" w:rsidRDefault="00E40776">
            <w:pPr>
              <w:pStyle w:val="P68B1DB1-Normal64"/>
              <w:rPr>
                <w:rFonts w:eastAsiaTheme="minorHAnsi"/>
                <w:sz w:val="24"/>
              </w:rPr>
            </w:pPr>
            <w:r>
              <w:t xml:space="preserve">Наименование/кратко описание на услугата според собствената диференцирана таксономия на банката (ниво 3), както е отчетено в Z 08.01 (SERV 1), колона 0020. От </w:t>
            </w:r>
            <w:r>
              <w:lastRenderedPageBreak/>
              <w:t>банката се очаква да отчита услугите на по-детайлно ниво от предвиденото за ниво 2 (c0010), така че всяка конкретна услуга да бъде определена точно и целенасочено.</w:t>
            </w:r>
          </w:p>
          <w:p w14:paraId="7FE1C654" w14:textId="77777777" w:rsidR="00FE5D64" w:rsidRDefault="00FE5D64">
            <w:pPr>
              <w:spacing w:before="120" w:after="120" w:line="276" w:lineRule="auto"/>
              <w:rPr>
                <w:rFonts w:ascii="Times New Roman" w:hAnsi="Times New Roman"/>
                <w:sz w:val="20"/>
                <w:szCs w:val="20"/>
              </w:rPr>
            </w:pPr>
          </w:p>
        </w:tc>
      </w:tr>
      <w:tr w:rsidR="00FE5D64" w14:paraId="7FE1C65A" w14:textId="77777777">
        <w:trPr>
          <w:trHeight w:val="450"/>
        </w:trPr>
        <w:tc>
          <w:tcPr>
            <w:tcW w:w="1418" w:type="dxa"/>
          </w:tcPr>
          <w:p w14:paraId="7FE1C656" w14:textId="77777777" w:rsidR="00FE5D64" w:rsidRDefault="00E40776">
            <w:pPr>
              <w:pStyle w:val="P68B1DB1-Normal62"/>
              <w:spacing w:before="120" w:after="120" w:line="276" w:lineRule="auto"/>
              <w:rPr>
                <w:b/>
              </w:rPr>
            </w:pPr>
            <w:r>
              <w:lastRenderedPageBreak/>
              <w:t>0030</w:t>
            </w:r>
          </w:p>
        </w:tc>
        <w:tc>
          <w:tcPr>
            <w:tcW w:w="7649" w:type="dxa"/>
          </w:tcPr>
          <w:p w14:paraId="7FE1C657" w14:textId="77777777" w:rsidR="00FE5D64" w:rsidRDefault="00E40776">
            <w:pPr>
              <w:pStyle w:val="P68B1DB1-Normal65"/>
              <w:spacing w:before="120" w:after="120" w:line="276" w:lineRule="auto"/>
              <w:rPr>
                <w:bCs/>
              </w:rPr>
            </w:pPr>
            <w:r>
              <w:rPr>
                <w:szCs w:val="20"/>
              </w:rPr>
              <w:t>Идентификационен номер на ролята</w:t>
            </w:r>
            <w:r>
              <w:t xml:space="preserve"> </w:t>
            </w:r>
          </w:p>
          <w:p w14:paraId="7FE1C658" w14:textId="77777777" w:rsidR="00FE5D64" w:rsidRDefault="00E40776">
            <w:pPr>
              <w:pStyle w:val="P68B1DB1-Normal64"/>
              <w:spacing w:before="120" w:after="120" w:line="276" w:lineRule="auto"/>
            </w:pPr>
            <w:r>
              <w:t>Идентификаторът на ролята се отнася до ролята, докладвана в c0040.</w:t>
            </w:r>
          </w:p>
          <w:p w14:paraId="7FE1C659" w14:textId="77777777" w:rsidR="00FE5D64" w:rsidRDefault="00FE5D64">
            <w:pPr>
              <w:spacing w:before="120" w:after="120" w:line="276" w:lineRule="auto"/>
              <w:rPr>
                <w:rFonts w:ascii="Times New Roman" w:hAnsi="Times New Roman"/>
                <w:sz w:val="20"/>
                <w:szCs w:val="20"/>
              </w:rPr>
            </w:pPr>
          </w:p>
        </w:tc>
      </w:tr>
      <w:tr w:rsidR="00FE5D64" w14:paraId="7FE1C65F" w14:textId="77777777">
        <w:trPr>
          <w:trHeight w:val="450"/>
        </w:trPr>
        <w:tc>
          <w:tcPr>
            <w:tcW w:w="1418" w:type="dxa"/>
          </w:tcPr>
          <w:p w14:paraId="7FE1C65B" w14:textId="77777777" w:rsidR="00FE5D64" w:rsidRDefault="00E40776">
            <w:pPr>
              <w:pStyle w:val="P68B1DB1-Normal62"/>
              <w:spacing w:before="120" w:after="120" w:line="276" w:lineRule="auto"/>
            </w:pPr>
            <w:r>
              <w:t>0040</w:t>
            </w:r>
          </w:p>
        </w:tc>
        <w:tc>
          <w:tcPr>
            <w:tcW w:w="7649" w:type="dxa"/>
          </w:tcPr>
          <w:p w14:paraId="7FE1C65C" w14:textId="77777777" w:rsidR="00FE5D64" w:rsidRDefault="00E40776">
            <w:pPr>
              <w:pStyle w:val="P68B1DB1-Normal61"/>
              <w:spacing w:before="120" w:after="120" w:line="276" w:lineRule="auto"/>
              <w:rPr>
                <w:bCs/>
              </w:rPr>
            </w:pPr>
            <w:r>
              <w:t>Име на ролята</w:t>
            </w:r>
          </w:p>
          <w:p w14:paraId="7FE1C65D" w14:textId="77777777" w:rsidR="00FE5D64" w:rsidRDefault="00E40776">
            <w:pPr>
              <w:pStyle w:val="P68B1DB1-Normal64"/>
              <w:spacing w:line="276" w:lineRule="auto"/>
              <w:jc w:val="both"/>
            </w:pPr>
            <w:r>
              <w:t>Вътрешното наименование, използвано за конкретната роля.</w:t>
            </w:r>
          </w:p>
          <w:p w14:paraId="7FE1C65E" w14:textId="77777777" w:rsidR="00FE5D64" w:rsidRDefault="00FE5D64">
            <w:pPr>
              <w:spacing w:before="120" w:after="120" w:line="276" w:lineRule="auto"/>
              <w:rPr>
                <w:rFonts w:ascii="Times New Roman" w:hAnsi="Times New Roman"/>
                <w:sz w:val="20"/>
                <w:szCs w:val="20"/>
              </w:rPr>
            </w:pPr>
          </w:p>
        </w:tc>
      </w:tr>
      <w:tr w:rsidR="00FE5D64" w14:paraId="7FE1C664" w14:textId="77777777">
        <w:trPr>
          <w:trHeight w:val="450"/>
        </w:trPr>
        <w:tc>
          <w:tcPr>
            <w:tcW w:w="1418" w:type="dxa"/>
          </w:tcPr>
          <w:p w14:paraId="7FE1C660" w14:textId="77777777" w:rsidR="00FE5D64" w:rsidRDefault="00E40776">
            <w:pPr>
              <w:pStyle w:val="P68B1DB1-Normal62"/>
              <w:spacing w:before="120" w:after="120" w:line="276" w:lineRule="auto"/>
            </w:pPr>
            <w:r>
              <w:t>0050</w:t>
            </w:r>
          </w:p>
        </w:tc>
        <w:tc>
          <w:tcPr>
            <w:tcW w:w="7649" w:type="dxa"/>
          </w:tcPr>
          <w:p w14:paraId="7FE1C661" w14:textId="77777777" w:rsidR="00FE5D64" w:rsidRDefault="00E40776">
            <w:pPr>
              <w:pStyle w:val="P68B1DB1-Normal61"/>
              <w:spacing w:before="120" w:after="120" w:line="276" w:lineRule="auto"/>
              <w:rPr>
                <w:bCs/>
              </w:rPr>
            </w:pPr>
            <w:r>
              <w:t>Служба</w:t>
            </w:r>
          </w:p>
          <w:p w14:paraId="7FE1C662" w14:textId="77777777" w:rsidR="00FE5D64" w:rsidRDefault="00E40776">
            <w:pPr>
              <w:pStyle w:val="P68B1DB1-Normal64"/>
              <w:spacing w:line="276" w:lineRule="auto"/>
              <w:jc w:val="both"/>
            </w:pPr>
            <w:r>
              <w:t>Вътрешното наименование, използвано за конкретния отдел, към който принадлежи наименованието на ролята в c0040.</w:t>
            </w:r>
          </w:p>
          <w:p w14:paraId="7FE1C663" w14:textId="77777777" w:rsidR="00FE5D64" w:rsidRDefault="00FE5D64">
            <w:pPr>
              <w:spacing w:line="276" w:lineRule="auto"/>
              <w:jc w:val="both"/>
              <w:rPr>
                <w:rFonts w:ascii="Times New Roman" w:hAnsi="Times New Roman"/>
                <w:iCs/>
                <w:sz w:val="20"/>
              </w:rPr>
            </w:pPr>
          </w:p>
        </w:tc>
      </w:tr>
      <w:tr w:rsidR="00FE5D64" w14:paraId="7FE1C66C" w14:textId="77777777">
        <w:trPr>
          <w:trHeight w:val="450"/>
        </w:trPr>
        <w:tc>
          <w:tcPr>
            <w:tcW w:w="1418" w:type="dxa"/>
          </w:tcPr>
          <w:p w14:paraId="7FE1C665" w14:textId="77777777" w:rsidR="00FE5D64" w:rsidRDefault="00E40776">
            <w:pPr>
              <w:pStyle w:val="P68B1DB1-Normal62"/>
              <w:spacing w:before="120" w:after="120" w:line="276" w:lineRule="auto"/>
            </w:pPr>
            <w:r>
              <w:t>0060</w:t>
            </w:r>
          </w:p>
        </w:tc>
        <w:tc>
          <w:tcPr>
            <w:tcW w:w="7649" w:type="dxa"/>
          </w:tcPr>
          <w:p w14:paraId="7FE1C666" w14:textId="77777777" w:rsidR="00FE5D64" w:rsidRDefault="00E40776">
            <w:pPr>
              <w:pStyle w:val="P68B1DB1-Normal61"/>
              <w:spacing w:before="120" w:after="120" w:line="276" w:lineRule="auto"/>
              <w:rPr>
                <w:bCs/>
              </w:rPr>
            </w:pPr>
            <w:r>
              <w:t>Критичност</w:t>
            </w:r>
          </w:p>
          <w:p w14:paraId="7FE1C667" w14:textId="77777777" w:rsidR="00FE5D64" w:rsidRDefault="00E40776">
            <w:pPr>
              <w:pStyle w:val="P68B1DB1-Normal64"/>
              <w:spacing w:line="276" w:lineRule="auto"/>
              <w:jc w:val="both"/>
              <w:rPr>
                <w:iCs/>
              </w:rPr>
            </w:pPr>
            <w:r>
              <w:t>Посочете едно от следните:</w:t>
            </w:r>
          </w:p>
          <w:p w14:paraId="7FE1C668" w14:textId="77777777" w:rsidR="00FE5D64" w:rsidRDefault="00E40776">
            <w:pPr>
              <w:pStyle w:val="P68B1DB1-ListParagraph58"/>
              <w:numPr>
                <w:ilvl w:val="0"/>
                <w:numId w:val="236"/>
              </w:numPr>
              <w:spacing w:line="276" w:lineRule="auto"/>
              <w:contextualSpacing/>
              <w:jc w:val="both"/>
              <w:rPr>
                <w:iCs/>
              </w:rPr>
            </w:pPr>
            <w:r>
              <w:t>Критична значимост: ако услугата е необходима за изпълнението на една или повече критични функции, чието прекъсване би възпрепятствало сериозно или би възпрепятствало изпълнението на тези критични функции.</w:t>
            </w:r>
          </w:p>
          <w:p w14:paraId="7FE1C669" w14:textId="77777777" w:rsidR="00FE5D64" w:rsidRDefault="00E40776">
            <w:pPr>
              <w:pStyle w:val="P68B1DB1-ListParagraph58"/>
              <w:numPr>
                <w:ilvl w:val="0"/>
                <w:numId w:val="236"/>
              </w:numPr>
              <w:spacing w:line="276" w:lineRule="auto"/>
              <w:contextualSpacing/>
              <w:jc w:val="both"/>
              <w:rPr>
                <w:iCs/>
              </w:rPr>
            </w:pPr>
            <w:r>
              <w:t>Задължителни изисквания: ако услугата е свързана с основни стопански дейности, чиято непрекъснатост е необходима за ефективното изпълнение на стратегията за преструктуриране и всяко последващо преструктуриране.</w:t>
            </w:r>
          </w:p>
          <w:p w14:paraId="7FE1C66A" w14:textId="21623EFD" w:rsidR="00FE5D64" w:rsidRDefault="00E40776">
            <w:pPr>
              <w:pStyle w:val="P68B1DB1-ListParagraph58"/>
              <w:numPr>
                <w:ilvl w:val="0"/>
                <w:numId w:val="236"/>
              </w:numPr>
              <w:spacing w:line="276" w:lineRule="auto"/>
              <w:contextualSpacing/>
              <w:jc w:val="both"/>
              <w:rPr>
                <w:iCs/>
              </w:rPr>
            </w:pPr>
            <w:r>
              <w:t>Критични и съществени</w:t>
            </w:r>
          </w:p>
          <w:p w14:paraId="7FE1C66B" w14:textId="77777777" w:rsidR="00FE5D64" w:rsidRDefault="00FE5D64">
            <w:pPr>
              <w:spacing w:before="120" w:after="120" w:line="276" w:lineRule="auto"/>
              <w:rPr>
                <w:rFonts w:ascii="Times New Roman" w:hAnsi="Times New Roman"/>
                <w:sz w:val="20"/>
                <w:szCs w:val="20"/>
              </w:rPr>
            </w:pPr>
          </w:p>
        </w:tc>
      </w:tr>
    </w:tbl>
    <w:p w14:paraId="7FE1C6D5" w14:textId="77777777" w:rsidR="00FE5D64" w:rsidRDefault="00FE5D64">
      <w:pPr>
        <w:rPr>
          <w:rFonts w:ascii="Times New Roman" w:hAnsi="Times New Roman" w:cs="Times New Roman"/>
        </w:rPr>
      </w:pPr>
    </w:p>
    <w:p w14:paraId="7FE1C6D6" w14:textId="77777777" w:rsidR="00FE5D64" w:rsidRDefault="00E40776">
      <w:pPr>
        <w:pStyle w:val="P68B1DB1-Instructionsberschrift25"/>
        <w:numPr>
          <w:ilvl w:val="1"/>
          <w:numId w:val="49"/>
        </w:numPr>
        <w:ind w:left="357" w:hanging="357"/>
        <w:rPr>
          <w:rFonts w:eastAsia="Calibri"/>
          <w:szCs w:val="20"/>
        </w:rPr>
      </w:pPr>
      <w:bookmarkStart w:id="131" w:name="_Toc208244475"/>
      <w:r>
        <w:t>Z 08.04 — Критични услуги — картографиране на критичните функции (SERV 4)</w:t>
      </w:r>
      <w:bookmarkEnd w:id="131"/>
    </w:p>
    <w:p w14:paraId="7FE1C6D7" w14:textId="77777777" w:rsidR="00FE5D64" w:rsidRDefault="00E40776">
      <w:pPr>
        <w:pStyle w:val="P68B1DB1-Instructionsberschrift269"/>
        <w:ind w:left="357"/>
      </w:pPr>
      <w:bookmarkStart w:id="132" w:name="_Toc164263859"/>
      <w:bookmarkStart w:id="133" w:name="_Toc208244476"/>
      <w:r>
        <w:t>Основни инструкции</w:t>
      </w:r>
      <w:bookmarkEnd w:id="132"/>
      <w:bookmarkEnd w:id="133"/>
    </w:p>
    <w:p w14:paraId="7FE1C6D8" w14:textId="77777777" w:rsidR="00FE5D64" w:rsidRDefault="00FE5D64">
      <w:pPr>
        <w:spacing w:line="276" w:lineRule="auto"/>
        <w:jc w:val="both"/>
        <w:rPr>
          <w:rFonts w:ascii="Times New Roman" w:eastAsia="Calibri" w:hAnsi="Times New Roman" w:cs="Times New Roman"/>
          <w:sz w:val="20"/>
          <w:szCs w:val="20"/>
        </w:rPr>
      </w:pPr>
    </w:p>
    <w:p w14:paraId="7FE1C6D9" w14:textId="77777777" w:rsidR="00FE5D64" w:rsidRDefault="00E40776">
      <w:pPr>
        <w:pStyle w:val="P68B1DB1-ListParagraph53"/>
        <w:numPr>
          <w:ilvl w:val="0"/>
          <w:numId w:val="267"/>
        </w:numPr>
        <w:ind w:left="1418"/>
        <w:contextualSpacing/>
        <w:jc w:val="both"/>
      </w:pPr>
      <w:r>
        <w:t>Информацията, която трябва да се включи в този образец, се отчита веднъж за цялата група; изброяват се критичните услуги, ползвани от всеки субект в групата, и се свързват с критичните функции, изпълнявани от групата.</w:t>
      </w:r>
    </w:p>
    <w:p w14:paraId="7FE1C6DA" w14:textId="77777777" w:rsidR="00FE5D64" w:rsidRDefault="00E40776">
      <w:pPr>
        <w:pStyle w:val="P68B1DB1-ListParagraph53"/>
        <w:numPr>
          <w:ilvl w:val="0"/>
          <w:numId w:val="267"/>
        </w:numPr>
        <w:ind w:left="1418"/>
        <w:contextualSpacing/>
        <w:jc w:val="both"/>
      </w:pPr>
      <w:r>
        <w:t>Стойностите, отчетени в колони 0010, 0020, 0030 и 0040 от този образец, формира първичен код, който трябва да е уникален за всеки ред от образеца.</w:t>
      </w:r>
    </w:p>
    <w:p w14:paraId="7FE1C6DB" w14:textId="77777777" w:rsidR="00FE5D64" w:rsidRDefault="00FE5D64">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FE5D64" w14:paraId="7FE1C6DE" w14:textId="77777777">
        <w:trPr>
          <w:trHeight w:val="445"/>
          <w:tblHeader/>
        </w:trPr>
        <w:tc>
          <w:tcPr>
            <w:tcW w:w="1418" w:type="dxa"/>
            <w:shd w:val="clear" w:color="auto" w:fill="E7E6E6"/>
          </w:tcPr>
          <w:p w14:paraId="7FE1C6DC" w14:textId="77777777" w:rsidR="00FE5D64" w:rsidRDefault="00E40776">
            <w:pPr>
              <w:pStyle w:val="P68B1DB1-Normal61"/>
              <w:spacing w:before="120" w:after="120" w:line="276" w:lineRule="auto"/>
            </w:pPr>
            <w:r>
              <w:t>Колони</w:t>
            </w:r>
          </w:p>
        </w:tc>
        <w:tc>
          <w:tcPr>
            <w:tcW w:w="7508" w:type="dxa"/>
            <w:shd w:val="clear" w:color="auto" w:fill="E7E6E6"/>
          </w:tcPr>
          <w:p w14:paraId="7FE1C6DD" w14:textId="77777777" w:rsidR="00FE5D64" w:rsidRDefault="00E40776">
            <w:pPr>
              <w:pStyle w:val="P68B1DB1-Normal61"/>
              <w:spacing w:before="120" w:after="120" w:line="276" w:lineRule="auto"/>
            </w:pPr>
            <w:r>
              <w:t>Указания</w:t>
            </w:r>
          </w:p>
        </w:tc>
      </w:tr>
      <w:tr w:rsidR="00FE5D64" w14:paraId="7FE1C6E3" w14:textId="77777777">
        <w:trPr>
          <w:trHeight w:val="450"/>
        </w:trPr>
        <w:tc>
          <w:tcPr>
            <w:tcW w:w="1418" w:type="dxa"/>
            <w:shd w:val="clear" w:color="auto" w:fill="FFFFFF"/>
          </w:tcPr>
          <w:p w14:paraId="7FE1C6DF" w14:textId="77777777" w:rsidR="00FE5D64" w:rsidRDefault="00E40776">
            <w:pPr>
              <w:pStyle w:val="P68B1DB1-Normal62"/>
              <w:spacing w:before="120" w:after="120" w:line="276" w:lineRule="auto"/>
            </w:pPr>
            <w:r>
              <w:t>0005</w:t>
            </w:r>
          </w:p>
        </w:tc>
        <w:tc>
          <w:tcPr>
            <w:tcW w:w="7508" w:type="dxa"/>
            <w:shd w:val="clear" w:color="auto" w:fill="FFFFFF"/>
          </w:tcPr>
          <w:p w14:paraId="7FE1C6E0" w14:textId="77777777" w:rsidR="00FE5D64" w:rsidRDefault="00E40776">
            <w:pPr>
              <w:pStyle w:val="P68B1DB1-Normal61"/>
              <w:spacing w:before="120" w:after="120" w:line="276" w:lineRule="auto"/>
            </w:pPr>
            <w:r>
              <w:t xml:space="preserve">Service Identifier (идентификатор на услугата) </w:t>
            </w:r>
          </w:p>
          <w:p w14:paraId="7FE1C6E1" w14:textId="77777777" w:rsidR="00FE5D64" w:rsidRDefault="00E40776">
            <w:pPr>
              <w:pStyle w:val="P68B1DB1-Normal62"/>
              <w:spacing w:before="120" w:after="120" w:line="276" w:lineRule="auto"/>
            </w:pPr>
            <w:r>
              <w:t>Използва се идентификаторът на услугата, докладван в Z 08.01 (SERV 1).</w:t>
            </w:r>
          </w:p>
          <w:p w14:paraId="7FE1C6E2" w14:textId="77777777" w:rsidR="00FE5D64" w:rsidRDefault="00E40776">
            <w:pPr>
              <w:pStyle w:val="P68B1DB1-Normal62"/>
              <w:spacing w:before="120" w:after="120" w:line="276" w:lineRule="auto"/>
              <w:rPr>
                <w:i/>
              </w:rPr>
            </w:pPr>
            <w:r>
              <w:t>Идентификаторът на услугата се отнася до услугата, докладвана в c0020.</w:t>
            </w:r>
          </w:p>
        </w:tc>
      </w:tr>
      <w:tr w:rsidR="00FE5D64" w14:paraId="7FE1C727" w14:textId="77777777">
        <w:trPr>
          <w:trHeight w:val="450"/>
        </w:trPr>
        <w:tc>
          <w:tcPr>
            <w:tcW w:w="1418" w:type="dxa"/>
            <w:shd w:val="clear" w:color="auto" w:fill="FFFFFF"/>
          </w:tcPr>
          <w:p w14:paraId="7FE1C6E4" w14:textId="77777777" w:rsidR="00FE5D64" w:rsidRDefault="00E40776">
            <w:pPr>
              <w:pStyle w:val="P68B1DB1-Normal62"/>
              <w:spacing w:before="120" w:after="120" w:line="276" w:lineRule="auto"/>
            </w:pPr>
            <w:r>
              <w:lastRenderedPageBreak/>
              <w:t>0010</w:t>
            </w:r>
          </w:p>
        </w:tc>
        <w:tc>
          <w:tcPr>
            <w:tcW w:w="7508" w:type="dxa"/>
            <w:shd w:val="clear" w:color="auto" w:fill="FFFFFF"/>
          </w:tcPr>
          <w:p w14:paraId="7FE1C6E5" w14:textId="77777777" w:rsidR="00FE5D64" w:rsidRDefault="00E40776">
            <w:pPr>
              <w:pStyle w:val="P68B1DB1-Normal61"/>
              <w:autoSpaceDE w:val="0"/>
              <w:autoSpaceDN w:val="0"/>
              <w:adjustRightInd w:val="0"/>
              <w:rPr>
                <w:rFonts w:eastAsia="MS Mincho"/>
                <w:bCs/>
              </w:rPr>
            </w:pPr>
            <w:r>
              <w:t xml:space="preserve">Вид услуга </w:t>
            </w:r>
          </w:p>
          <w:p w14:paraId="7FE1C6E6" w14:textId="328A5068" w:rsidR="00FE5D64" w:rsidRDefault="00E40776">
            <w:pPr>
              <w:pStyle w:val="P68B1DB1-Normal63"/>
              <w:autoSpaceDE w:val="0"/>
              <w:autoSpaceDN w:val="0"/>
              <w:adjustRightInd w:val="0"/>
            </w:pPr>
            <w:r>
              <w:t xml:space="preserve">Видът на услугата е един от видовете услуги, изброени в Z 08.01 0010 по-горе. </w:t>
            </w:r>
          </w:p>
          <w:p w14:paraId="7FE1C726" w14:textId="7C7FFCB5" w:rsidR="00FE5D64" w:rsidRDefault="00FE5D64">
            <w:pPr>
              <w:spacing w:before="120" w:after="120" w:line="276" w:lineRule="auto"/>
              <w:rPr>
                <w:rFonts w:ascii="Times New Roman" w:hAnsi="Times New Roman"/>
                <w:sz w:val="20"/>
                <w:szCs w:val="20"/>
              </w:rPr>
            </w:pPr>
          </w:p>
        </w:tc>
      </w:tr>
      <w:tr w:rsidR="00FE5D64" w14:paraId="7FE1C72C" w14:textId="77777777">
        <w:trPr>
          <w:trHeight w:val="450"/>
        </w:trPr>
        <w:tc>
          <w:tcPr>
            <w:tcW w:w="1418" w:type="dxa"/>
            <w:shd w:val="clear" w:color="auto" w:fill="FFFFFF"/>
          </w:tcPr>
          <w:p w14:paraId="7FE1C728" w14:textId="77777777" w:rsidR="00FE5D64" w:rsidRDefault="00E40776">
            <w:pPr>
              <w:pStyle w:val="P68B1DB1-Normal62"/>
              <w:spacing w:before="120" w:after="120" w:line="276" w:lineRule="auto"/>
            </w:pPr>
            <w:r>
              <w:t>0020</w:t>
            </w:r>
          </w:p>
        </w:tc>
        <w:tc>
          <w:tcPr>
            <w:tcW w:w="7508" w:type="dxa"/>
            <w:shd w:val="clear" w:color="auto" w:fill="FFFFFF"/>
          </w:tcPr>
          <w:p w14:paraId="7FE1C729" w14:textId="77777777" w:rsidR="00FE5D64" w:rsidRDefault="00E40776">
            <w:pPr>
              <w:pStyle w:val="P68B1DB1-Normal65"/>
              <w:spacing w:line="276" w:lineRule="auto"/>
              <w:jc w:val="both"/>
            </w:pPr>
            <w:r>
              <w:rPr>
                <w:szCs w:val="20"/>
              </w:rPr>
              <w:t>Уникално наименование на услугата съгласно таксономията на банката</w:t>
            </w:r>
            <w:r>
              <w:t xml:space="preserve"> </w:t>
            </w:r>
          </w:p>
          <w:p w14:paraId="7FE1C72A" w14:textId="14809522" w:rsidR="00FE5D64" w:rsidRDefault="00E40776">
            <w:pPr>
              <w:pStyle w:val="P68B1DB1-Normal64"/>
            </w:pPr>
            <w:r>
              <w:t>Наименование/кратко описание на услугата според собствената диференцирана таксономия на банката (ниво 3), както е отчетено в Z 08.01 (SERV 1), колона 0020. От банката се очаква да отчита услугите на по-детайлно ниво от предвиденото за ниво 2 (c0010), така че всяка конкретна услуга да бъде определена точно и целенасочено.</w:t>
            </w:r>
          </w:p>
          <w:p w14:paraId="7FE1C72B" w14:textId="77777777" w:rsidR="00FE5D64" w:rsidRDefault="00FE5D64">
            <w:pPr>
              <w:spacing w:before="120" w:after="120" w:line="276" w:lineRule="auto"/>
              <w:rPr>
                <w:rFonts w:ascii="Times New Roman" w:hAnsi="Times New Roman"/>
                <w:sz w:val="20"/>
                <w:szCs w:val="20"/>
              </w:rPr>
            </w:pPr>
          </w:p>
        </w:tc>
      </w:tr>
      <w:tr w:rsidR="00FE5D64" w14:paraId="7FE1C731" w14:textId="77777777">
        <w:trPr>
          <w:trHeight w:val="450"/>
        </w:trPr>
        <w:tc>
          <w:tcPr>
            <w:tcW w:w="1418" w:type="dxa"/>
            <w:shd w:val="clear" w:color="auto" w:fill="FFFFFF"/>
          </w:tcPr>
          <w:p w14:paraId="7FE1C72D" w14:textId="77777777" w:rsidR="00FE5D64" w:rsidRDefault="00E40776">
            <w:pPr>
              <w:pStyle w:val="P68B1DB1-Normal62"/>
              <w:spacing w:before="120" w:after="120" w:line="276" w:lineRule="auto"/>
            </w:pPr>
            <w:r>
              <w:t>0030—0040</w:t>
            </w:r>
          </w:p>
        </w:tc>
        <w:tc>
          <w:tcPr>
            <w:tcW w:w="7508" w:type="dxa"/>
            <w:shd w:val="clear" w:color="auto" w:fill="FFFFFF"/>
          </w:tcPr>
          <w:p w14:paraId="7FE1C72E" w14:textId="77777777" w:rsidR="00FE5D64" w:rsidRDefault="00E40776">
            <w:pPr>
              <w:pStyle w:val="P68B1DB1-Normal65"/>
              <w:spacing w:line="276" w:lineRule="auto"/>
              <w:jc w:val="both"/>
              <w:rPr>
                <w:bCs/>
              </w:rPr>
            </w:pPr>
            <w:r>
              <w:rPr>
                <w:szCs w:val="20"/>
              </w:rPr>
              <w:t>Критична функция</w:t>
            </w:r>
            <w:r>
              <w:t xml:space="preserve"> </w:t>
            </w:r>
          </w:p>
          <w:p w14:paraId="7FE1C72F" w14:textId="77777777" w:rsidR="00FE5D64" w:rsidRDefault="00E40776">
            <w:pPr>
              <w:pStyle w:val="P68B1DB1-Normal64"/>
              <w:spacing w:line="276" w:lineRule="auto"/>
              <w:jc w:val="both"/>
            </w:pPr>
            <w:r>
              <w:t>Критичната функция, чието изпълнение би било сериозно затруднено или напълно възпрепятствано в случай на нарушаване на критичната услуга. Това е една от функциите, оценени като критични в образец Z 07.01 (FUNC 1).</w:t>
            </w:r>
          </w:p>
          <w:p w14:paraId="7FE1C730" w14:textId="77777777" w:rsidR="00FE5D64" w:rsidRDefault="00FE5D64">
            <w:pPr>
              <w:spacing w:line="276" w:lineRule="auto"/>
              <w:jc w:val="both"/>
              <w:rPr>
                <w:rFonts w:ascii="Times New Roman" w:hAnsi="Times New Roman"/>
                <w:sz w:val="20"/>
              </w:rPr>
            </w:pPr>
          </w:p>
        </w:tc>
      </w:tr>
      <w:tr w:rsidR="00FE5D64" w14:paraId="7FE1C736" w14:textId="77777777">
        <w:trPr>
          <w:trHeight w:val="450"/>
        </w:trPr>
        <w:tc>
          <w:tcPr>
            <w:tcW w:w="1418" w:type="dxa"/>
            <w:shd w:val="clear" w:color="auto" w:fill="FFFFFF"/>
          </w:tcPr>
          <w:p w14:paraId="7FE1C732" w14:textId="77777777" w:rsidR="00FE5D64" w:rsidRDefault="00E40776">
            <w:pPr>
              <w:pStyle w:val="P68B1DB1-Normal64"/>
              <w:spacing w:before="120" w:after="120" w:line="276" w:lineRule="auto"/>
              <w:rPr>
                <w:szCs w:val="20"/>
              </w:rPr>
            </w:pPr>
            <w:r>
              <w:t>0030</w:t>
            </w:r>
          </w:p>
        </w:tc>
        <w:tc>
          <w:tcPr>
            <w:tcW w:w="7508" w:type="dxa"/>
            <w:shd w:val="clear" w:color="auto" w:fill="FFFFFF"/>
          </w:tcPr>
          <w:p w14:paraId="7FE1C733" w14:textId="77777777" w:rsidR="00FE5D64" w:rsidRDefault="00E40776">
            <w:pPr>
              <w:pStyle w:val="P68B1DB1-Normal65"/>
              <w:spacing w:line="276" w:lineRule="auto"/>
              <w:jc w:val="both"/>
              <w:rPr>
                <w:bCs/>
              </w:rPr>
            </w:pPr>
            <w:r>
              <w:t>Държава</w:t>
            </w:r>
          </w:p>
          <w:p w14:paraId="7FE1C734" w14:textId="77777777" w:rsidR="00FE5D64" w:rsidRDefault="00E40776">
            <w:pPr>
              <w:pStyle w:val="P68B1DB1-Normal64"/>
              <w:spacing w:line="276" w:lineRule="auto"/>
              <w:jc w:val="both"/>
            </w:pPr>
            <w:r>
              <w:t>Държава членка, за която функцията е критична, съгласно посоченото в Z 07.01 (FUNC 1).</w:t>
            </w:r>
          </w:p>
          <w:p w14:paraId="7FE1C735" w14:textId="77777777" w:rsidR="00FE5D64" w:rsidRDefault="00FE5D64">
            <w:pPr>
              <w:spacing w:line="276" w:lineRule="auto"/>
              <w:jc w:val="both"/>
              <w:rPr>
                <w:rFonts w:ascii="Times New Roman" w:hAnsi="Times New Roman"/>
                <w:sz w:val="20"/>
              </w:rPr>
            </w:pPr>
          </w:p>
        </w:tc>
      </w:tr>
      <w:tr w:rsidR="00FE5D64" w14:paraId="7FE1C73B" w14:textId="77777777">
        <w:trPr>
          <w:trHeight w:val="450"/>
        </w:trPr>
        <w:tc>
          <w:tcPr>
            <w:tcW w:w="1418" w:type="dxa"/>
            <w:shd w:val="clear" w:color="auto" w:fill="FFFFFF"/>
          </w:tcPr>
          <w:p w14:paraId="7FE1C737" w14:textId="77777777" w:rsidR="00FE5D64" w:rsidRDefault="00E40776">
            <w:pPr>
              <w:pStyle w:val="P68B1DB1-Normal64"/>
              <w:spacing w:before="120" w:after="120" w:line="276" w:lineRule="auto"/>
              <w:rPr>
                <w:szCs w:val="20"/>
              </w:rPr>
            </w:pPr>
            <w:r>
              <w:t>0040</w:t>
            </w:r>
          </w:p>
        </w:tc>
        <w:tc>
          <w:tcPr>
            <w:tcW w:w="7508" w:type="dxa"/>
            <w:shd w:val="clear" w:color="auto" w:fill="FFFFFF"/>
          </w:tcPr>
          <w:p w14:paraId="7FE1C738" w14:textId="77777777" w:rsidR="00FE5D64" w:rsidRDefault="00E40776">
            <w:pPr>
              <w:pStyle w:val="P68B1DB1-Normal65"/>
              <w:spacing w:line="276" w:lineRule="auto"/>
              <w:jc w:val="both"/>
              <w:rPr>
                <w:bCs/>
              </w:rPr>
            </w:pPr>
            <w:r>
              <w:t>ИДЕНТИФИКАТОР</w:t>
            </w:r>
          </w:p>
          <w:p w14:paraId="7FE1C739" w14:textId="77777777" w:rsidR="00FE5D64" w:rsidRDefault="00E40776">
            <w:pPr>
              <w:pStyle w:val="P68B1DB1-Normal64"/>
              <w:spacing w:line="276" w:lineRule="auto"/>
              <w:jc w:val="both"/>
            </w:pPr>
            <w:r>
              <w:t>Идентификационният код на критичните функции съгласно определението в глава 2.7.1.4 по-горе и посоченото в образец Z 07.01 (FUNC 1).</w:t>
            </w:r>
          </w:p>
          <w:p w14:paraId="7FE1C73A" w14:textId="77777777" w:rsidR="00FE5D64" w:rsidRDefault="00FE5D64">
            <w:pPr>
              <w:spacing w:line="276" w:lineRule="auto"/>
              <w:jc w:val="both"/>
              <w:rPr>
                <w:rFonts w:ascii="Times New Roman" w:hAnsi="Times New Roman"/>
                <w:sz w:val="20"/>
              </w:rPr>
            </w:pPr>
          </w:p>
        </w:tc>
      </w:tr>
    </w:tbl>
    <w:p w14:paraId="7FE1C746" w14:textId="77777777" w:rsidR="00FE5D64" w:rsidRDefault="00FE5D64">
      <w:pPr>
        <w:rPr>
          <w:rFonts w:ascii="Times New Roman" w:hAnsi="Times New Roman" w:cs="Times New Roman"/>
        </w:rPr>
      </w:pPr>
    </w:p>
    <w:p w14:paraId="7FE1C747" w14:textId="77777777" w:rsidR="00FE5D64" w:rsidRDefault="00FE5D64">
      <w:pPr>
        <w:pStyle w:val="Instructionsberschrift2"/>
        <w:rPr>
          <w:rFonts w:ascii="Times New Roman" w:eastAsia="Calibri" w:hAnsi="Times New Roman" w:cs="Times New Roman"/>
          <w:szCs w:val="20"/>
        </w:rPr>
      </w:pPr>
    </w:p>
    <w:p w14:paraId="7FE1C748" w14:textId="77777777" w:rsidR="00FE5D64" w:rsidRDefault="00E40776">
      <w:pPr>
        <w:pStyle w:val="P68B1DB1-Instructionsberschrift25"/>
        <w:numPr>
          <w:ilvl w:val="1"/>
          <w:numId w:val="49"/>
        </w:numPr>
        <w:ind w:left="357" w:hanging="357"/>
        <w:rPr>
          <w:rFonts w:eastAsia="Calibri"/>
          <w:szCs w:val="20"/>
        </w:rPr>
      </w:pPr>
      <w:bookmarkStart w:id="134" w:name="_Toc208244477"/>
      <w:r>
        <w:t>Z 08.05 — Основни услуги — картографиране по основни стопански дейности (SERV 5)</w:t>
      </w:r>
      <w:bookmarkEnd w:id="134"/>
    </w:p>
    <w:p w14:paraId="7FE1C749" w14:textId="77777777" w:rsidR="00FE5D64" w:rsidRDefault="00E40776">
      <w:pPr>
        <w:pStyle w:val="P68B1DB1-Normal70"/>
        <w:spacing w:line="276" w:lineRule="auto"/>
        <w:jc w:val="both"/>
        <w:rPr>
          <w:sz w:val="20"/>
          <w:szCs w:val="20"/>
        </w:rPr>
      </w:pPr>
      <w:r>
        <w:t>Указания относно определени позиции</w:t>
      </w:r>
    </w:p>
    <w:p w14:paraId="7FE1C74A" w14:textId="77777777" w:rsidR="00FE5D64" w:rsidRDefault="00E40776">
      <w:pPr>
        <w:pStyle w:val="P68B1DB1-Instructionsberschrift368"/>
        <w:numPr>
          <w:ilvl w:val="2"/>
          <w:numId w:val="210"/>
        </w:numPr>
        <w:ind w:left="1418"/>
        <w:contextualSpacing/>
        <w:jc w:val="both"/>
      </w:pPr>
      <w:r>
        <w:t>Информацията, която трябва да се включи в този образец, се отчита веднъж за цялата група; изброяват се критичните услуги, ползвани от всеки субект в групата, и се свързват с критичните функции, изпълнявани от групата.</w:t>
      </w:r>
    </w:p>
    <w:p w14:paraId="7FE1C74B" w14:textId="77777777" w:rsidR="00FE5D64" w:rsidRDefault="00E40776">
      <w:pPr>
        <w:pStyle w:val="P68B1DB1-Instructionsberschrift368"/>
        <w:numPr>
          <w:ilvl w:val="2"/>
          <w:numId w:val="210"/>
        </w:numPr>
        <w:ind w:left="1418"/>
        <w:contextualSpacing/>
        <w:jc w:val="both"/>
      </w:pPr>
      <w:r>
        <w:t>Стойностите, отчетени в колони 0010, 0020 и 0040 от този образец, формира първичен код, който трябва да е уникален за всеки ред от образеца.</w:t>
      </w:r>
    </w:p>
    <w:p w14:paraId="7FE1C74C" w14:textId="77777777" w:rsidR="00FE5D64" w:rsidRDefault="00FE5D64">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FE5D64" w14:paraId="7FE1C74F" w14:textId="77777777">
        <w:trPr>
          <w:trHeight w:val="644"/>
          <w:tblHeader/>
        </w:trPr>
        <w:tc>
          <w:tcPr>
            <w:tcW w:w="1418" w:type="dxa"/>
            <w:shd w:val="clear" w:color="auto" w:fill="E7E6E6"/>
          </w:tcPr>
          <w:p w14:paraId="7FE1C74D" w14:textId="77777777" w:rsidR="00FE5D64" w:rsidRDefault="00E40776">
            <w:pPr>
              <w:pStyle w:val="P68B1DB1-Normal61"/>
              <w:spacing w:before="120" w:after="120" w:line="276" w:lineRule="auto"/>
            </w:pPr>
            <w:r>
              <w:t>Колони</w:t>
            </w:r>
          </w:p>
        </w:tc>
        <w:tc>
          <w:tcPr>
            <w:tcW w:w="7649" w:type="dxa"/>
            <w:shd w:val="clear" w:color="auto" w:fill="E7E6E6"/>
          </w:tcPr>
          <w:p w14:paraId="7FE1C74E" w14:textId="77777777" w:rsidR="00FE5D64" w:rsidRDefault="00E40776">
            <w:pPr>
              <w:pStyle w:val="P68B1DB1-Normal61"/>
              <w:spacing w:before="120" w:after="120" w:line="276" w:lineRule="auto"/>
            </w:pPr>
            <w:r>
              <w:t>Указания</w:t>
            </w:r>
          </w:p>
        </w:tc>
      </w:tr>
      <w:tr w:rsidR="00FE5D64" w14:paraId="7FE1C754" w14:textId="77777777">
        <w:trPr>
          <w:trHeight w:val="450"/>
        </w:trPr>
        <w:tc>
          <w:tcPr>
            <w:tcW w:w="1418" w:type="dxa"/>
            <w:shd w:val="clear" w:color="auto" w:fill="FFFFFF"/>
          </w:tcPr>
          <w:p w14:paraId="7FE1C750" w14:textId="77777777" w:rsidR="00FE5D64" w:rsidRDefault="00E40776">
            <w:pPr>
              <w:pStyle w:val="P68B1DB1-Normal62"/>
              <w:spacing w:before="120" w:after="120" w:line="276" w:lineRule="auto"/>
            </w:pPr>
            <w:r>
              <w:t>0005</w:t>
            </w:r>
          </w:p>
        </w:tc>
        <w:tc>
          <w:tcPr>
            <w:tcW w:w="7649" w:type="dxa"/>
            <w:shd w:val="clear" w:color="auto" w:fill="FFFFFF"/>
          </w:tcPr>
          <w:p w14:paraId="7FE1C751" w14:textId="77777777" w:rsidR="00FE5D64" w:rsidRDefault="00E40776">
            <w:pPr>
              <w:pStyle w:val="P68B1DB1-Normal61"/>
              <w:spacing w:before="120" w:after="120" w:line="276" w:lineRule="auto"/>
            </w:pPr>
            <w:r>
              <w:t xml:space="preserve">Service Identifier (идентификатор на услугата) </w:t>
            </w:r>
          </w:p>
          <w:p w14:paraId="7FE1C752" w14:textId="77777777" w:rsidR="00FE5D64" w:rsidRDefault="00E40776">
            <w:pPr>
              <w:pStyle w:val="P68B1DB1-Normal62"/>
              <w:spacing w:before="120" w:after="120" w:line="276" w:lineRule="auto"/>
            </w:pPr>
            <w:r>
              <w:t>Използва се идентификаторът на услугата, докладван в Z 08.01 (SERV 1).</w:t>
            </w:r>
          </w:p>
          <w:p w14:paraId="7FE1C753" w14:textId="77777777" w:rsidR="00FE5D64" w:rsidRDefault="00E40776">
            <w:pPr>
              <w:pStyle w:val="P68B1DB1-Normal62"/>
              <w:spacing w:before="120" w:after="120" w:line="276" w:lineRule="auto"/>
              <w:rPr>
                <w:i/>
              </w:rPr>
            </w:pPr>
            <w:r>
              <w:t>Идентификаторът на услугата се отнася до услугата, докладвана в c0020.</w:t>
            </w:r>
          </w:p>
        </w:tc>
      </w:tr>
      <w:tr w:rsidR="00FE5D64" w14:paraId="7FE1C798" w14:textId="77777777">
        <w:trPr>
          <w:trHeight w:val="450"/>
        </w:trPr>
        <w:tc>
          <w:tcPr>
            <w:tcW w:w="1418" w:type="dxa"/>
            <w:shd w:val="clear" w:color="auto" w:fill="FFFFFF"/>
          </w:tcPr>
          <w:p w14:paraId="7FE1C755" w14:textId="77777777" w:rsidR="00FE5D64" w:rsidRDefault="00E40776">
            <w:pPr>
              <w:pStyle w:val="P68B1DB1-Normal62"/>
              <w:spacing w:before="120" w:after="120" w:line="276" w:lineRule="auto"/>
            </w:pPr>
            <w:r>
              <w:t>0010</w:t>
            </w:r>
          </w:p>
        </w:tc>
        <w:tc>
          <w:tcPr>
            <w:tcW w:w="7649" w:type="dxa"/>
            <w:shd w:val="clear" w:color="auto" w:fill="FFFFFF"/>
          </w:tcPr>
          <w:p w14:paraId="7FE1C756" w14:textId="77777777" w:rsidR="00FE5D64" w:rsidRDefault="00E40776">
            <w:pPr>
              <w:pStyle w:val="P68B1DB1-Normal61"/>
              <w:autoSpaceDE w:val="0"/>
              <w:autoSpaceDN w:val="0"/>
              <w:adjustRightInd w:val="0"/>
              <w:rPr>
                <w:rFonts w:eastAsia="MS Mincho"/>
                <w:bCs/>
              </w:rPr>
            </w:pPr>
            <w:r>
              <w:t xml:space="preserve">Вид услуга </w:t>
            </w:r>
          </w:p>
          <w:p w14:paraId="7FE1C757" w14:textId="15BF69BF" w:rsidR="00FE5D64" w:rsidRDefault="00E40776">
            <w:pPr>
              <w:pStyle w:val="P68B1DB1-Normal63"/>
              <w:autoSpaceDE w:val="0"/>
              <w:autoSpaceDN w:val="0"/>
              <w:adjustRightInd w:val="0"/>
            </w:pPr>
            <w:r>
              <w:t xml:space="preserve">Видът на услугата е един от видовете услуги, изброени в Z 08.01 0010 по-горе. </w:t>
            </w:r>
          </w:p>
          <w:p w14:paraId="7FE1C797" w14:textId="77777777" w:rsidR="00FE5D64" w:rsidRDefault="00FE5D64">
            <w:pPr>
              <w:autoSpaceDE w:val="0"/>
              <w:autoSpaceDN w:val="0"/>
              <w:adjustRightInd w:val="0"/>
              <w:rPr>
                <w:rFonts w:ascii="Times New Roman" w:hAnsi="Times New Roman"/>
                <w:sz w:val="20"/>
                <w:szCs w:val="20"/>
              </w:rPr>
            </w:pPr>
          </w:p>
        </w:tc>
      </w:tr>
      <w:tr w:rsidR="00FE5D64" w14:paraId="7FE1C79D" w14:textId="77777777">
        <w:trPr>
          <w:trHeight w:val="450"/>
        </w:trPr>
        <w:tc>
          <w:tcPr>
            <w:tcW w:w="1418" w:type="dxa"/>
            <w:shd w:val="clear" w:color="auto" w:fill="FFFFFF"/>
          </w:tcPr>
          <w:p w14:paraId="7FE1C799" w14:textId="77777777" w:rsidR="00FE5D64" w:rsidRDefault="00E40776">
            <w:pPr>
              <w:pStyle w:val="P68B1DB1-Normal62"/>
              <w:spacing w:before="120" w:after="120" w:line="276" w:lineRule="auto"/>
            </w:pPr>
            <w:r>
              <w:t>0020</w:t>
            </w:r>
          </w:p>
        </w:tc>
        <w:tc>
          <w:tcPr>
            <w:tcW w:w="7649" w:type="dxa"/>
            <w:shd w:val="clear" w:color="auto" w:fill="FFFFFF"/>
          </w:tcPr>
          <w:p w14:paraId="7FE1C79A" w14:textId="77777777" w:rsidR="00FE5D64" w:rsidRDefault="00E40776">
            <w:pPr>
              <w:pStyle w:val="P68B1DB1-Normal65"/>
              <w:spacing w:line="276" w:lineRule="auto"/>
              <w:jc w:val="both"/>
            </w:pPr>
            <w:r>
              <w:rPr>
                <w:szCs w:val="20"/>
              </w:rPr>
              <w:t>Уникално наименование на услугата съгласно таксономията на банката</w:t>
            </w:r>
            <w:r>
              <w:t xml:space="preserve"> </w:t>
            </w:r>
          </w:p>
          <w:p w14:paraId="7FE1C79B" w14:textId="18F1A227" w:rsidR="00FE5D64" w:rsidRDefault="00E40776">
            <w:pPr>
              <w:pStyle w:val="P68B1DB1-Normal64"/>
            </w:pPr>
            <w:r>
              <w:lastRenderedPageBreak/>
              <w:t>Наименование/кратко описание на услугата според собствената диференцирана таксономия на банката (ниво 3), както е отчетено в Z 08.01 (SERV 1), колона 0020. От банката се очаква да отчита услугите на по-детайлно ниво от предвиденото за ниво 2 (c0010), така че всяка конкретна услуга да бъде определена точно и целенасочено.</w:t>
            </w:r>
          </w:p>
          <w:p w14:paraId="7FE1C79C" w14:textId="77777777" w:rsidR="00FE5D64" w:rsidRDefault="00FE5D64">
            <w:pPr>
              <w:spacing w:before="120" w:after="120" w:line="276" w:lineRule="auto"/>
              <w:rPr>
                <w:rFonts w:ascii="Times New Roman" w:hAnsi="Times New Roman"/>
                <w:sz w:val="20"/>
                <w:szCs w:val="20"/>
              </w:rPr>
            </w:pPr>
          </w:p>
        </w:tc>
      </w:tr>
      <w:tr w:rsidR="00FE5D64" w14:paraId="7FE1C7A2" w14:textId="77777777">
        <w:trPr>
          <w:trHeight w:val="450"/>
        </w:trPr>
        <w:tc>
          <w:tcPr>
            <w:tcW w:w="1418" w:type="dxa"/>
            <w:shd w:val="clear" w:color="auto" w:fill="FFFFFF"/>
          </w:tcPr>
          <w:p w14:paraId="7FE1C79E" w14:textId="77777777" w:rsidR="00FE5D64" w:rsidRDefault="00E40776">
            <w:pPr>
              <w:pStyle w:val="P68B1DB1-Normal64"/>
              <w:spacing w:before="120" w:after="120" w:line="276" w:lineRule="auto"/>
              <w:rPr>
                <w:szCs w:val="20"/>
              </w:rPr>
            </w:pPr>
            <w:r>
              <w:lastRenderedPageBreak/>
              <w:t>0030—0040</w:t>
            </w:r>
          </w:p>
        </w:tc>
        <w:tc>
          <w:tcPr>
            <w:tcW w:w="7649" w:type="dxa"/>
            <w:shd w:val="clear" w:color="auto" w:fill="FFFFFF"/>
          </w:tcPr>
          <w:p w14:paraId="7FE1C79F" w14:textId="77777777" w:rsidR="00FE5D64" w:rsidRDefault="00E40776">
            <w:pPr>
              <w:pStyle w:val="P68B1DB1-Normal65"/>
              <w:spacing w:line="276" w:lineRule="auto"/>
              <w:jc w:val="both"/>
            </w:pPr>
            <w:r>
              <w:rPr>
                <w:szCs w:val="20"/>
              </w:rPr>
              <w:t>Основна стопанска дейност</w:t>
            </w:r>
            <w:r>
              <w:t xml:space="preserve"> </w:t>
            </w:r>
          </w:p>
          <w:p w14:paraId="7FE1C7A0" w14:textId="69CF44DD" w:rsidR="00FE5D64" w:rsidRDefault="00E40776">
            <w:pPr>
              <w:pStyle w:val="P68B1DB1-Normal67"/>
              <w:spacing w:line="276" w:lineRule="auto"/>
              <w:jc w:val="both"/>
              <w:rPr>
                <w:sz w:val="20"/>
              </w:rPr>
            </w:pPr>
            <w:r>
              <w:rPr>
                <w:sz w:val="20"/>
              </w:rPr>
              <w:t>Основна стопанска дейност по смисъла на член 2, параграф 1, точка 36 и член 2, параграф 2 от Директива 2014/59/ЕС.</w:t>
            </w:r>
            <w:r>
              <w:t xml:space="preserve"> </w:t>
            </w:r>
          </w:p>
          <w:p w14:paraId="7FE1C7A1" w14:textId="77777777" w:rsidR="00FE5D64" w:rsidRDefault="00FE5D64">
            <w:pPr>
              <w:spacing w:line="276" w:lineRule="auto"/>
              <w:jc w:val="both"/>
              <w:rPr>
                <w:rFonts w:ascii="Times New Roman" w:hAnsi="Times New Roman"/>
                <w:sz w:val="20"/>
              </w:rPr>
            </w:pPr>
          </w:p>
        </w:tc>
      </w:tr>
      <w:tr w:rsidR="00FE5D64" w14:paraId="7FE1C7A7" w14:textId="77777777">
        <w:trPr>
          <w:trHeight w:val="450"/>
        </w:trPr>
        <w:tc>
          <w:tcPr>
            <w:tcW w:w="1418" w:type="dxa"/>
            <w:shd w:val="clear" w:color="auto" w:fill="FFFFFF"/>
          </w:tcPr>
          <w:p w14:paraId="7FE1C7A3" w14:textId="77777777" w:rsidR="00FE5D64" w:rsidRDefault="00E40776">
            <w:pPr>
              <w:pStyle w:val="P68B1DB1-Normal64"/>
              <w:spacing w:before="120" w:after="120" w:line="276" w:lineRule="auto"/>
              <w:rPr>
                <w:szCs w:val="20"/>
              </w:rPr>
            </w:pPr>
            <w:r>
              <w:t>0030</w:t>
            </w:r>
          </w:p>
        </w:tc>
        <w:tc>
          <w:tcPr>
            <w:tcW w:w="7649" w:type="dxa"/>
            <w:shd w:val="clear" w:color="auto" w:fill="FFFFFF"/>
          </w:tcPr>
          <w:p w14:paraId="7FE1C7A4" w14:textId="77777777" w:rsidR="00FE5D64" w:rsidRDefault="00E40776">
            <w:pPr>
              <w:pStyle w:val="P68B1DB1-Normal65"/>
              <w:spacing w:line="276" w:lineRule="auto"/>
              <w:jc w:val="both"/>
              <w:rPr>
                <w:bCs/>
              </w:rPr>
            </w:pPr>
            <w:r>
              <w:t>Наименование</w:t>
            </w:r>
          </w:p>
          <w:p w14:paraId="7FE1C7A5" w14:textId="77777777" w:rsidR="00FE5D64" w:rsidRDefault="00E40776">
            <w:pPr>
              <w:pStyle w:val="P68B1DB1-Normal64"/>
              <w:jc w:val="both"/>
            </w:pPr>
            <w:r>
              <w:t>Това е една от основните стопански дейности, отчетени в образец Z 07.03 0010.</w:t>
            </w:r>
          </w:p>
          <w:p w14:paraId="7FE1C7A6" w14:textId="77777777" w:rsidR="00FE5D64" w:rsidRDefault="00FE5D64">
            <w:pPr>
              <w:spacing w:line="276" w:lineRule="auto"/>
              <w:jc w:val="both"/>
              <w:rPr>
                <w:rFonts w:ascii="Times New Roman" w:hAnsi="Times New Roman"/>
                <w:sz w:val="20"/>
              </w:rPr>
            </w:pPr>
          </w:p>
        </w:tc>
      </w:tr>
      <w:tr w:rsidR="00FE5D64" w14:paraId="7FE1C7AD" w14:textId="77777777">
        <w:trPr>
          <w:trHeight w:val="450"/>
        </w:trPr>
        <w:tc>
          <w:tcPr>
            <w:tcW w:w="1418" w:type="dxa"/>
            <w:shd w:val="clear" w:color="auto" w:fill="FFFFFF"/>
          </w:tcPr>
          <w:p w14:paraId="7FE1C7A8" w14:textId="77777777" w:rsidR="00FE5D64" w:rsidRDefault="00E40776">
            <w:pPr>
              <w:pStyle w:val="P68B1DB1-Normal64"/>
              <w:spacing w:before="120" w:after="120" w:line="276" w:lineRule="auto"/>
              <w:rPr>
                <w:szCs w:val="20"/>
              </w:rPr>
            </w:pPr>
            <w:r>
              <w:t>0040</w:t>
            </w:r>
          </w:p>
        </w:tc>
        <w:tc>
          <w:tcPr>
            <w:tcW w:w="7649" w:type="dxa"/>
            <w:shd w:val="clear" w:color="auto" w:fill="FFFFFF"/>
          </w:tcPr>
          <w:p w14:paraId="7FE1C7A9" w14:textId="77777777" w:rsidR="00FE5D64" w:rsidRDefault="00E40776">
            <w:pPr>
              <w:pStyle w:val="P68B1DB1-Normal65"/>
              <w:spacing w:line="276" w:lineRule="auto"/>
              <w:jc w:val="both"/>
              <w:rPr>
                <w:bCs/>
              </w:rPr>
            </w:pPr>
            <w:r>
              <w:t>ИДЕНТИФИКАТОР</w:t>
            </w:r>
          </w:p>
          <w:p w14:paraId="7FE1C7AA" w14:textId="77777777" w:rsidR="00FE5D64" w:rsidRDefault="00E40776">
            <w:pPr>
              <w:pStyle w:val="P68B1DB1-Normal64"/>
              <w:spacing w:line="276" w:lineRule="auto"/>
              <w:jc w:val="both"/>
            </w:pPr>
            <w:r>
              <w:t xml:space="preserve">Идентификационен номер на основните стопански дейности, чиято непрекъснатост е необходима за ефективното изпълнение на стратегията за преструктуриране и всяко последващо преструктуриране. Това е един от идентификаторите, докладвани в образец Z 07.03 0020. </w:t>
            </w:r>
          </w:p>
          <w:p w14:paraId="7FE1C7AB" w14:textId="77777777" w:rsidR="00FE5D64" w:rsidRDefault="00FE5D64">
            <w:pPr>
              <w:spacing w:line="276" w:lineRule="auto"/>
              <w:jc w:val="both"/>
              <w:rPr>
                <w:rFonts w:ascii="Times New Roman" w:hAnsi="Times New Roman"/>
                <w:sz w:val="20"/>
              </w:rPr>
            </w:pPr>
          </w:p>
          <w:p w14:paraId="7FE1C7AC" w14:textId="77777777" w:rsidR="00FE5D64" w:rsidRDefault="00FE5D64">
            <w:pPr>
              <w:spacing w:line="276" w:lineRule="auto"/>
              <w:jc w:val="both"/>
              <w:rPr>
                <w:rFonts w:ascii="Times New Roman" w:hAnsi="Times New Roman"/>
                <w:sz w:val="20"/>
              </w:rPr>
            </w:pPr>
          </w:p>
        </w:tc>
      </w:tr>
    </w:tbl>
    <w:p w14:paraId="7FE1C7B8" w14:textId="77777777" w:rsidR="00FE5D64" w:rsidRDefault="00FE5D64">
      <w:pPr>
        <w:rPr>
          <w:rFonts w:ascii="Times New Roman" w:hAnsi="Times New Roman" w:cs="Times New Roman"/>
        </w:rPr>
      </w:pPr>
    </w:p>
    <w:p w14:paraId="7FE1C7B9" w14:textId="77777777" w:rsidR="00FE5D64" w:rsidRDefault="00FE5D64">
      <w:pPr>
        <w:pStyle w:val="Instructionsberschrift2"/>
        <w:rPr>
          <w:rFonts w:ascii="Times New Roman" w:eastAsia="Calibri" w:hAnsi="Times New Roman" w:cs="Times New Roman"/>
          <w:szCs w:val="20"/>
        </w:rPr>
      </w:pPr>
    </w:p>
    <w:p w14:paraId="7FE1C7BA" w14:textId="77777777" w:rsidR="00FE5D64" w:rsidRDefault="00E40776">
      <w:pPr>
        <w:pStyle w:val="P68B1DB1-Instructionsberschrift271"/>
        <w:numPr>
          <w:ilvl w:val="1"/>
          <w:numId w:val="49"/>
        </w:numPr>
        <w:ind w:left="357" w:hanging="357"/>
      </w:pPr>
      <w:bookmarkStart w:id="135" w:name="_Toc208244478"/>
      <w:r>
        <w:t>Услуги на FMI</w:t>
      </w:r>
      <w:bookmarkEnd w:id="135"/>
    </w:p>
    <w:p w14:paraId="7FE1C7BC" w14:textId="227D5127" w:rsidR="00FE5D64" w:rsidRDefault="00E40776">
      <w:pPr>
        <w:pStyle w:val="P68B1DB1-Numberedtitlelevel372"/>
      </w:pPr>
      <w:r>
        <w:t>Общи бележки</w:t>
      </w:r>
    </w:p>
    <w:p w14:paraId="7FE1C7BD" w14:textId="77777777" w:rsidR="00FE5D64" w:rsidRDefault="00E40776">
      <w:pPr>
        <w:pStyle w:val="P68B1DB1-InstructionsText26"/>
        <w:numPr>
          <w:ilvl w:val="2"/>
          <w:numId w:val="209"/>
        </w:numPr>
        <w:spacing w:before="0"/>
        <w:ind w:left="1276"/>
      </w:pPr>
      <w:r>
        <w:t>Докладва се целият пряк и непряк достъп до ИФП и системите, посочени в колона 0040 по-долу. В настоящия образец се предоставя информация веднъж за цялата институция или група.</w:t>
      </w:r>
    </w:p>
    <w:p w14:paraId="7FE1C7BE" w14:textId="77777777" w:rsidR="00FE5D64" w:rsidRDefault="00E40776">
      <w:pPr>
        <w:pStyle w:val="P68B1DB1-InstructionsText26"/>
        <w:numPr>
          <w:ilvl w:val="2"/>
          <w:numId w:val="209"/>
        </w:numPr>
        <w:spacing w:before="0"/>
        <w:ind w:left="1276"/>
      </w:pPr>
      <w:r>
        <w:t>В настоящия образец се предоставя информация веднъж за цялата институция или група. Всеки съответен правен субект, който има пряк или непряк достъп до ИФП, се отчита отделно като потребител. Докладвайте както вътрешногруповите, така и отношенията с трети страни.</w:t>
      </w:r>
    </w:p>
    <w:p w14:paraId="7FE1C7BF" w14:textId="5CCDA51A" w:rsidR="00FE5D64" w:rsidRDefault="00E40776">
      <w:pPr>
        <w:pStyle w:val="P68B1DB1-ListParagraph32"/>
        <w:numPr>
          <w:ilvl w:val="2"/>
          <w:numId w:val="209"/>
        </w:numPr>
        <w:ind w:left="1276"/>
      </w:pPr>
      <w:r>
        <w:t>Комбинацията на стойностите, докладвани в колони 0030, 0040, 0070 и 0110 от настоящия образец, формира първичен код, който трябва да е собствен за всеки ред от образеца и се докладва като първа колона на всеки образец.</w:t>
      </w:r>
    </w:p>
    <w:p w14:paraId="7FE1C7C0" w14:textId="77777777" w:rsidR="00FE5D64" w:rsidRDefault="00FE5D64">
      <w:pPr>
        <w:pStyle w:val="ListParagraph"/>
        <w:ind w:left="1276"/>
        <w:rPr>
          <w:rFonts w:ascii="Times New Roman" w:eastAsia="Times New Roman" w:hAnsi="Times New Roman"/>
          <w:sz w:val="20"/>
          <w:szCs w:val="20"/>
        </w:rPr>
      </w:pPr>
    </w:p>
    <w:p w14:paraId="7FE1C7C1" w14:textId="77777777" w:rsidR="00FE5D64" w:rsidRDefault="00E40776">
      <w:pPr>
        <w:pStyle w:val="P68B1DB1-InstructionsText26"/>
        <w:numPr>
          <w:ilvl w:val="2"/>
          <w:numId w:val="209"/>
        </w:numPr>
        <w:spacing w:before="0"/>
        <w:ind w:left="1276"/>
      </w:pPr>
      <w:r>
        <w:t>Ако е необходимо да се отчете повече от една позиция в свободни полета, всяка позиция се разделя с точка и запетая (;).</w:t>
      </w:r>
    </w:p>
    <w:p w14:paraId="7FE1C7C2" w14:textId="77777777" w:rsidR="00FE5D64" w:rsidRDefault="00FE5D64">
      <w:pPr>
        <w:pStyle w:val="Instructionsberschrift2"/>
        <w:ind w:left="357"/>
        <w:rPr>
          <w:rFonts w:ascii="Times New Roman" w:eastAsia="Calibri" w:hAnsi="Times New Roman" w:cs="Times New Roman"/>
          <w:szCs w:val="20"/>
        </w:rPr>
      </w:pPr>
    </w:p>
    <w:p w14:paraId="7FE1C7C3" w14:textId="77777777" w:rsidR="00FE5D64" w:rsidRDefault="00E40776">
      <w:pPr>
        <w:pStyle w:val="P68B1DB1-Instructionsberschrift271"/>
        <w:numPr>
          <w:ilvl w:val="1"/>
          <w:numId w:val="49"/>
        </w:numPr>
        <w:ind w:left="357" w:hanging="357"/>
      </w:pPr>
      <w:bookmarkStart w:id="136" w:name="_Toc208244479"/>
      <w:r>
        <w:t>Z 09.01 — Услуги, свързани с ИФП — Доставчици и потребители (ИФП 1)</w:t>
      </w:r>
      <w:bookmarkEnd w:id="136"/>
    </w:p>
    <w:p w14:paraId="7FE1C7C5" w14:textId="6BE08ACD" w:rsidR="00FE5D64" w:rsidRDefault="00FE5D64">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FE5D64"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FE5D64" w:rsidRDefault="00E40776">
            <w:pPr>
              <w:pStyle w:val="P68B1DB1-TableParagraph17"/>
              <w:spacing w:before="108"/>
              <w:ind w:left="85"/>
            </w:pPr>
            <w:r>
              <w:t xml:space="preserve">Колони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FE5D64" w:rsidRDefault="00E40776">
            <w:pPr>
              <w:pStyle w:val="P68B1DB1-TableParagraph17"/>
              <w:spacing w:before="108"/>
              <w:ind w:left="85"/>
            </w:pPr>
            <w:r>
              <w:t xml:space="preserve">Указания </w:t>
            </w:r>
          </w:p>
        </w:tc>
      </w:tr>
      <w:tr w:rsidR="00FE5D64"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FE5D64" w:rsidRDefault="00E40776">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FE5D64" w:rsidRDefault="00E40776">
            <w:pPr>
              <w:pStyle w:val="P68B1DB1-TableParagraph73"/>
              <w:spacing w:before="108"/>
              <w:jc w:val="both"/>
            </w:pPr>
            <w:r>
              <w:t xml:space="preserve">Идентификатор, представляващ комбинация от потребител, FMI, тип система и </w:t>
            </w:r>
            <w:r>
              <w:lastRenderedPageBreak/>
              <w:t>посредник</w:t>
            </w:r>
          </w:p>
          <w:p w14:paraId="7FE1C7CB" w14:textId="2039C9E5" w:rsidR="00FE5D64" w:rsidRDefault="00E40776">
            <w:pPr>
              <w:pStyle w:val="P68B1DB1-Normal31"/>
            </w:pPr>
            <w:r>
              <w:t xml:space="preserve">За всеки ред се използва единен идентификатор, който съответства на уникална комбинация от потребител, ИФП, тип система и посредник. Един и същ идентификационен номер, съответстващ на една и съща комбинация, трябва да се използва в образци Z 09.01 — Z 09.04, когато е приложимо. </w:t>
            </w:r>
          </w:p>
          <w:p w14:paraId="7FE1C7CC" w14:textId="77777777" w:rsidR="00FE5D64" w:rsidRDefault="00FE5D64">
            <w:pPr>
              <w:rPr>
                <w:rFonts w:ascii="Times New Roman" w:eastAsia="Times New Roman" w:hAnsi="Times New Roman" w:cs="Times New Roman"/>
                <w:sz w:val="20"/>
                <w:szCs w:val="20"/>
              </w:rPr>
            </w:pPr>
          </w:p>
        </w:tc>
      </w:tr>
      <w:tr w:rsidR="00FE5D64"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FE5D64" w:rsidRDefault="00E40776">
            <w:pPr>
              <w:pStyle w:val="P68B1DB1-Normal74"/>
            </w:pPr>
            <w:r>
              <w:lastRenderedPageBreak/>
              <w:t>0020—0030</w:t>
            </w:r>
          </w:p>
        </w:tc>
        <w:tc>
          <w:tcPr>
            <w:tcW w:w="7832" w:type="dxa"/>
            <w:tcBorders>
              <w:top w:val="single" w:sz="8" w:space="0" w:color="auto"/>
              <w:left w:val="single" w:sz="8" w:space="0" w:color="auto"/>
              <w:bottom w:val="single" w:sz="8" w:space="0" w:color="auto"/>
            </w:tcBorders>
            <w:vAlign w:val="bottom"/>
          </w:tcPr>
          <w:p w14:paraId="7FE1C7CF" w14:textId="77777777" w:rsidR="00FE5D64" w:rsidRDefault="00E40776">
            <w:pPr>
              <w:pStyle w:val="P68B1DB1-TableParagraph75"/>
              <w:spacing w:before="108"/>
              <w:ind w:left="85"/>
              <w:jc w:val="both"/>
              <w:rPr>
                <w:color w:val="D13438"/>
                <w:u w:val="single"/>
              </w:rPr>
            </w:pPr>
            <w:r>
              <w:t>Ползватели</w:t>
            </w:r>
          </w:p>
        </w:tc>
      </w:tr>
      <w:tr w:rsidR="00FE5D64"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FE5D64" w:rsidRDefault="00E40776">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FE5D64" w:rsidRDefault="00E40776">
            <w:pPr>
              <w:pStyle w:val="P68B1DB1-TableParagraph73"/>
              <w:spacing w:before="108" w:after="120"/>
              <w:jc w:val="both"/>
            </w:pPr>
            <w:r>
              <w:t>Наименование на субекта</w:t>
            </w:r>
          </w:p>
          <w:p w14:paraId="7FE1C7D3" w14:textId="1C1A6E42" w:rsidR="00FE5D64" w:rsidRDefault="00E40776">
            <w:pPr>
              <w:pStyle w:val="P68B1DB1-TableParagraph40"/>
              <w:spacing w:before="108"/>
              <w:ind w:left="85"/>
              <w:jc w:val="both"/>
              <w:rPr>
                <w:b/>
                <w:bCs/>
                <w:i/>
                <w:iCs/>
                <w:color w:val="D13438"/>
                <w:u w:val="single"/>
              </w:rPr>
            </w:pPr>
            <w:r>
              <w:t xml:space="preserve">Наименование на правното лице, което използва платежни услуги, услуги по попечителство, услуги по сетълмент, клирингови услуги или услуги, свързани с регистър на трансакции, както е посочено в шаблона Z 01.01 — Правни лица (ORG 1). Официално название, както е посочено в корпоративните документи, включително посочване на правната форма. </w:t>
            </w:r>
          </w:p>
        </w:tc>
      </w:tr>
      <w:tr w:rsidR="00FE5D64"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FE5D64" w:rsidRDefault="00E40776">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FE5D64" w:rsidRDefault="00E40776">
            <w:pPr>
              <w:pStyle w:val="P68B1DB1-TableParagraph73"/>
              <w:spacing w:before="108"/>
              <w:jc w:val="both"/>
            </w:pPr>
            <w:r>
              <w:t>Код на субекта</w:t>
            </w:r>
          </w:p>
          <w:p w14:paraId="7FE1C7D7" w14:textId="6DA7FBC1" w:rsidR="00FE5D64" w:rsidRDefault="00E40776">
            <w:pPr>
              <w:pStyle w:val="P68B1DB1-TableParagraph40"/>
              <w:spacing w:before="108"/>
              <w:jc w:val="both"/>
            </w:pPr>
            <w:r>
              <w:t xml:space="preserve">20-цифрен, буквено-цифров ИКПС на правния субект, използващ платежни, попечителски, сетълмент, клирингови услуги или услуги, свързани с регистър на трансакции, както е посочено в образец Z 01.01 — Правни субекти (ORG 1). </w:t>
            </w:r>
          </w:p>
          <w:p w14:paraId="7FE1C7D8" w14:textId="77777777" w:rsidR="00FE5D64" w:rsidRDefault="00E40776">
            <w:pPr>
              <w:pStyle w:val="P68B1DB1-Normal31"/>
            </w:pPr>
            <w:r>
              <w:t xml:space="preserve">При липса на ИКПС трябва да се използва уникалният идентификатор на парично-финансовите институции на ЕЦБ на субекта, който ще се използва в RIAD. </w:t>
            </w:r>
          </w:p>
        </w:tc>
      </w:tr>
      <w:tr w:rsidR="00FE5D64"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FE5D64" w:rsidRDefault="00E40776">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FE5D64" w:rsidRDefault="00E40776">
            <w:pPr>
              <w:pStyle w:val="P68B1DB1-TableParagraph75"/>
              <w:spacing w:before="108"/>
              <w:ind w:left="85"/>
              <w:jc w:val="both"/>
            </w:pPr>
            <w:r>
              <w:t>Доставчик</w:t>
            </w:r>
          </w:p>
        </w:tc>
      </w:tr>
      <w:tr w:rsidR="00FE5D64"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FE5D64" w:rsidRDefault="00E40776">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FE5D64" w:rsidRDefault="00E40776">
            <w:pPr>
              <w:pStyle w:val="P68B1DB1-TableParagraph75"/>
              <w:spacing w:before="108"/>
              <w:ind w:left="85"/>
              <w:jc w:val="both"/>
            </w:pPr>
            <w:r>
              <w:t>ФМИ</w:t>
            </w:r>
          </w:p>
        </w:tc>
      </w:tr>
      <w:tr w:rsidR="00FE5D64"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FE5D64" w:rsidRDefault="00E40776">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FE5D64" w:rsidRDefault="00E40776">
            <w:pPr>
              <w:pStyle w:val="P68B1DB1-TableParagraph73"/>
              <w:spacing w:before="108"/>
              <w:ind w:left="85"/>
              <w:jc w:val="both"/>
            </w:pPr>
            <w:r>
              <w:t>Вид система</w:t>
            </w:r>
          </w:p>
          <w:p w14:paraId="7FE1C7E2" w14:textId="77777777" w:rsidR="00FE5D64" w:rsidRDefault="00E40776">
            <w:pPr>
              <w:pStyle w:val="P68B1DB1-TableParagraph40"/>
              <w:spacing w:before="108"/>
              <w:ind w:left="85"/>
              <w:jc w:val="both"/>
            </w:pPr>
            <w:r>
              <w:t>Вида на системата, предоставяща услуги на потребителя. Изберете един от следните видове:</w:t>
            </w:r>
          </w:p>
          <w:p w14:paraId="7FE1C7E3" w14:textId="64030D90" w:rsidR="00FE5D64" w:rsidRDefault="00E40776">
            <w:pPr>
              <w:pStyle w:val="P68B1DB1-TableParagraph40"/>
              <w:spacing w:before="108"/>
              <w:ind w:left="85"/>
              <w:jc w:val="both"/>
            </w:pPr>
            <w:r>
              <w:t xml:space="preserve">Системи за разплащане </w:t>
            </w:r>
          </w:p>
          <w:p w14:paraId="7FE1C7E4" w14:textId="642C3011" w:rsidR="00FE5D64" w:rsidRDefault="00E40776">
            <w:pPr>
              <w:pStyle w:val="P68B1DB1-TableParagraph40"/>
              <w:spacing w:before="108"/>
              <w:ind w:left="85"/>
              <w:jc w:val="both"/>
            </w:pPr>
            <w:r>
              <w:t>„ЦДЦК и МЦДЦК“</w:t>
            </w:r>
          </w:p>
          <w:p w14:paraId="7FE1C7E5" w14:textId="513B4E7C" w:rsidR="00FE5D64" w:rsidRDefault="00E40776">
            <w:pPr>
              <w:pStyle w:val="P68B1DB1-TableParagraph40"/>
              <w:spacing w:before="108"/>
              <w:ind w:left="85"/>
              <w:jc w:val="both"/>
            </w:pPr>
            <w:r>
              <w:t>„Система за сетълмент на ценни книжа“</w:t>
            </w:r>
          </w:p>
          <w:p w14:paraId="7FE1C7E6" w14:textId="61451372" w:rsidR="00FE5D64" w:rsidRDefault="00E40776">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„Централни контрагенти за клиринг на ценни книжа“</w:t>
            </w:r>
            <w:r>
              <w:rPr>
                <w:rStyle w:val="FootnoteReference"/>
                <w:rFonts w:ascii="Times New Roman" w:eastAsia="Times New Roman" w:hAnsi="Times New Roman" w:cs="Times New Roman"/>
              </w:rPr>
              <w:footnoteReference w:id="29"/>
            </w:r>
          </w:p>
          <w:p w14:paraId="7FE1C7E7" w14:textId="75E09D2C" w:rsidR="00FE5D64" w:rsidRDefault="00E40776">
            <w:pPr>
              <w:pStyle w:val="P68B1DB1-TableParagraph40"/>
              <w:spacing w:before="108"/>
              <w:ind w:left="85"/>
              <w:jc w:val="both"/>
            </w:pPr>
            <w:r>
              <w:t>„Централни контрагенти за клиринг на деривати“</w:t>
            </w:r>
          </w:p>
          <w:p w14:paraId="7FE1C7E8" w14:textId="44FAA23C" w:rsidR="00FE5D64" w:rsidRDefault="00E40776">
            <w:pPr>
              <w:pStyle w:val="P68B1DB1-TableParagraph40"/>
              <w:spacing w:before="108"/>
              <w:ind w:left="85"/>
              <w:jc w:val="both"/>
            </w:pPr>
            <w:r>
              <w:t>„Регистрирани регистри на трансакции“.</w:t>
            </w:r>
          </w:p>
          <w:p w14:paraId="7FE1C7E9" w14:textId="424A35E7" w:rsidR="00FE5D64" w:rsidRDefault="00E40776">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„Многостранни системи за търговия“</w:t>
            </w:r>
            <w:r>
              <w:rPr>
                <w:rStyle w:val="FootnoteReference"/>
                <w:rFonts w:ascii="Times New Roman" w:eastAsia="Times New Roman" w:hAnsi="Times New Roman" w:cs="Times New Roman"/>
                <w:sz w:val="20"/>
                <w:szCs w:val="20"/>
              </w:rPr>
              <w:footnoteReference w:id="30"/>
            </w:r>
          </w:p>
          <w:p w14:paraId="7FE1C7EB" w14:textId="51093740" w:rsidR="00FE5D64" w:rsidRDefault="00E40776">
            <w:pPr>
              <w:pStyle w:val="P68B1DB1-TableParagraph40"/>
              <w:spacing w:before="108"/>
              <w:ind w:left="85"/>
              <w:jc w:val="both"/>
            </w:pPr>
            <w:r>
              <w:t>„Картови схеми, използвани за плащания на дребно“</w:t>
            </w:r>
          </w:p>
          <w:p w14:paraId="7FE1C7EC" w14:textId="69997621" w:rsidR="00FE5D64" w:rsidRDefault="00E40776">
            <w:pPr>
              <w:pStyle w:val="P68B1DB1-TableParagraph40"/>
              <w:spacing w:before="108"/>
              <w:ind w:left="85"/>
              <w:jc w:val="both"/>
            </w:pPr>
            <w:r>
              <w:t>„Не се прилага“ — за други платежни, клирингови, сетълмент или попечителски услуги, предоставяни от субект, който не принадлежи към никоя от горепосочените категории, например банки кореспонденти и/или банки попечители, за които институцията не може да определи крайните ИФП. В колона 0110 докладвайте предоставената услуга.</w:t>
            </w:r>
          </w:p>
        </w:tc>
      </w:tr>
      <w:tr w:rsidR="00FE5D64"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FE5D64" w:rsidRDefault="00E40776">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FE5D64" w:rsidRDefault="00E40776">
            <w:pPr>
              <w:pStyle w:val="P68B1DB1-TableParagraph73"/>
              <w:spacing w:before="108"/>
              <w:ind w:left="85"/>
              <w:jc w:val="both"/>
            </w:pPr>
            <w:r>
              <w:t>Име на FMI</w:t>
            </w:r>
          </w:p>
          <w:p w14:paraId="7FE1C7F0" w14:textId="77777777" w:rsidR="00FE5D64" w:rsidRDefault="00E40776">
            <w:pPr>
              <w:pStyle w:val="P68B1DB1-TableParagraph40"/>
              <w:spacing w:before="108"/>
              <w:ind w:left="85"/>
              <w:jc w:val="both"/>
            </w:pPr>
            <w:r>
              <w:t xml:space="preserve">Търговско название на инфраструктурата на финансов пазар. </w:t>
            </w:r>
          </w:p>
          <w:p w14:paraId="7FE1C7F1" w14:textId="6A71A5BE" w:rsidR="00FE5D64" w:rsidRDefault="00E40776">
            <w:pPr>
              <w:pStyle w:val="P68B1DB1-TableParagraph40"/>
              <w:numPr>
                <w:ilvl w:val="0"/>
                <w:numId w:val="246"/>
              </w:numPr>
              <w:spacing w:before="108"/>
              <w:jc w:val="both"/>
            </w:pPr>
            <w:r>
              <w:t xml:space="preserve">Ако присъства в колона 0050 — предварително определено наименование на FMI, </w:t>
            </w:r>
            <w:r>
              <w:lastRenderedPageBreak/>
              <w:t>посочено в приложение I към настоящите инструкции;</w:t>
            </w:r>
          </w:p>
          <w:p w14:paraId="7FE1C7F2" w14:textId="77777777" w:rsidR="00FE5D64" w:rsidRDefault="00E40776">
            <w:pPr>
              <w:pStyle w:val="P68B1DB1-TableParagraph40"/>
              <w:numPr>
                <w:ilvl w:val="0"/>
                <w:numId w:val="246"/>
              </w:numPr>
              <w:spacing w:before="108" w:after="120"/>
              <w:ind w:left="442" w:hanging="357"/>
              <w:jc w:val="both"/>
            </w:pPr>
            <w:r>
              <w:t xml:space="preserve">Ако не присъства в колона 0050, наименование в колона 0060 за свободен текст. </w:t>
            </w:r>
          </w:p>
          <w:p w14:paraId="7FE1C7F3" w14:textId="77777777" w:rsidR="00FE5D64" w:rsidRDefault="00E40776">
            <w:pPr>
              <w:pStyle w:val="P68B1DB1-Normal31"/>
            </w:pPr>
            <w:r>
              <w:t xml:space="preserve">Когато в колона 0040 е докладвано „Не е приложимо“, тези колони се оставят празни. </w:t>
            </w:r>
          </w:p>
        </w:tc>
      </w:tr>
      <w:tr w:rsidR="00FE5D64"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FE5D64" w:rsidRDefault="00E40776">
            <w:pPr>
              <w:pStyle w:val="P68B1DB1-Normal31"/>
            </w:pPr>
            <w:r>
              <w:lastRenderedPageBreak/>
              <w:t>0070</w:t>
            </w:r>
          </w:p>
        </w:tc>
        <w:tc>
          <w:tcPr>
            <w:tcW w:w="7832" w:type="dxa"/>
            <w:tcBorders>
              <w:top w:val="single" w:sz="8" w:space="0" w:color="auto"/>
              <w:left w:val="single" w:sz="8" w:space="0" w:color="auto"/>
              <w:bottom w:val="single" w:sz="8" w:space="0" w:color="auto"/>
            </w:tcBorders>
            <w:vAlign w:val="bottom"/>
          </w:tcPr>
          <w:p w14:paraId="7FE1C7F6" w14:textId="77777777" w:rsidR="00FE5D64" w:rsidRDefault="00E40776">
            <w:pPr>
              <w:pStyle w:val="P68B1DB1-TableParagraph73"/>
              <w:spacing w:before="108"/>
              <w:ind w:left="85"/>
              <w:jc w:val="both"/>
            </w:pPr>
            <w:r>
              <w:t>Код на ИФП</w:t>
            </w:r>
          </w:p>
          <w:p w14:paraId="7FE1C7F7" w14:textId="77777777" w:rsidR="00FE5D64" w:rsidRDefault="00E40776">
            <w:pPr>
              <w:pStyle w:val="P68B1DB1-TableParagraph40"/>
              <w:spacing w:before="108"/>
              <w:ind w:left="85"/>
              <w:jc w:val="both"/>
            </w:pPr>
            <w:r>
              <w:t xml:space="preserve">20-цифреният буквено-цифров ИКПС на ИФП. </w:t>
            </w:r>
          </w:p>
          <w:p w14:paraId="7FE1C7F8" w14:textId="77777777" w:rsidR="00FE5D64" w:rsidRDefault="00E40776">
            <w:pPr>
              <w:pStyle w:val="P68B1DB1-TableParagraph40"/>
              <w:spacing w:before="108"/>
              <w:ind w:left="85"/>
              <w:jc w:val="both"/>
            </w:pPr>
            <w:r>
              <w:t xml:space="preserve">Когато ИФП не разполага с ИКПС, използвайте ИКПС на оператора. </w:t>
            </w:r>
          </w:p>
          <w:p w14:paraId="7FE1C7F9" w14:textId="77777777" w:rsidR="00FE5D64" w:rsidRDefault="00E40776">
            <w:pPr>
              <w:pStyle w:val="P68B1DB1-TableParagraph40"/>
              <w:spacing w:before="108"/>
              <w:ind w:left="85"/>
              <w:jc w:val="both"/>
            </w:pPr>
            <w:r>
              <w:t>Когато в колона 0040 е посочено „Не е приложимо (вид на системата FMI) „или когато ИФП няма код, тази колона съдържа „NA“.</w:t>
            </w:r>
          </w:p>
          <w:p w14:paraId="7FE1C7FA" w14:textId="77777777" w:rsidR="00FE5D64" w:rsidRDefault="00FE5D64">
            <w:pPr>
              <w:rPr>
                <w:rFonts w:ascii="Times New Roman" w:eastAsia="Times New Roman" w:hAnsi="Times New Roman" w:cs="Times New Roman"/>
                <w:color w:val="D13438"/>
                <w:sz w:val="20"/>
                <w:szCs w:val="20"/>
                <w:u w:val="single"/>
              </w:rPr>
            </w:pPr>
          </w:p>
        </w:tc>
      </w:tr>
      <w:tr w:rsidR="00FE5D64"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FE5D64" w:rsidRDefault="00E40776">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FE5D64" w:rsidRDefault="00E40776">
            <w:pPr>
              <w:pStyle w:val="P68B1DB1-Normal76"/>
              <w:spacing w:after="120"/>
            </w:pPr>
            <w:r>
              <w:t>Оператор на FMI</w:t>
            </w:r>
          </w:p>
          <w:p w14:paraId="7FE1C7FE" w14:textId="77777777" w:rsidR="00FE5D64" w:rsidRDefault="00E40776">
            <w:pPr>
              <w:pStyle w:val="P68B1DB1-Normal31"/>
              <w:rPr>
                <w:b/>
              </w:rPr>
            </w:pPr>
            <w:r>
              <w:t xml:space="preserve">Име на оператора на ИФП. </w:t>
            </w:r>
          </w:p>
          <w:p w14:paraId="7FE1C7FF" w14:textId="77777777" w:rsidR="00FE5D64" w:rsidRDefault="00FE5D64">
            <w:pPr>
              <w:rPr>
                <w:rFonts w:ascii="Times New Roman" w:hAnsi="Times New Roman" w:cs="Times New Roman"/>
                <w:color w:val="D13438"/>
                <w:sz w:val="20"/>
                <w:szCs w:val="20"/>
                <w:highlight w:val="yellow"/>
                <w:u w:val="single"/>
              </w:rPr>
            </w:pPr>
          </w:p>
        </w:tc>
      </w:tr>
      <w:tr w:rsidR="00FE5D64"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FE5D64" w:rsidRDefault="00E40776">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FE5D64" w:rsidRDefault="00E40776">
            <w:pPr>
              <w:pStyle w:val="P68B1DB1-Normal76"/>
            </w:pPr>
            <w:r>
              <w:t>Режим на участие</w:t>
            </w:r>
          </w:p>
          <w:p w14:paraId="7FE1C803" w14:textId="77777777" w:rsidR="00FE5D64" w:rsidRDefault="00E40776">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Посочете едно от следните</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FE5D64" w:rsidRDefault="00E40776">
            <w:pPr>
              <w:pStyle w:val="P68B1DB1-TableParagraph40"/>
              <w:numPr>
                <w:ilvl w:val="0"/>
                <w:numId w:val="181"/>
              </w:numPr>
              <w:spacing w:before="108"/>
              <w:jc w:val="both"/>
            </w:pPr>
            <w:r>
              <w:t xml:space="preserve">„Пряко“ в случай на пряко участие/членство в ИФП. </w:t>
            </w:r>
          </w:p>
          <w:p w14:paraId="7FE1C805" w14:textId="77777777" w:rsidR="00FE5D64" w:rsidRDefault="00E40776">
            <w:pPr>
              <w:pStyle w:val="P68B1DB1-TableParagraph40"/>
              <w:numPr>
                <w:ilvl w:val="0"/>
                <w:numId w:val="181"/>
              </w:numPr>
              <w:spacing w:before="108"/>
              <w:jc w:val="both"/>
            </w:pPr>
            <w:r>
              <w:t xml:space="preserve">„Непряко“ в случай на непряко участие/членство в ИФП. </w:t>
            </w:r>
          </w:p>
          <w:p w14:paraId="7FE1C806" w14:textId="77777777" w:rsidR="00FE5D64" w:rsidRDefault="00E40776">
            <w:pPr>
              <w:pStyle w:val="P68B1DB1-TableParagraph40"/>
              <w:numPr>
                <w:ilvl w:val="0"/>
                <w:numId w:val="181"/>
              </w:numPr>
              <w:spacing w:before="108"/>
              <w:jc w:val="both"/>
              <w:rPr>
                <w:b/>
              </w:rPr>
            </w:pPr>
            <w:r>
              <w:t>„Не се прилага (начин на участие в ИФП) „, когато в колона 0040 е посочено „Не е приложимо (вид на системата за ИФП)“.</w:t>
            </w:r>
          </w:p>
          <w:p w14:paraId="7FE1C807" w14:textId="77777777" w:rsidR="00FE5D64" w:rsidRDefault="00FE5D64">
            <w:pPr>
              <w:pStyle w:val="TableParagraph"/>
              <w:spacing w:before="108"/>
              <w:ind w:left="85"/>
              <w:jc w:val="both"/>
              <w:rPr>
                <w:rFonts w:ascii="Times New Roman" w:eastAsia="Times New Roman" w:hAnsi="Times New Roman" w:cs="Times New Roman"/>
                <w:b/>
                <w:sz w:val="20"/>
                <w:szCs w:val="20"/>
              </w:rPr>
            </w:pPr>
          </w:p>
        </w:tc>
      </w:tr>
      <w:tr w:rsidR="00FE5D64"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FE5D64" w:rsidRDefault="00E40776">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FE5D64" w:rsidRDefault="00E40776">
            <w:pPr>
              <w:pStyle w:val="P68B1DB1-TableParagraph75"/>
              <w:spacing w:before="108"/>
              <w:ind w:left="85"/>
              <w:jc w:val="both"/>
            </w:pPr>
            <w:r>
              <w:t>Посредник</w:t>
            </w:r>
          </w:p>
        </w:tc>
      </w:tr>
      <w:tr w:rsidR="00FE5D64"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FE5D64" w:rsidRDefault="00E40776">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FE5D64" w:rsidRDefault="00E40776">
            <w:pPr>
              <w:pStyle w:val="P68B1DB1-Normal76"/>
            </w:pPr>
            <w:r>
              <w:t>Име на посредника</w:t>
            </w:r>
          </w:p>
          <w:p w14:paraId="7FE1C80E" w14:textId="77777777" w:rsidR="00FE5D64" w:rsidRDefault="00E40776">
            <w:pPr>
              <w:pStyle w:val="P68B1DB1-TableParagraph40"/>
              <w:spacing w:before="108"/>
              <w:ind w:left="85"/>
              <w:jc w:val="both"/>
            </w:pPr>
            <w:r>
              <w:t xml:space="preserve">Търговско наименование на посредника, с който потребителят има договорни отношения, и кои доставчици имат достъп до ИФП. Докладва се, когато в колона 0100 „Режим на участие„се докладва „Непряко „или „Не е приложимо (начин на участие в ИФП)“. </w:t>
            </w:r>
          </w:p>
          <w:p w14:paraId="7FE1C80F" w14:textId="77777777" w:rsidR="00FE5D64" w:rsidRDefault="00E40776">
            <w:pPr>
              <w:pStyle w:val="P68B1DB1-TableParagraph40"/>
              <w:spacing w:before="108"/>
              <w:ind w:left="85"/>
              <w:jc w:val="both"/>
            </w:pPr>
            <w:r>
              <w:t>В случай че посредникът предлага непряк достъп до няколко ИФП, попълнете по един ред за всяка ИФП, за която посредникът предлага непряк достъп.</w:t>
            </w:r>
          </w:p>
          <w:p w14:paraId="7FE1C810" w14:textId="77777777" w:rsidR="00FE5D64" w:rsidRDefault="00E40776">
            <w:pPr>
              <w:pStyle w:val="P68B1DB1-TableParagraph40"/>
              <w:spacing w:before="108"/>
              <w:ind w:left="85"/>
              <w:jc w:val="both"/>
              <w:rPr>
                <w:b/>
              </w:rPr>
            </w:pPr>
            <w:r>
              <w:t>Когато в колона 0090 е посочено „Пряко“, тази колона е празна.</w:t>
            </w:r>
          </w:p>
        </w:tc>
      </w:tr>
      <w:tr w:rsidR="00FE5D64"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FE5D64" w:rsidRDefault="00E40776">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FE5D64" w:rsidRDefault="00E40776">
            <w:pPr>
              <w:pStyle w:val="P68B1DB1-Normal76"/>
            </w:pPr>
            <w:r>
              <w:t>Код на посредника</w:t>
            </w:r>
          </w:p>
          <w:p w14:paraId="7FE1C814" w14:textId="77777777" w:rsidR="00FE5D64" w:rsidRDefault="00E40776">
            <w:pPr>
              <w:pStyle w:val="P68B1DB1-TableParagraph40"/>
              <w:spacing w:before="108"/>
              <w:ind w:left="85"/>
              <w:jc w:val="both"/>
            </w:pPr>
            <w:r>
              <w:t xml:space="preserve">20-цифреният, буквено-цифров ИКПС на посредника. </w:t>
            </w:r>
          </w:p>
          <w:p w14:paraId="7FE1C815" w14:textId="77777777" w:rsidR="00FE5D64" w:rsidRDefault="00E40776">
            <w:pPr>
              <w:pStyle w:val="P68B1DB1-TableParagraph13"/>
              <w:spacing w:before="108"/>
              <w:ind w:left="85"/>
              <w:jc w:val="both"/>
              <w:rPr>
                <w:rFonts w:eastAsia="Cambria"/>
              </w:rPr>
            </w:pPr>
            <w:r>
              <w:t>За предпочитане е видът на кода да бъде ИКПС.</w:t>
            </w:r>
          </w:p>
          <w:p w14:paraId="7FE1C816" w14:textId="77777777" w:rsidR="00FE5D64" w:rsidRDefault="00E40776">
            <w:pPr>
              <w:pStyle w:val="P68B1DB1-TableParagraph17"/>
              <w:spacing w:before="108"/>
            </w:pPr>
            <w:r>
              <w:t xml:space="preserve">  Когато ИКПС не е наличен, се отчита идентификатор на ПФИ или, ако няма такъв, се посочва национален код.</w:t>
            </w:r>
          </w:p>
          <w:p w14:paraId="7FE1C817" w14:textId="3F55AEB3" w:rsidR="00FE5D64" w:rsidRDefault="00E40776">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Идентифицирането на субектите се извършва по последователен начин в образци Z 09.01 — Z 09.05, когато е приложимо.</w:t>
            </w:r>
            <w:r>
              <w:rPr>
                <w:rFonts w:ascii="Times New Roman" w:eastAsia="Times New Roman" w:hAnsi="Times New Roman" w:cs="Times New Roman"/>
              </w:rPr>
              <w:t xml:space="preserve"> </w:t>
            </w:r>
          </w:p>
          <w:p w14:paraId="7FE1C818" w14:textId="77777777" w:rsidR="00FE5D64" w:rsidRDefault="00E40776">
            <w:pPr>
              <w:pStyle w:val="P68B1DB1-TableParagraph40"/>
              <w:spacing w:before="108"/>
              <w:ind w:left="85"/>
              <w:jc w:val="both"/>
              <w:rPr>
                <w:b/>
              </w:rPr>
            </w:pPr>
            <w:r>
              <w:t>Когато в колона 0090 е посочено „Пряко“, тази колона е празна.</w:t>
            </w:r>
          </w:p>
        </w:tc>
      </w:tr>
      <w:tr w:rsidR="00FE5D64"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FE5D64" w:rsidRDefault="00E40776">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FE5D64" w:rsidRDefault="00E40776">
            <w:pPr>
              <w:pStyle w:val="P68B1DB1-Normal77"/>
              <w:rPr>
                <w:color w:val="D13438"/>
                <w:u w:val="single"/>
              </w:rPr>
            </w:pPr>
            <w:r>
              <w:t>Поръчки и услуги</w:t>
            </w:r>
          </w:p>
        </w:tc>
      </w:tr>
      <w:tr w:rsidR="00FE5D64"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FE5D64" w:rsidRDefault="00E40776">
            <w:pPr>
              <w:pStyle w:val="P68B1DB1-Normal31"/>
            </w:pPr>
            <w:r>
              <w:lastRenderedPageBreak/>
              <w:t>0120</w:t>
            </w:r>
          </w:p>
        </w:tc>
        <w:tc>
          <w:tcPr>
            <w:tcW w:w="7832" w:type="dxa"/>
            <w:tcBorders>
              <w:top w:val="single" w:sz="8" w:space="0" w:color="auto"/>
              <w:left w:val="single" w:sz="8" w:space="0" w:color="auto"/>
              <w:bottom w:val="single" w:sz="8" w:space="0" w:color="auto"/>
            </w:tcBorders>
            <w:vAlign w:val="bottom"/>
          </w:tcPr>
          <w:p w14:paraId="7FE1C81E" w14:textId="77777777" w:rsidR="00FE5D64" w:rsidRDefault="00E40776">
            <w:pPr>
              <w:pStyle w:val="P68B1DB1-TableParagraph73"/>
              <w:spacing w:before="108"/>
              <w:ind w:left="85"/>
              <w:jc w:val="both"/>
            </w:pPr>
            <w:r>
              <w:t>Идентификационен код на договора</w:t>
            </w:r>
          </w:p>
          <w:p w14:paraId="7FE1C81F" w14:textId="77777777" w:rsidR="00FE5D64" w:rsidRDefault="00E40776">
            <w:pPr>
              <w:pStyle w:val="P68B1DB1-TableParagraph40"/>
              <w:spacing w:before="108"/>
              <w:jc w:val="both"/>
              <w:rPr>
                <w:b/>
              </w:rPr>
            </w:pPr>
            <w:r>
              <w:t>Вътрешен идентификатор на потребителя на договора, който урежда отношенията с FMI/посредника, който предоставя услугата.</w:t>
            </w:r>
          </w:p>
        </w:tc>
      </w:tr>
      <w:tr w:rsidR="00FE5D64"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FE5D64" w:rsidRDefault="00E40776">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FE5D64" w:rsidRDefault="00E40776">
            <w:pPr>
              <w:pStyle w:val="P68B1DB1-TableParagraph73"/>
              <w:spacing w:before="108"/>
              <w:ind w:left="85"/>
              <w:jc w:val="both"/>
              <w:rPr>
                <w:bCs/>
              </w:rPr>
            </w:pPr>
            <w:r>
              <w:t>Приложимо право</w:t>
            </w:r>
          </w:p>
          <w:p w14:paraId="7FE1C823" w14:textId="77777777" w:rsidR="00FE5D64" w:rsidRDefault="00E40776">
            <w:pPr>
              <w:pStyle w:val="P68B1DB1-TableParagraph40"/>
              <w:spacing w:before="108"/>
              <w:ind w:left="85"/>
              <w:jc w:val="both"/>
            </w:pPr>
            <w:r>
              <w:t xml:space="preserve">Кодът по ISO 3166—1 alpha-2 на държавата, чието право се прилага по отношение на договарянето на отношенията с ИФП. </w:t>
            </w:r>
          </w:p>
          <w:p w14:paraId="7FE1C824" w14:textId="77777777" w:rsidR="00FE5D64" w:rsidRDefault="00E40776">
            <w:pPr>
              <w:pStyle w:val="P68B1DB1-TableParagraph40"/>
              <w:numPr>
                <w:ilvl w:val="0"/>
                <w:numId w:val="247"/>
              </w:numPr>
              <w:spacing w:before="108"/>
              <w:jc w:val="both"/>
              <w:rPr>
                <w:b/>
                <w:bCs/>
              </w:rPr>
            </w:pPr>
            <w:r>
              <w:t>За пряк достъп — приложимо право на договора между FMI и потребителя</w:t>
            </w:r>
          </w:p>
          <w:p w14:paraId="7FE1C825" w14:textId="77777777" w:rsidR="00FE5D64" w:rsidRDefault="00E40776">
            <w:pPr>
              <w:pStyle w:val="P68B1DB1-TableParagraph40"/>
              <w:numPr>
                <w:ilvl w:val="0"/>
                <w:numId w:val="247"/>
              </w:numPr>
              <w:spacing w:before="108"/>
              <w:jc w:val="both"/>
            </w:pPr>
            <w:r>
              <w:t>За непряк достъп — приложимо право на договора между посредника и ползвателя.</w:t>
            </w:r>
          </w:p>
        </w:tc>
      </w:tr>
      <w:tr w:rsidR="00FE5D64"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FE5D64" w:rsidRDefault="00E40776">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FE5D64" w:rsidRDefault="00E40776">
            <w:pPr>
              <w:pStyle w:val="P68B1DB1-TableParagraph73"/>
              <w:spacing w:before="108"/>
              <w:ind w:left="85"/>
              <w:jc w:val="both"/>
              <w:rPr>
                <w:bCs/>
              </w:rPr>
            </w:pPr>
            <w:r>
              <w:t xml:space="preserve">Договор, който е устойчив на промени </w:t>
            </w:r>
          </w:p>
          <w:p w14:paraId="7FE1C829" w14:textId="77777777" w:rsidR="00FE5D64" w:rsidRDefault="00E40776">
            <w:pPr>
              <w:pStyle w:val="P68B1DB1-TableParagraph40"/>
              <w:spacing w:before="108"/>
              <w:ind w:left="85"/>
              <w:jc w:val="both"/>
            </w:pPr>
            <w:r>
              <w:t>Посочете едно от следните:</w:t>
            </w:r>
          </w:p>
          <w:p w14:paraId="7FE1C82A" w14:textId="6A33252E" w:rsidR="00FE5D64" w:rsidRDefault="00E40776">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„Да“ — ако отчитащото се предприятие е оценило договора като устойчив на преструктуриране</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FE5D64" w:rsidRDefault="00E40776">
            <w:pPr>
              <w:pStyle w:val="P68B1DB1-TableParagraph40"/>
              <w:spacing w:before="108"/>
              <w:ind w:left="85"/>
              <w:jc w:val="both"/>
            </w:pPr>
            <w:r>
              <w:t>„Не“ — ако отчитащото се предприятие е оценило договора като неустойчив на преструктуриране.</w:t>
            </w:r>
          </w:p>
          <w:p w14:paraId="7FE1C82C" w14:textId="77777777" w:rsidR="00FE5D64" w:rsidRDefault="00E40776">
            <w:pPr>
              <w:pStyle w:val="P68B1DB1-TableParagraph40"/>
              <w:spacing w:before="108"/>
              <w:ind w:left="85"/>
              <w:jc w:val="both"/>
            </w:pPr>
            <w:r>
              <w:t>„Не е оценено“ — ако информацията не е налична.</w:t>
            </w:r>
          </w:p>
          <w:p w14:paraId="7FE1C82D" w14:textId="77777777" w:rsidR="00FE5D64" w:rsidRDefault="00E40776">
            <w:pPr>
              <w:pStyle w:val="P68B1DB1-TableParagraph40"/>
              <w:spacing w:before="108"/>
              <w:ind w:left="85"/>
              <w:jc w:val="both"/>
              <w:rPr>
                <w:b/>
                <w:bCs/>
                <w:i/>
                <w:iCs/>
                <w:u w:val="single"/>
              </w:rPr>
            </w:pPr>
            <w:r>
              <w:t xml:space="preserve">Докладва се само за посредници. Доклад „Y“ за всички договори съгласно правото на ЕИП.  </w:t>
            </w:r>
          </w:p>
        </w:tc>
      </w:tr>
      <w:tr w:rsidR="00FE5D64"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FE5D64" w:rsidRDefault="00E40776">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FE5D64" w:rsidRDefault="00E40776">
            <w:pPr>
              <w:pStyle w:val="P68B1DB1-TableParagraph73"/>
              <w:spacing w:before="108"/>
              <w:ind w:left="85"/>
              <w:jc w:val="both"/>
            </w:pPr>
            <w:r>
              <w:t>Валути, които са от значение за отчитащото се предприятие</w:t>
            </w:r>
          </w:p>
          <w:p w14:paraId="7FE1C831" w14:textId="77777777" w:rsidR="00FE5D64" w:rsidRDefault="00E40776">
            <w:pPr>
              <w:pStyle w:val="P68B1DB1-TableParagraph40"/>
              <w:spacing w:before="108"/>
              <w:ind w:left="85"/>
              <w:jc w:val="both"/>
            </w:pPr>
            <w:r>
              <w:t>Валути, в които сделките на отчитащото се предприятие се приемат и уреждат в системата. Отчитат се само валути, които представляват най-малко 5 % от общите операции на докладващата институция с ИФП/посредника.</w:t>
            </w:r>
          </w:p>
          <w:p w14:paraId="7FE1C832" w14:textId="77777777" w:rsidR="00FE5D64" w:rsidRDefault="00E40776">
            <w:pPr>
              <w:pStyle w:val="P68B1DB1-TableParagraph40"/>
              <w:spacing w:before="108"/>
              <w:ind w:left="85"/>
              <w:jc w:val="both"/>
              <w:rPr>
                <w:b/>
              </w:rPr>
            </w:pPr>
            <w:r>
              <w:t>Колона 150—200 не се изключват взаимно. За „други валути“ (колона 0170): ISO 4217—3-буквен код на валутата (ите).</w:t>
            </w:r>
          </w:p>
        </w:tc>
      </w:tr>
      <w:tr w:rsidR="00FE5D64"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FE5D64" w:rsidRDefault="00E40776">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FE5D64" w:rsidRDefault="00E40776">
            <w:pPr>
              <w:pStyle w:val="P68B1DB1-TableParagraph73"/>
              <w:spacing w:before="108"/>
              <w:ind w:left="85"/>
              <w:jc w:val="both"/>
            </w:pPr>
            <w:r>
              <w:t>Услуги, предоставяни на ИФП/посредник</w:t>
            </w:r>
          </w:p>
          <w:p w14:paraId="7FE1C836" w14:textId="3FA389EC" w:rsidR="00FE5D64" w:rsidRDefault="00E40776">
            <w:pPr>
              <w:pStyle w:val="P68B1DB1-TableParagraph40"/>
              <w:spacing w:before="108"/>
              <w:ind w:left="85"/>
              <w:jc w:val="both"/>
            </w:pPr>
            <w:r>
              <w:t xml:space="preserve">Докладвайте само когато ползвателят предоставя услуги на ИФП/посредник, като например доставчик на цена, доставчик на ликвидност, паричен сетълмент (посочете валутата), попечителство, непряк достъп до (чуждестранни) ЦДЦК, инвестиционен контрагент и други. </w:t>
            </w:r>
          </w:p>
        </w:tc>
      </w:tr>
      <w:tr w:rsidR="00FE5D64"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FE5D64" w:rsidRDefault="00E40776">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FE5D64" w:rsidRDefault="00E40776">
            <w:pPr>
              <w:pStyle w:val="P68B1DB1-TableParagraph73"/>
              <w:spacing w:before="108"/>
              <w:ind w:left="85"/>
              <w:jc w:val="both"/>
            </w:pPr>
            <w:r>
              <w:t>Услуга, предоставяна от FMI/посредник</w:t>
            </w:r>
          </w:p>
          <w:p w14:paraId="7FE1C83A" w14:textId="77777777" w:rsidR="00FE5D64" w:rsidRDefault="00E40776">
            <w:pPr>
              <w:pStyle w:val="P68B1DB1-TableParagraph40"/>
              <w:spacing w:before="108"/>
              <w:ind w:left="85"/>
              <w:jc w:val="both"/>
            </w:pPr>
            <w:r>
              <w:t>Услуги, които ИФП/посредникът предоставя на докладващия субект. Докладва се, ако 0040 е „NA“.</w:t>
            </w:r>
          </w:p>
        </w:tc>
      </w:tr>
      <w:tr w:rsidR="00FE5D64"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FE5D64" w:rsidRDefault="00E40776">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FE5D64" w:rsidRDefault="00E40776">
            <w:pPr>
              <w:pStyle w:val="P68B1DB1-TableParagraph75"/>
              <w:spacing w:before="108"/>
              <w:ind w:left="85"/>
              <w:jc w:val="both"/>
            </w:pPr>
            <w:r>
              <w:t>Доставчици на услуги</w:t>
            </w:r>
          </w:p>
        </w:tc>
      </w:tr>
      <w:tr w:rsidR="00FE5D64"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FE5D64" w:rsidRDefault="00E40776">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FE5D64" w:rsidRDefault="00E40776">
            <w:pPr>
              <w:pStyle w:val="P68B1DB1-TableParagraph73"/>
              <w:spacing w:before="108"/>
              <w:ind w:left="85"/>
              <w:jc w:val="both"/>
            </w:pPr>
            <w:r>
              <w:t>Доставчиците на комуникационни услуги,</w:t>
            </w:r>
          </w:p>
          <w:p w14:paraId="7FE1C841" w14:textId="7B818514" w:rsidR="00FE5D64" w:rsidRDefault="00E40776">
            <w:pPr>
              <w:pStyle w:val="P68B1DB1-TableParagraph40"/>
              <w:spacing w:before="108"/>
              <w:ind w:left="85"/>
              <w:jc w:val="both"/>
            </w:pPr>
            <w:r>
              <w:t xml:space="preserve">Доставчици на комуникационни услуги, използвани от институцията за достъп до ИФП. Колони 230—250 не се изключват взаимно. </w:t>
            </w:r>
          </w:p>
          <w:p w14:paraId="32DB4B00" w14:textId="3747D290" w:rsidR="00FE5D64" w:rsidRDefault="00E40776">
            <w:pPr>
              <w:pStyle w:val="P68B1DB1-TableParagraph40"/>
              <w:spacing w:before="108"/>
              <w:ind w:left="85"/>
              <w:jc w:val="both"/>
            </w:pPr>
            <w:r>
              <w:t>За „Справедливост на FMI „-c0230 и „SWIFT“ — c0240, доклад:</w:t>
            </w:r>
          </w:p>
          <w:p w14:paraId="1D0FFCBE" w14:textId="373924D7" w:rsidR="00FE5D64" w:rsidRDefault="00E40776">
            <w:pPr>
              <w:pStyle w:val="P68B1DB1-TableParagraph40"/>
              <w:numPr>
                <w:ilvl w:val="0"/>
                <w:numId w:val="181"/>
              </w:numPr>
              <w:spacing w:before="108"/>
              <w:jc w:val="both"/>
            </w:pPr>
            <w:r>
              <w:t>1.2.1.1</w:t>
            </w:r>
          </w:p>
          <w:p w14:paraId="26472FE9" w14:textId="3ED80557" w:rsidR="00FE5D64" w:rsidRDefault="00E40776">
            <w:pPr>
              <w:pStyle w:val="P68B1DB1-TableParagraph40"/>
              <w:numPr>
                <w:ilvl w:val="0"/>
                <w:numId w:val="181"/>
              </w:numPr>
              <w:spacing w:before="108"/>
              <w:jc w:val="both"/>
            </w:pPr>
            <w:r>
              <w:t>No</w:t>
            </w:r>
          </w:p>
          <w:p w14:paraId="7FE1C842" w14:textId="0C70DB31" w:rsidR="00FE5D64" w:rsidRDefault="00E40776">
            <w:pPr>
              <w:pStyle w:val="P68B1DB1-TableParagraph40"/>
              <w:spacing w:before="108"/>
              <w:ind w:left="85"/>
              <w:jc w:val="both"/>
            </w:pPr>
            <w:r>
              <w:t>За „Други доставчици на комуникационни услуги“ — c0250: докладвайте търговското наименование на доставчика.</w:t>
            </w:r>
          </w:p>
        </w:tc>
      </w:tr>
      <w:tr w:rsidR="00FE5D64"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FE5D64" w:rsidRDefault="00E40776">
            <w:pPr>
              <w:pStyle w:val="P68B1DB1-Normal74"/>
            </w:pPr>
            <w:r>
              <w:lastRenderedPageBreak/>
              <w:t>0260—0270</w:t>
            </w:r>
          </w:p>
        </w:tc>
        <w:tc>
          <w:tcPr>
            <w:tcW w:w="7832" w:type="dxa"/>
            <w:tcBorders>
              <w:top w:val="single" w:sz="8" w:space="0" w:color="auto"/>
              <w:left w:val="single" w:sz="8" w:space="0" w:color="auto"/>
              <w:bottom w:val="single" w:sz="8" w:space="0" w:color="auto"/>
            </w:tcBorders>
            <w:vAlign w:val="bottom"/>
          </w:tcPr>
          <w:p w14:paraId="7FE1C845" w14:textId="77777777" w:rsidR="00FE5D64" w:rsidRDefault="00E40776">
            <w:pPr>
              <w:pStyle w:val="P68B1DB1-TableParagraph75"/>
              <w:spacing w:before="108"/>
              <w:ind w:left="85"/>
              <w:jc w:val="both"/>
            </w:pPr>
            <w:r>
              <w:t>Други доставчици на услуги, позволяващи достъп до ИФП</w:t>
            </w:r>
          </w:p>
        </w:tc>
      </w:tr>
      <w:tr w:rsidR="00FE5D64"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FE5D64" w:rsidRDefault="00E40776">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FE5D64" w:rsidRDefault="00E40776">
            <w:pPr>
              <w:pStyle w:val="P68B1DB1-TableParagraph73"/>
              <w:spacing w:before="108"/>
              <w:ind w:left="85"/>
            </w:pPr>
            <w:r>
              <w:t xml:space="preserve">Име на допълнителните доставчици на услуги </w:t>
            </w:r>
          </w:p>
          <w:p w14:paraId="7FE1C849" w14:textId="77777777" w:rsidR="00FE5D64" w:rsidRDefault="00E40776">
            <w:pPr>
              <w:pStyle w:val="P68B1DB1-TableParagraph40"/>
              <w:spacing w:before="108"/>
              <w:ind w:left="85"/>
              <w:jc w:val="both"/>
              <w:rPr>
                <w:b/>
              </w:rPr>
            </w:pPr>
            <w:r>
              <w:t xml:space="preserve">Доставчици, различни от посредника, които са строго необходими на ползвателя, ако е приложимо: банка по сетълмента, паричен кореспондент/nostro агент, доставчик на ликвидност.  </w:t>
            </w:r>
            <w:r>
              <w:br/>
              <w:t>Търговско наименование на доставчиците.</w:t>
            </w:r>
          </w:p>
        </w:tc>
      </w:tr>
      <w:tr w:rsidR="00FE5D64"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FE5D64" w:rsidRDefault="00E40776">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FE5D64" w:rsidRDefault="00E40776">
            <w:pPr>
              <w:pStyle w:val="P68B1DB1-TableParagraph73"/>
              <w:spacing w:before="108"/>
              <w:ind w:left="85"/>
              <w:jc w:val="both"/>
            </w:pPr>
            <w:r>
              <w:t xml:space="preserve">Допълнителни услуги </w:t>
            </w:r>
          </w:p>
          <w:p w14:paraId="7FE1C84D" w14:textId="77777777" w:rsidR="00FE5D64" w:rsidRDefault="00E40776">
            <w:pPr>
              <w:pStyle w:val="P68B1DB1-TableParagraph40"/>
              <w:spacing w:before="108"/>
              <w:ind w:left="85"/>
              <w:jc w:val="both"/>
              <w:rPr>
                <w:b/>
              </w:rPr>
            </w:pPr>
            <w:r>
              <w:t xml:space="preserve">Услуги от доставчици, докладвани през 0260 г. </w:t>
            </w:r>
          </w:p>
        </w:tc>
      </w:tr>
      <w:tr w:rsidR="00FE5D64"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FE5D64" w:rsidRDefault="00E40776">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FE5D64" w:rsidRDefault="00E40776">
            <w:pPr>
              <w:pStyle w:val="P68B1DB1-TableParagraph73"/>
              <w:spacing w:before="108"/>
              <w:ind w:left="85"/>
              <w:jc w:val="both"/>
            </w:pPr>
            <w:r>
              <w:t>Звено за контакт при ИФП/посредник</w:t>
            </w:r>
          </w:p>
          <w:p w14:paraId="7FE1C851" w14:textId="77777777" w:rsidR="00FE5D64" w:rsidRDefault="00E40776">
            <w:pPr>
              <w:pStyle w:val="P68B1DB1-TableParagraph40"/>
              <w:spacing w:before="108"/>
              <w:ind w:left="85"/>
              <w:jc w:val="both"/>
            </w:pPr>
            <w:r>
              <w:t>Звено за контакт при ИФП в случай на преструктуриране на докладващия субект. Доклад:</w:t>
            </w:r>
          </w:p>
          <w:p w14:paraId="7FE1C852" w14:textId="77777777" w:rsidR="00FE5D64" w:rsidRDefault="00E40776">
            <w:pPr>
              <w:pStyle w:val="P68B1DB1-TableParagraph40"/>
              <w:numPr>
                <w:ilvl w:val="0"/>
                <w:numId w:val="181"/>
              </w:numPr>
              <w:ind w:left="799" w:hanging="357"/>
              <w:jc w:val="both"/>
            </w:pPr>
            <w:r>
              <w:t>Наименование</w:t>
            </w:r>
          </w:p>
          <w:p w14:paraId="7FE1C853" w14:textId="77777777" w:rsidR="00FE5D64" w:rsidRDefault="00E40776">
            <w:pPr>
              <w:pStyle w:val="P68B1DB1-TableParagraph40"/>
              <w:numPr>
                <w:ilvl w:val="0"/>
                <w:numId w:val="181"/>
              </w:numPr>
              <w:ind w:left="799" w:hanging="357"/>
              <w:jc w:val="both"/>
            </w:pPr>
            <w:r>
              <w:t>Длъжност</w:t>
            </w:r>
          </w:p>
          <w:p w14:paraId="7FE1C854" w14:textId="5FE95CD9" w:rsidR="00FE5D64" w:rsidRDefault="00E40776">
            <w:pPr>
              <w:pStyle w:val="P68B1DB1-TableParagraph40"/>
              <w:numPr>
                <w:ilvl w:val="0"/>
                <w:numId w:val="181"/>
              </w:numPr>
              <w:ind w:left="799" w:hanging="357"/>
              <w:jc w:val="both"/>
            </w:pPr>
            <w:r>
              <w:t>Адрес на електронна поща</w:t>
            </w:r>
          </w:p>
        </w:tc>
      </w:tr>
    </w:tbl>
    <w:p w14:paraId="7FE1C856" w14:textId="77777777" w:rsidR="00FE5D64" w:rsidRDefault="00E40776">
      <w:pPr>
        <w:pStyle w:val="P68B1DB1-Normal78"/>
      </w:pPr>
      <w:r>
        <w:br/>
      </w:r>
      <w:r>
        <w:br/>
      </w:r>
    </w:p>
    <w:p w14:paraId="7FE1C857" w14:textId="77777777" w:rsidR="00FE5D64" w:rsidRDefault="00E40776">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Като например уникалния IDentifier на ЕЦБ „Парично-финансови институции“ (Идентификатор на ПФИ) на субекта, който ще се използва в RIAD.</w:t>
      </w:r>
    </w:p>
    <w:p w14:paraId="7FE1C858" w14:textId="77777777" w:rsidR="00FE5D64" w:rsidRDefault="00E40776">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Речник на термините на ЕЦБ, свързани с системите за плащане, клиринг и сетълмент, декември 2009 г.</w:t>
      </w:r>
    </w:p>
    <w:p w14:paraId="7FE1C859" w14:textId="77777777" w:rsidR="00FE5D64" w:rsidRDefault="00E40776">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Пак там.</w:t>
      </w:r>
    </w:p>
    <w:p w14:paraId="7FE1C85A" w14:textId="77777777" w:rsidR="00FE5D64" w:rsidRDefault="00E40776">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Като например уникалния идентификатор на парично-финансовите институции на ЕЦБ на субекта, който ще се използва в RIAD.</w:t>
      </w:r>
    </w:p>
    <w:p w14:paraId="7FE1C8BF" w14:textId="77777777" w:rsidR="00FE5D64" w:rsidRDefault="00FE5D64">
      <w:pPr>
        <w:rPr>
          <w:rFonts w:ascii="Times New Roman" w:hAnsi="Times New Roman" w:cs="Times New Roman"/>
        </w:rPr>
      </w:pPr>
    </w:p>
    <w:p w14:paraId="7FE1C8C0" w14:textId="77777777" w:rsidR="00FE5D64" w:rsidRDefault="00FE5D64">
      <w:pPr>
        <w:rPr>
          <w:rFonts w:ascii="Times New Roman" w:hAnsi="Times New Roman"/>
          <w:sz w:val="20"/>
          <w:szCs w:val="20"/>
          <w:u w:val="single"/>
        </w:rPr>
      </w:pPr>
    </w:p>
    <w:p w14:paraId="7FE1C8C1" w14:textId="77777777" w:rsidR="00FE5D64" w:rsidRDefault="00E40776">
      <w:pPr>
        <w:pStyle w:val="P68B1DB1-Instructionsberschrift25"/>
        <w:numPr>
          <w:ilvl w:val="1"/>
          <w:numId w:val="49"/>
        </w:numPr>
        <w:ind w:left="357" w:hanging="357"/>
        <w:rPr>
          <w:rFonts w:eastAsia="Calibri"/>
          <w:szCs w:val="20"/>
        </w:rPr>
      </w:pPr>
      <w:bookmarkStart w:id="137" w:name="_Toc208244480"/>
      <w:r>
        <w:t>Z 09.02 — Картографиране на критични и съществени ИФП (ИФП 2)</w:t>
      </w:r>
      <w:bookmarkEnd w:id="137"/>
    </w:p>
    <w:p w14:paraId="7FE1C8C3" w14:textId="77777777" w:rsidR="00FE5D64" w:rsidRDefault="00E40776">
      <w:pPr>
        <w:pStyle w:val="P68B1DB1-InstructionsText279"/>
        <w:numPr>
          <w:ilvl w:val="2"/>
          <w:numId w:val="209"/>
        </w:numPr>
        <w:spacing w:before="0"/>
        <w:ind w:left="1276"/>
      </w:pPr>
      <w:r>
        <w:t>Критични и основни доставчици на FMI услуги са услугите, до които има пряк или непряк достъп, чието прекратяване може да представлява сериозна пречка или да възпрепятства изпълнението на една или повече критични функции или основни стопански дейности на потребителя.</w:t>
      </w:r>
    </w:p>
    <w:p w14:paraId="7FE1C8C4" w14:textId="77777777" w:rsidR="00FE5D64" w:rsidRDefault="00E40776">
      <w:pPr>
        <w:pStyle w:val="P68B1DB1-ListParagraph80"/>
        <w:numPr>
          <w:ilvl w:val="2"/>
          <w:numId w:val="209"/>
        </w:numPr>
        <w:ind w:left="1276"/>
      </w:pPr>
      <w:r>
        <w:t>В настоящия лист се отчитат само ИФП за всички видове системи, които докладващият субект счита за критични или съществени. Не включвайте никоя друга ИФП, която не е нито критична, нито съществена.</w:t>
      </w:r>
    </w:p>
    <w:p w14:paraId="7FE1C8C5" w14:textId="77777777" w:rsidR="00FE5D64" w:rsidRDefault="00FE5D64">
      <w:pPr>
        <w:pStyle w:val="ListParagraph"/>
        <w:ind w:left="1276"/>
        <w:rPr>
          <w:rFonts w:ascii="Times New Roman" w:eastAsiaTheme="majorEastAsia" w:hAnsi="Times New Roman"/>
          <w:sz w:val="20"/>
          <w:szCs w:val="20"/>
        </w:rPr>
      </w:pPr>
    </w:p>
    <w:p w14:paraId="7FE1C8C6" w14:textId="77777777" w:rsidR="00FE5D64" w:rsidRDefault="00E40776">
      <w:pPr>
        <w:pStyle w:val="P68B1DB1-InstructionsText279"/>
        <w:numPr>
          <w:ilvl w:val="2"/>
          <w:numId w:val="209"/>
        </w:numPr>
        <w:spacing w:before="0"/>
        <w:ind w:left="1276"/>
      </w:pPr>
      <w:r>
        <w:t xml:space="preserve">За целите на определянето на критични и съществени ИФП се взема предвид възможността за едновременно прекратяване на участието.  </w:t>
      </w:r>
    </w:p>
    <w:p w14:paraId="7FE1C8C7" w14:textId="77777777" w:rsidR="00FE5D64" w:rsidRDefault="00FE5D64">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FE5D64"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FE5D64" w:rsidRDefault="00E40776">
            <w:pPr>
              <w:pStyle w:val="P68B1DB1-TableParagraph17"/>
              <w:spacing w:before="108"/>
              <w:ind w:left="85"/>
            </w:pPr>
            <w:r>
              <w:t xml:space="preserve">Колони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FE5D64" w:rsidRDefault="00E40776">
            <w:pPr>
              <w:pStyle w:val="P68B1DB1-TableParagraph17"/>
              <w:spacing w:before="108"/>
              <w:ind w:left="85"/>
            </w:pPr>
            <w:r>
              <w:t xml:space="preserve">Указания </w:t>
            </w:r>
          </w:p>
        </w:tc>
      </w:tr>
      <w:tr w:rsidR="00FE5D64"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FE5D64" w:rsidRDefault="00E40776">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FE5D64" w:rsidRDefault="00E40776">
            <w:pPr>
              <w:pStyle w:val="P68B1DB1-TableParagraph73"/>
              <w:spacing w:before="108"/>
              <w:ind w:left="85"/>
              <w:jc w:val="both"/>
            </w:pPr>
            <w:r>
              <w:t>Идентификатор, представляващ комбинация от потребител, FMI, тип система и посредник</w:t>
            </w:r>
          </w:p>
          <w:p w14:paraId="7FE1C8CD" w14:textId="389563D7" w:rsidR="00FE5D64" w:rsidRDefault="00E40776">
            <w:pPr>
              <w:pStyle w:val="P68B1DB1-TableParagraph40"/>
              <w:spacing w:before="108"/>
              <w:ind w:left="85"/>
              <w:jc w:val="both"/>
              <w:rPr>
                <w:b/>
              </w:rPr>
            </w:pPr>
            <w:r>
              <w:t>За всеки ред се използва единен идентификатор, който съответства на уникална комбинация от потребител, ИФП, тип система и посредник. Един и същ идентификационен номер, съответстващ на една и съща комбинация, трябва да се използва в образци Z 09.01 — Z 09.05, когато е приложимо.</w:t>
            </w:r>
          </w:p>
        </w:tc>
      </w:tr>
      <w:tr w:rsidR="00FE5D64"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FE5D64" w:rsidRDefault="00E40776">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FE5D64" w:rsidRDefault="00E40776">
            <w:pPr>
              <w:pStyle w:val="P68B1DB1-TableParagraph75"/>
              <w:spacing w:before="108"/>
              <w:ind w:left="85"/>
              <w:jc w:val="both"/>
              <w:rPr>
                <w:bCs/>
                <w:iCs/>
              </w:rPr>
            </w:pPr>
            <w:r>
              <w:t>Критични ИФП</w:t>
            </w:r>
          </w:p>
        </w:tc>
      </w:tr>
      <w:tr w:rsidR="00FE5D64"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FE5D64" w:rsidRDefault="00E40776">
            <w:pPr>
              <w:pStyle w:val="P68B1DB1-Normal31"/>
            </w:pPr>
            <w:r>
              <w:lastRenderedPageBreak/>
              <w:t>0020</w:t>
            </w:r>
          </w:p>
        </w:tc>
        <w:tc>
          <w:tcPr>
            <w:tcW w:w="7832" w:type="dxa"/>
            <w:tcBorders>
              <w:top w:val="single" w:sz="8" w:space="0" w:color="auto"/>
              <w:left w:val="single" w:sz="8" w:space="0" w:color="auto"/>
              <w:bottom w:val="single" w:sz="8" w:space="0" w:color="auto"/>
            </w:tcBorders>
            <w:vAlign w:val="bottom"/>
          </w:tcPr>
          <w:p w14:paraId="7FE1C8D3" w14:textId="77777777" w:rsidR="00FE5D64" w:rsidRDefault="00E40776">
            <w:pPr>
              <w:pStyle w:val="P68B1DB1-TableParagraph73"/>
              <w:spacing w:before="108"/>
              <w:ind w:left="85"/>
              <w:jc w:val="both"/>
            </w:pPr>
            <w:r>
              <w:t>Критичен ИФП: ДА/НЕ</w:t>
            </w:r>
          </w:p>
          <w:p w14:paraId="7FE1C8D4" w14:textId="4439D1A6" w:rsidR="00FE5D64" w:rsidRDefault="00E40776">
            <w:pPr>
              <w:pStyle w:val="P68B1DB1-TableParagraph40"/>
              <w:numPr>
                <w:ilvl w:val="0"/>
                <w:numId w:val="248"/>
              </w:numPr>
              <w:spacing w:before="108"/>
              <w:jc w:val="both"/>
            </w:pPr>
            <w:r>
              <w:t>„Да“, ако ИФП е критичен</w:t>
            </w:r>
          </w:p>
          <w:p w14:paraId="7FE1C8D5" w14:textId="792CB29B" w:rsidR="00FE5D64" w:rsidRDefault="00E40776">
            <w:pPr>
              <w:pStyle w:val="P68B1DB1-TableParagraph40"/>
              <w:numPr>
                <w:ilvl w:val="0"/>
                <w:numId w:val="248"/>
              </w:numPr>
              <w:spacing w:before="108"/>
              <w:jc w:val="both"/>
              <w:rPr>
                <w:b/>
                <w:bCs/>
              </w:rPr>
            </w:pPr>
            <w:r>
              <w:t>„Не“, ако ИФП не е критичен</w:t>
            </w:r>
            <w:r>
              <w:rPr>
                <w:b/>
              </w:rPr>
              <w:t xml:space="preserve"> </w:t>
            </w:r>
          </w:p>
          <w:p w14:paraId="7FE1C8D6" w14:textId="77777777" w:rsidR="00FE5D64" w:rsidRDefault="00E40776">
            <w:pPr>
              <w:pStyle w:val="P68B1DB1-TableParagraph40"/>
              <w:spacing w:before="108"/>
              <w:ind w:left="85"/>
              <w:jc w:val="both"/>
            </w:pPr>
            <w:r>
              <w:t>Колони 0020 и 0050 не се изключват взаимно.</w:t>
            </w:r>
          </w:p>
        </w:tc>
      </w:tr>
      <w:tr w:rsidR="00FE5D64"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FE5D64" w:rsidRDefault="00E40776">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FE5D64" w:rsidRDefault="00E40776">
            <w:pPr>
              <w:pStyle w:val="P68B1DB1-TableParagraph73"/>
              <w:spacing w:before="108"/>
              <w:ind w:left="85"/>
              <w:jc w:val="both"/>
            </w:pPr>
            <w:r>
              <w:t>Държава</w:t>
            </w:r>
          </w:p>
          <w:p w14:paraId="7FE1C8DA" w14:textId="56240ABE" w:rsidR="00FE5D64" w:rsidRDefault="00E40776">
            <w:pPr>
              <w:pStyle w:val="P68B1DB1-TableParagraph40"/>
              <w:spacing w:before="108"/>
              <w:ind w:left="85"/>
              <w:jc w:val="both"/>
            </w:pPr>
            <w:r>
              <w:t xml:space="preserve">Държава, в която е предоставена критичната функция, както е отчетено в Z 07.01 </w:t>
            </w:r>
          </w:p>
        </w:tc>
      </w:tr>
      <w:tr w:rsidR="00FE5D64"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FE5D64" w:rsidRDefault="00E40776">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FE5D64" w:rsidRDefault="00E40776">
            <w:pPr>
              <w:pStyle w:val="P68B1DB1-TableParagraph73"/>
              <w:spacing w:before="108"/>
              <w:ind w:left="85"/>
              <w:jc w:val="both"/>
            </w:pPr>
            <w:r>
              <w:t>Идентификатор на критична функция</w:t>
            </w:r>
          </w:p>
          <w:p w14:paraId="7FE1C8DE" w14:textId="77777777" w:rsidR="00FE5D64" w:rsidRDefault="00E40776">
            <w:pPr>
              <w:pStyle w:val="P68B1DB1-TableParagraph40"/>
              <w:spacing w:before="108"/>
              <w:ind w:left="85"/>
              <w:jc w:val="both"/>
            </w:pPr>
            <w:r>
              <w:t>Критична (и) функция (и), изпълнявана (и) от субекта, чието изпълнение би било възпрепятствано или възпрепятствано от прекъсването на достъпа до доставчика на услуги за ИФП.</w:t>
            </w:r>
          </w:p>
          <w:p w14:paraId="79796B83" w14:textId="298E6F56" w:rsidR="00FE5D64" w:rsidRDefault="00E40776">
            <w:pPr>
              <w:pStyle w:val="P68B1DB1-TableParagraph40"/>
              <w:spacing w:before="108"/>
              <w:ind w:left="85"/>
              <w:jc w:val="both"/>
              <w:rPr>
                <w:b/>
                <w:bCs/>
              </w:rPr>
            </w:pPr>
            <w:r>
              <w:t>Идентификационен код на критичните функции, докладвани в Z07.01</w:t>
            </w:r>
            <w:r>
              <w:rPr>
                <w:b/>
              </w:rPr>
              <w:t>:</w:t>
            </w:r>
          </w:p>
          <w:p w14:paraId="58520404" w14:textId="77777777" w:rsidR="00FE5D64" w:rsidRDefault="00FE5D64">
            <w:pPr>
              <w:pStyle w:val="TableParagraph"/>
              <w:spacing w:before="108"/>
              <w:ind w:left="85"/>
              <w:jc w:val="both"/>
              <w:rPr>
                <w:rFonts w:ascii="Times New Roman" w:eastAsia="Times New Roman" w:hAnsi="Times New Roman" w:cs="Times New Roman"/>
                <w:b/>
                <w:bCs/>
                <w:sz w:val="20"/>
                <w:szCs w:val="20"/>
              </w:rPr>
            </w:pPr>
          </w:p>
          <w:p w14:paraId="0E718D7B" w14:textId="77777777" w:rsidR="00FE5D64" w:rsidRDefault="00E40776">
            <w:pPr>
              <w:pStyle w:val="P68B1DB1-Normal19"/>
              <w:rPr>
                <w:rFonts w:eastAsiaTheme="minorHAnsi"/>
              </w:rPr>
            </w:pPr>
            <w:r>
              <w:t>Депозити</w:t>
            </w:r>
          </w:p>
          <w:p w14:paraId="354D6B7F" w14:textId="77777777" w:rsidR="00FE5D64" w:rsidRDefault="00E40776">
            <w:pPr>
              <w:pStyle w:val="P68B1DB1-Normal19"/>
              <w:ind w:left="708"/>
            </w:pPr>
            <w:r>
              <w:t>Депозити от домакинства</w:t>
            </w:r>
          </w:p>
          <w:p w14:paraId="71C89914" w14:textId="77777777" w:rsidR="00FE5D64" w:rsidRDefault="00E40776">
            <w:pPr>
              <w:pStyle w:val="P68B1DB1-Normal19"/>
              <w:ind w:left="708"/>
            </w:pPr>
            <w:r>
              <w:t xml:space="preserve">Депозити от нефинансови предприятия </w:t>
            </w:r>
          </w:p>
          <w:p w14:paraId="7621A95F" w14:textId="69E34691" w:rsidR="00FE5D64" w:rsidRDefault="00E40776">
            <w:pPr>
              <w:pStyle w:val="P68B1DB1-Normal19"/>
              <w:ind w:left="1405"/>
            </w:pPr>
            <w:r>
              <w:t>Депозити от нефинансови предприятия (МСП)</w:t>
            </w:r>
          </w:p>
          <w:p w14:paraId="046B913C" w14:textId="73440AD0" w:rsidR="00FE5D64" w:rsidRDefault="00E40776">
            <w:pPr>
              <w:pStyle w:val="P68B1DB1-Normal19"/>
              <w:ind w:left="1405"/>
            </w:pPr>
            <w:r>
              <w:t>Депозити от нефинансови предприятия, различни от МСП</w:t>
            </w:r>
          </w:p>
          <w:p w14:paraId="2DAF57AE" w14:textId="77777777" w:rsidR="00FE5D64" w:rsidRDefault="00E40776">
            <w:pPr>
              <w:pStyle w:val="P68B1DB1-Normal19"/>
              <w:ind w:left="708"/>
            </w:pPr>
            <w:r>
              <w:t>Депозити от сектор „Държавно управление“</w:t>
            </w:r>
          </w:p>
          <w:p w14:paraId="3AC3807C" w14:textId="77777777" w:rsidR="00FE5D64" w:rsidRDefault="00E40776">
            <w:pPr>
              <w:pStyle w:val="P68B1DB1-Normal19"/>
              <w:ind w:left="708"/>
            </w:pPr>
            <w:r>
              <w:t>Депозити от други сектори/контрагенти (1)</w:t>
            </w:r>
          </w:p>
          <w:p w14:paraId="7924D974" w14:textId="77777777" w:rsidR="00FE5D64" w:rsidRDefault="00E40776">
            <w:pPr>
              <w:pStyle w:val="P68B1DB1-Normal19"/>
              <w:ind w:left="708"/>
            </w:pPr>
            <w:r>
              <w:t>Депозити от други сектори/контрагенти (2)</w:t>
            </w:r>
          </w:p>
          <w:p w14:paraId="15B73120" w14:textId="77777777" w:rsidR="00FE5D64" w:rsidRDefault="00E40776">
            <w:pPr>
              <w:pStyle w:val="P68B1DB1-Normal19"/>
              <w:ind w:left="708"/>
            </w:pPr>
            <w:r>
              <w:t>Депозити от други сектори/контрагенти (3)</w:t>
            </w:r>
          </w:p>
          <w:p w14:paraId="2FE46760" w14:textId="77777777" w:rsidR="00FE5D64" w:rsidRDefault="00FE5D64">
            <w:pPr>
              <w:rPr>
                <w:rFonts w:ascii="Times New Roman" w:hAnsi="Times New Roman" w:cs="Times New Roman"/>
                <w:sz w:val="20"/>
                <w:szCs w:val="20"/>
              </w:rPr>
            </w:pPr>
          </w:p>
          <w:p w14:paraId="685EA40A" w14:textId="77777777" w:rsidR="00FE5D64" w:rsidRDefault="00E40776">
            <w:pPr>
              <w:pStyle w:val="P68B1DB1-Normal19"/>
            </w:pPr>
            <w:r>
              <w:t>Кредитна дейност</w:t>
            </w:r>
          </w:p>
          <w:p w14:paraId="11C80F7E" w14:textId="77777777" w:rsidR="00FE5D64" w:rsidRDefault="00E40776">
            <w:pPr>
              <w:pStyle w:val="P68B1DB1-Normal19"/>
              <w:ind w:left="708"/>
            </w:pPr>
            <w:r>
              <w:t>Кредитиране на домакинства</w:t>
            </w:r>
          </w:p>
          <w:p w14:paraId="430711EA" w14:textId="77777777" w:rsidR="00FE5D64" w:rsidRDefault="00E40776">
            <w:pPr>
              <w:pStyle w:val="P68B1DB1-Normal19"/>
              <w:ind w:left="1416"/>
            </w:pPr>
            <w:r>
              <w:t>Кредитиране на домакинства за покупка на жилище</w:t>
            </w:r>
          </w:p>
          <w:p w14:paraId="0147203E" w14:textId="77777777" w:rsidR="00FE5D64" w:rsidRDefault="00E40776">
            <w:pPr>
              <w:pStyle w:val="P68B1DB1-Normal19"/>
              <w:ind w:left="1416"/>
            </w:pPr>
            <w:r>
              <w:t>Кредитиране на домакинства за покупка, различна от покупка на жилище</w:t>
            </w:r>
          </w:p>
          <w:p w14:paraId="20ACA306" w14:textId="77777777" w:rsidR="00FE5D64" w:rsidRDefault="00E40776">
            <w:pPr>
              <w:pStyle w:val="P68B1DB1-Normal19"/>
              <w:ind w:left="708"/>
            </w:pPr>
            <w:r>
              <w:t>Кредитиране на нефинансови предприятия</w:t>
            </w:r>
          </w:p>
          <w:p w14:paraId="19F6CF03" w14:textId="3FBCFA7C" w:rsidR="00FE5D64" w:rsidRDefault="00E40776">
            <w:pPr>
              <w:pStyle w:val="P68B1DB1-Normal19"/>
              <w:ind w:left="1416"/>
            </w:pPr>
            <w:r>
              <w:t>Кредитиране на малки и средни предприятия (МСП)</w:t>
            </w:r>
          </w:p>
          <w:p w14:paraId="2C705D0D" w14:textId="77777777" w:rsidR="00FE5D64" w:rsidRDefault="00E40776">
            <w:pPr>
              <w:pStyle w:val="P68B1DB1-Normal19"/>
              <w:ind w:left="1416"/>
            </w:pPr>
            <w:r>
              <w:t>Кредитиране на нефинансови предприятия, различни от МСП</w:t>
            </w:r>
          </w:p>
          <w:p w14:paraId="6DAE8B55" w14:textId="77777777" w:rsidR="00FE5D64" w:rsidRDefault="00E40776">
            <w:pPr>
              <w:pStyle w:val="P68B1DB1-Normal19"/>
              <w:ind w:left="708"/>
            </w:pPr>
            <w:r>
              <w:t>Кредитиране на сектори „Държавно управление“</w:t>
            </w:r>
          </w:p>
          <w:p w14:paraId="5C2428A3" w14:textId="77777777" w:rsidR="00FE5D64" w:rsidRDefault="00E40776">
            <w:pPr>
              <w:pStyle w:val="P68B1DB1-Normal19"/>
              <w:ind w:left="708"/>
            </w:pPr>
            <w:r>
              <w:t>Лендиране на други сектори/контрагенти (1)</w:t>
            </w:r>
          </w:p>
          <w:p w14:paraId="7237D4E5" w14:textId="77777777" w:rsidR="00FE5D64" w:rsidRDefault="00E40776">
            <w:pPr>
              <w:pStyle w:val="P68B1DB1-Normal19"/>
              <w:ind w:left="708"/>
            </w:pPr>
            <w:r>
              <w:t>Заемане на други сектори/контрагенти (2)</w:t>
            </w:r>
          </w:p>
          <w:p w14:paraId="62EF53AB" w14:textId="77777777" w:rsidR="00FE5D64" w:rsidRDefault="00E40776">
            <w:pPr>
              <w:pStyle w:val="P68B1DB1-Normal19"/>
              <w:ind w:left="708"/>
            </w:pPr>
            <w:r>
              <w:t>Лендиране на други сектори/контрагенти (3)</w:t>
            </w:r>
          </w:p>
          <w:p w14:paraId="1269B857" w14:textId="77777777" w:rsidR="00FE5D64" w:rsidRDefault="00FE5D64">
            <w:pPr>
              <w:rPr>
                <w:rFonts w:ascii="Times New Roman" w:hAnsi="Times New Roman" w:cs="Times New Roman"/>
                <w:sz w:val="20"/>
                <w:szCs w:val="20"/>
              </w:rPr>
            </w:pPr>
          </w:p>
          <w:p w14:paraId="7CD1A6B0" w14:textId="77777777" w:rsidR="00FE5D64" w:rsidRDefault="00E40776">
            <w:pPr>
              <w:pStyle w:val="P68B1DB1-Normal19"/>
            </w:pPr>
            <w:r>
              <w:t xml:space="preserve">Платежни услуги, касови услуги, услуги по сетълмент, клиринг, попечителство </w:t>
            </w:r>
          </w:p>
          <w:p w14:paraId="11F499EA" w14:textId="77777777" w:rsidR="00FE5D64" w:rsidRDefault="00E40776">
            <w:pPr>
              <w:pStyle w:val="P68B1DB1-Normal19"/>
              <w:ind w:left="708"/>
            </w:pPr>
            <w:r>
              <w:t>Платежни услуги към парично-финансови институции (ПФИ)</w:t>
            </w:r>
          </w:p>
          <w:p w14:paraId="6FC14FBE" w14:textId="4F1706DC" w:rsidR="00FE5D64" w:rsidRDefault="00E40776">
            <w:pPr>
              <w:pStyle w:val="P68B1DB1-Normal19"/>
              <w:ind w:left="708"/>
            </w:pPr>
            <w:bookmarkStart w:id="138" w:name="_Hlk192600698"/>
            <w:r>
              <w:t>Платежни услуги към различни от ПФИ</w:t>
            </w:r>
          </w:p>
          <w:p w14:paraId="704B9B25" w14:textId="77777777" w:rsidR="00FE5D64" w:rsidRDefault="00E40776">
            <w:pPr>
              <w:pStyle w:val="P68B1DB1-Normal19"/>
              <w:ind w:left="1405"/>
            </w:pPr>
            <w:r>
              <w:t>Платежни услуги към различни от ПФИ за домакинства</w:t>
            </w:r>
          </w:p>
          <w:p w14:paraId="1F8BC691" w14:textId="4FE22A42" w:rsidR="00FE5D64" w:rsidRDefault="00E40776">
            <w:pPr>
              <w:pStyle w:val="P68B1DB1-Normal19"/>
              <w:ind w:left="1405"/>
            </w:pPr>
            <w:r>
              <w:t>Платежни услуги към НПФИ за нефинансови предприятия</w:t>
            </w:r>
          </w:p>
          <w:p w14:paraId="39782E47" w14:textId="1287030F" w:rsidR="00FE5D64" w:rsidRDefault="00E40776">
            <w:pPr>
              <w:pStyle w:val="P68B1DB1-Normal19"/>
              <w:ind w:left="1972"/>
            </w:pPr>
            <w:r>
              <w:t>Платежни услуги към НПФИ за нефинансови предприятия (МСП)</w:t>
            </w:r>
          </w:p>
          <w:p w14:paraId="416F0C20" w14:textId="504D6059" w:rsidR="00FE5D64" w:rsidRDefault="00E40776">
            <w:pPr>
              <w:pStyle w:val="P68B1DB1-Normal19"/>
              <w:ind w:left="1972"/>
            </w:pPr>
            <w:r>
              <w:t>Платежни услуги към НПФИ за нефинансови предприятия, различни от МСП</w:t>
            </w:r>
            <w:bookmarkEnd w:id="138"/>
          </w:p>
          <w:p w14:paraId="661D0C87" w14:textId="77777777" w:rsidR="00FE5D64" w:rsidRDefault="00E40776">
            <w:pPr>
              <w:pStyle w:val="P68B1DB1-Normal19"/>
              <w:ind w:left="708"/>
            </w:pPr>
            <w:r>
              <w:t>Касови услуги</w:t>
            </w:r>
          </w:p>
          <w:p w14:paraId="03769573" w14:textId="77777777" w:rsidR="00FE5D64" w:rsidRDefault="00E40776">
            <w:pPr>
              <w:pStyle w:val="P68B1DB1-Normal19"/>
              <w:ind w:left="708"/>
            </w:pPr>
            <w:r>
              <w:t>Услуги по сетълмент на ценни книжа</w:t>
            </w:r>
          </w:p>
          <w:p w14:paraId="775020A9" w14:textId="77777777" w:rsidR="00FE5D64" w:rsidRDefault="00E40776">
            <w:pPr>
              <w:pStyle w:val="P68B1DB1-Normal19"/>
              <w:ind w:left="708"/>
            </w:pPr>
            <w:r>
              <w:t>Услуги по клиринг към централни контрагенти</w:t>
            </w:r>
          </w:p>
          <w:p w14:paraId="5801E2F6" w14:textId="77777777" w:rsidR="00FE5D64" w:rsidRDefault="00E40776">
            <w:pPr>
              <w:pStyle w:val="P68B1DB1-Normal19"/>
              <w:ind w:left="708"/>
            </w:pPr>
            <w:r>
              <w:t>Попечителски услуги</w:t>
            </w:r>
          </w:p>
          <w:p w14:paraId="5B6CE30A" w14:textId="77777777" w:rsidR="00FE5D64" w:rsidRDefault="00E40776">
            <w:pPr>
              <w:pStyle w:val="P68B1DB1-Normal19"/>
              <w:ind w:left="708"/>
            </w:pPr>
            <w:r>
              <w:t>Други услуги/дейности/функции (1), свързани с плащания, пари в брой, сетълмент, клиринг и попечителски услуги</w:t>
            </w:r>
          </w:p>
          <w:p w14:paraId="7B4ED125" w14:textId="77777777" w:rsidR="00FE5D64" w:rsidRDefault="00E40776">
            <w:pPr>
              <w:pStyle w:val="P68B1DB1-Normal19"/>
              <w:ind w:left="708"/>
            </w:pPr>
            <w:r>
              <w:t>Други услуги/дейности/функции (2), свързани с плащания, пари в брой, сетълмент, клиринг и попечителски услуги</w:t>
            </w:r>
          </w:p>
          <w:p w14:paraId="19BA6278" w14:textId="77777777" w:rsidR="00FE5D64" w:rsidRDefault="00E40776">
            <w:pPr>
              <w:pStyle w:val="P68B1DB1-Normal19"/>
              <w:ind w:left="708"/>
            </w:pPr>
            <w:r>
              <w:lastRenderedPageBreak/>
              <w:t>Други услуги/дейности/функции (3), свързани с плащания, пари в брой, сетълмент, клиринг и попечителски услуги</w:t>
            </w:r>
          </w:p>
          <w:p w14:paraId="1E6049F9" w14:textId="77777777" w:rsidR="00FE5D64" w:rsidRDefault="00FE5D64">
            <w:pPr>
              <w:rPr>
                <w:rFonts w:ascii="Times New Roman" w:hAnsi="Times New Roman" w:cs="Times New Roman"/>
                <w:sz w:val="20"/>
                <w:szCs w:val="20"/>
              </w:rPr>
            </w:pPr>
          </w:p>
          <w:p w14:paraId="6F0287A8" w14:textId="77777777" w:rsidR="00FE5D64" w:rsidRDefault="00E40776">
            <w:pPr>
              <w:pStyle w:val="P68B1DB1-Normal19"/>
            </w:pPr>
            <w:r>
              <w:t>Капиталови пазари</w:t>
            </w:r>
          </w:p>
          <w:p w14:paraId="4F1B2CB2" w14:textId="77777777" w:rsidR="00FE5D64" w:rsidRDefault="00E40776">
            <w:pPr>
              <w:pStyle w:val="P68B1DB1-Normal19"/>
              <w:ind w:left="708"/>
            </w:pPr>
            <w:r>
              <w:t xml:space="preserve">Деривати, държани за търгуване </w:t>
            </w:r>
          </w:p>
          <w:p w14:paraId="608E7B75" w14:textId="77777777" w:rsidR="00FE5D64" w:rsidRDefault="00E40776">
            <w:pPr>
              <w:pStyle w:val="P68B1DB1-Normal19"/>
              <w:ind w:left="1416"/>
            </w:pPr>
            <w:r>
              <w:t>Деривати, държани за търгуване на извънборсови деривати</w:t>
            </w:r>
          </w:p>
          <w:p w14:paraId="55232CB1" w14:textId="77777777" w:rsidR="00FE5D64" w:rsidRDefault="00E40776">
            <w:pPr>
              <w:pStyle w:val="P68B1DB1-Normal19"/>
              <w:ind w:left="1416"/>
            </w:pPr>
            <w:r>
              <w:t>Деривати, държани за търгуване в не-извънборсови</w:t>
            </w:r>
          </w:p>
          <w:p w14:paraId="41765F70" w14:textId="77777777" w:rsidR="00FE5D64" w:rsidRDefault="00E40776">
            <w:pPr>
              <w:pStyle w:val="P68B1DB1-Normal19"/>
              <w:ind w:left="708"/>
            </w:pPr>
            <w:r>
              <w:t>Вторични пазари/търгуване</w:t>
            </w:r>
          </w:p>
          <w:p w14:paraId="75381D0F" w14:textId="77777777" w:rsidR="00FE5D64" w:rsidRDefault="00E40776">
            <w:pPr>
              <w:pStyle w:val="P68B1DB1-Normal19"/>
              <w:ind w:left="708"/>
            </w:pPr>
            <w:r>
              <w:t>Първични пазари/поемане</w:t>
            </w:r>
          </w:p>
          <w:p w14:paraId="04BFAC55" w14:textId="77777777" w:rsidR="00FE5D64" w:rsidRDefault="00E40776">
            <w:pPr>
              <w:pStyle w:val="P68B1DB1-Normal19"/>
              <w:ind w:left="708"/>
            </w:pPr>
            <w:r>
              <w:t>Други услуги/дейности/функции (1) в капиталовите пазари</w:t>
            </w:r>
          </w:p>
          <w:p w14:paraId="4842F14D" w14:textId="77777777" w:rsidR="00FE5D64" w:rsidRDefault="00E40776">
            <w:pPr>
              <w:pStyle w:val="P68B1DB1-Normal19"/>
              <w:ind w:left="708"/>
            </w:pPr>
            <w:r>
              <w:t>Други услуги/дейности/функции (2) в капиталовите пазари</w:t>
            </w:r>
          </w:p>
          <w:p w14:paraId="4B2FE832" w14:textId="77777777" w:rsidR="00FE5D64" w:rsidRDefault="00E40776">
            <w:pPr>
              <w:pStyle w:val="P68B1DB1-Normal19"/>
              <w:ind w:left="708"/>
            </w:pPr>
            <w:r>
              <w:t>Други услуги/дейности/функции (3) в капиталовите пазари</w:t>
            </w:r>
          </w:p>
          <w:p w14:paraId="07EB9C1C" w14:textId="77777777" w:rsidR="00FE5D64" w:rsidRDefault="00FE5D64">
            <w:pPr>
              <w:ind w:left="708"/>
              <w:rPr>
                <w:rFonts w:ascii="Times New Roman" w:hAnsi="Times New Roman" w:cs="Times New Roman"/>
                <w:sz w:val="20"/>
                <w:szCs w:val="20"/>
              </w:rPr>
            </w:pPr>
          </w:p>
          <w:p w14:paraId="74D09EC2" w14:textId="77777777" w:rsidR="00FE5D64" w:rsidRDefault="00E40776">
            <w:pPr>
              <w:pStyle w:val="P68B1DB1-Normal19"/>
            </w:pPr>
            <w:r>
              <w:t>Финансиране на едро</w:t>
            </w:r>
          </w:p>
          <w:p w14:paraId="02676859" w14:textId="77777777" w:rsidR="00FE5D64" w:rsidRDefault="00E40776">
            <w:pPr>
              <w:pStyle w:val="P68B1DB1-ListParagraph60"/>
            </w:pPr>
            <w:r>
              <w:t>Получени заеми</w:t>
            </w:r>
          </w:p>
          <w:p w14:paraId="541AD926" w14:textId="77777777" w:rsidR="00FE5D64" w:rsidRDefault="00E40776">
            <w:pPr>
              <w:pStyle w:val="P68B1DB1-ListParagraph60"/>
            </w:pPr>
            <w:r>
              <w:t>Деривати (активи)</w:t>
            </w:r>
          </w:p>
          <w:p w14:paraId="25097734" w14:textId="77777777" w:rsidR="00FE5D64" w:rsidRDefault="00E40776">
            <w:pPr>
              <w:pStyle w:val="P68B1DB1-ListParagraph60"/>
            </w:pPr>
            <w:r>
              <w:t>Кредитна дейност</w:t>
            </w:r>
          </w:p>
          <w:p w14:paraId="772EBBB0" w14:textId="77777777" w:rsidR="00FE5D64" w:rsidRDefault="00E40776">
            <w:pPr>
              <w:pStyle w:val="P68B1DB1-ListParagraph60"/>
            </w:pPr>
            <w:r>
              <w:t>Деривати (пасиви)</w:t>
            </w:r>
          </w:p>
          <w:p w14:paraId="56E338CF" w14:textId="77777777" w:rsidR="00FE5D64" w:rsidRDefault="00E40776">
            <w:pPr>
              <w:pStyle w:val="P68B1DB1-ListParagraph60"/>
            </w:pPr>
            <w:r>
              <w:t>Други видове продукти (1) на пазарите на едро</w:t>
            </w:r>
          </w:p>
          <w:p w14:paraId="6607505D" w14:textId="77777777" w:rsidR="00FE5D64" w:rsidRDefault="00E40776">
            <w:pPr>
              <w:pStyle w:val="P68B1DB1-ListParagraph60"/>
            </w:pPr>
            <w:r>
              <w:t>Други видове продукти (2) на пазарите на едро</w:t>
            </w:r>
          </w:p>
          <w:p w14:paraId="41A2E098" w14:textId="77777777" w:rsidR="00FE5D64" w:rsidRDefault="00E40776">
            <w:pPr>
              <w:pStyle w:val="P68B1DB1-ListParagraph60"/>
            </w:pPr>
            <w:r>
              <w:t>Други видове продукти (3) на пазарите на едро</w:t>
            </w:r>
          </w:p>
          <w:p w14:paraId="7FE1C8DF" w14:textId="2134965F" w:rsidR="00FE5D64" w:rsidRDefault="00FE5D64">
            <w:pPr>
              <w:pStyle w:val="TableParagraph"/>
              <w:spacing w:before="108"/>
              <w:ind w:left="85"/>
              <w:jc w:val="both"/>
              <w:rPr>
                <w:rFonts w:ascii="Times New Roman" w:eastAsia="Times New Roman" w:hAnsi="Times New Roman" w:cs="Times New Roman"/>
                <w:b/>
                <w:bCs/>
                <w:i/>
                <w:iCs/>
                <w:sz w:val="20"/>
                <w:szCs w:val="20"/>
              </w:rPr>
            </w:pPr>
          </w:p>
        </w:tc>
      </w:tr>
      <w:tr w:rsidR="00FE5D64"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FE5D64" w:rsidRDefault="00E40776">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FE5D64" w:rsidRDefault="00E40776">
            <w:pPr>
              <w:pStyle w:val="P68B1DB1-Heading481"/>
              <w:numPr>
                <w:ilvl w:val="3"/>
                <w:numId w:val="0"/>
              </w:numPr>
              <w:ind w:left="360"/>
            </w:pPr>
            <w:r>
              <w:t>Основни ИФП</w:t>
            </w:r>
          </w:p>
        </w:tc>
      </w:tr>
      <w:tr w:rsidR="00FE5D64"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FE5D64" w:rsidRDefault="00E40776">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FE5D64" w:rsidRDefault="00E40776">
            <w:pPr>
              <w:pStyle w:val="P68B1DB1-TableParagraph73"/>
              <w:spacing w:before="108"/>
              <w:ind w:left="85"/>
              <w:jc w:val="both"/>
            </w:pPr>
            <w:r>
              <w:t>Съществена ИФП: ДА/НЕ</w:t>
            </w:r>
          </w:p>
          <w:p w14:paraId="7FE1C8E6" w14:textId="46FA6345" w:rsidR="00FE5D64" w:rsidRDefault="00E40776">
            <w:pPr>
              <w:pStyle w:val="P68B1DB1-TableParagraph40"/>
              <w:numPr>
                <w:ilvl w:val="0"/>
                <w:numId w:val="248"/>
              </w:numPr>
              <w:spacing w:before="108"/>
              <w:jc w:val="both"/>
            </w:pPr>
            <w:r>
              <w:t>„Да“, ако ИФП е от съществено значение</w:t>
            </w:r>
          </w:p>
          <w:p w14:paraId="7FE1C8E7" w14:textId="0EBF3638" w:rsidR="00FE5D64" w:rsidRDefault="00E40776">
            <w:pPr>
              <w:pStyle w:val="P68B1DB1-TableParagraph40"/>
              <w:numPr>
                <w:ilvl w:val="0"/>
                <w:numId w:val="248"/>
              </w:numPr>
              <w:spacing w:before="108"/>
              <w:jc w:val="both"/>
            </w:pPr>
            <w:r>
              <w:t>„Не“, ако ИФП не е от съществено значение</w:t>
            </w:r>
          </w:p>
          <w:p w14:paraId="7FE1C8E8" w14:textId="77777777" w:rsidR="00FE5D64" w:rsidRDefault="00E40776">
            <w:pPr>
              <w:pStyle w:val="P68B1DB1-Heading482"/>
              <w:numPr>
                <w:ilvl w:val="3"/>
                <w:numId w:val="0"/>
              </w:numPr>
              <w:ind w:left="360"/>
            </w:pPr>
            <w:r>
              <w:t>Колони 0020 и 0050 не се изключват взаимно.</w:t>
            </w:r>
          </w:p>
        </w:tc>
      </w:tr>
      <w:tr w:rsidR="00FE5D64"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FE5D64" w:rsidRDefault="00E40776">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FE5D64" w:rsidRDefault="00E40776">
            <w:pPr>
              <w:pStyle w:val="P68B1DB1-TableParagraph73"/>
              <w:spacing w:before="108"/>
              <w:ind w:left="85"/>
              <w:jc w:val="both"/>
            </w:pPr>
            <w:r>
              <w:t>Идентификационен код на основната стопанска дейност</w:t>
            </w:r>
          </w:p>
          <w:p w14:paraId="7FE1C8EC" w14:textId="62673BB2" w:rsidR="00FE5D64" w:rsidRDefault="00E40776">
            <w:pPr>
              <w:pStyle w:val="P68B1DB1-TableParagraph40"/>
              <w:spacing w:before="108"/>
              <w:ind w:left="85"/>
              <w:jc w:val="both"/>
              <w:rPr>
                <w:u w:val="single"/>
              </w:rPr>
            </w:pPr>
            <w:r>
              <w:t>Основни работни линии, извършвани от ползвателя, чието изпълнение би било възпрепятствано или възпрепятствано от прекъсването на достъпа до доставчика на FMI услуги.</w:t>
            </w:r>
          </w:p>
          <w:p w14:paraId="7FE1C8ED" w14:textId="77777777" w:rsidR="00FE5D64" w:rsidRDefault="00E40776">
            <w:pPr>
              <w:pStyle w:val="P68B1DB1-TableParagraph40"/>
              <w:spacing w:before="108"/>
              <w:ind w:left="85"/>
              <w:jc w:val="both"/>
              <w:rPr>
                <w:b/>
                <w:bCs/>
              </w:rPr>
            </w:pPr>
            <w:r>
              <w:t>Идентификационен код на основната стопанска дейност, както е отчетено в Z 07.03, колона 0010.</w:t>
            </w:r>
          </w:p>
        </w:tc>
      </w:tr>
    </w:tbl>
    <w:p w14:paraId="7FE1C8EF" w14:textId="77777777" w:rsidR="00FE5D64" w:rsidRDefault="00FE5D64">
      <w:pPr>
        <w:pStyle w:val="Instructionsberschrift2"/>
        <w:ind w:left="357"/>
        <w:rPr>
          <w:rFonts w:ascii="Times New Roman" w:eastAsia="Calibri" w:hAnsi="Times New Roman" w:cs="Times New Roman"/>
          <w:szCs w:val="20"/>
        </w:rPr>
      </w:pPr>
    </w:p>
    <w:p w14:paraId="7FE1C8F0" w14:textId="77777777" w:rsidR="00FE5D64" w:rsidRDefault="00E40776">
      <w:pPr>
        <w:pStyle w:val="P68B1DB1-Instructionsberschrift271"/>
        <w:numPr>
          <w:ilvl w:val="1"/>
          <w:numId w:val="49"/>
        </w:numPr>
        <w:ind w:left="357" w:hanging="357"/>
      </w:pPr>
      <w:bookmarkStart w:id="139" w:name="_Toc208244481"/>
      <w:r>
        <w:t>Z 09.03 — Услуги на FMI — ключови показатели (FMI 3)</w:t>
      </w:r>
      <w:bookmarkEnd w:id="139"/>
    </w:p>
    <w:p w14:paraId="7FE1C8F1" w14:textId="77777777" w:rsidR="00FE5D64" w:rsidRDefault="00E40776">
      <w:pPr>
        <w:pStyle w:val="P68B1DB1-Numberedtitlelevel383"/>
      </w:pPr>
      <w:r>
        <w:t>Указания относно определени позиции</w:t>
      </w:r>
    </w:p>
    <w:p w14:paraId="7FE1C8F2" w14:textId="6D7EB755" w:rsidR="00FE5D64" w:rsidRDefault="00E40776">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Само за платежни системи, (международни) централни депозитари на ценни книжа, услуги по сетълмент на сделки с ценни книжа, деривати на централен контрагент, ценни книжа на централен контрагент, освен ако не е посочено друго</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FE5D64"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FE5D64" w:rsidRDefault="00E40776">
            <w:pPr>
              <w:pStyle w:val="P68B1DB1-TableParagraph17"/>
              <w:spacing w:before="108"/>
              <w:ind w:left="85"/>
            </w:pPr>
            <w:r>
              <w:t xml:space="preserve">Колони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FE5D64" w:rsidRDefault="00E40776">
            <w:pPr>
              <w:pStyle w:val="P68B1DB1-TableParagraph17"/>
              <w:spacing w:before="108"/>
              <w:ind w:left="85"/>
            </w:pPr>
            <w:r>
              <w:t xml:space="preserve">Указания </w:t>
            </w:r>
          </w:p>
        </w:tc>
      </w:tr>
      <w:tr w:rsidR="00FE5D64"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FE5D64" w:rsidRDefault="00E40776">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FE5D64" w:rsidRDefault="00E40776">
            <w:pPr>
              <w:pStyle w:val="P68B1DB1-TableParagraph73"/>
              <w:spacing w:before="108"/>
              <w:jc w:val="both"/>
            </w:pPr>
            <w:r>
              <w:t xml:space="preserve">Идентификатор, представляващ комбинация от потребител, FMI, тип система и </w:t>
            </w:r>
            <w:r>
              <w:lastRenderedPageBreak/>
              <w:t>посредник</w:t>
            </w:r>
          </w:p>
          <w:p w14:paraId="7FE1C8F8" w14:textId="314C2ABF" w:rsidR="00FE5D64" w:rsidRDefault="00E40776">
            <w:pPr>
              <w:pStyle w:val="P68B1DB1-TableParagraph40"/>
              <w:spacing w:before="108"/>
              <w:jc w:val="both"/>
              <w:rPr>
                <w:b/>
                <w:bCs/>
                <w:i/>
                <w:iCs/>
              </w:rPr>
            </w:pPr>
            <w:r>
              <w:t>За всеки ред се използва единен идентификатор, който съответства на уникална комбинация от потребител, ИФП, тип система и посредник. Един и същ идентификационен номер, съответстващ на една и съща комбинация, трябва да се използва в образци Z 09.01 — Z 09.05, когато е приложимо.</w:t>
            </w:r>
          </w:p>
        </w:tc>
      </w:tr>
      <w:tr w:rsidR="00FE5D64"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FE5D64" w:rsidRDefault="00E40776">
            <w:pPr>
              <w:pStyle w:val="P68B1DB1-Normal31"/>
              <w:rPr>
                <w:strike/>
              </w:rPr>
            </w:pPr>
            <w:r>
              <w:lastRenderedPageBreak/>
              <w:t>0020</w:t>
            </w:r>
          </w:p>
        </w:tc>
        <w:tc>
          <w:tcPr>
            <w:tcW w:w="7832" w:type="dxa"/>
            <w:tcBorders>
              <w:top w:val="single" w:sz="8" w:space="0" w:color="auto"/>
              <w:left w:val="single" w:sz="8" w:space="0" w:color="auto"/>
              <w:bottom w:val="single" w:sz="8" w:space="0" w:color="auto"/>
            </w:tcBorders>
            <w:vAlign w:val="bottom"/>
          </w:tcPr>
          <w:p w14:paraId="7FE1C8FB" w14:textId="77777777" w:rsidR="00FE5D64" w:rsidRDefault="00E40776">
            <w:pPr>
              <w:pStyle w:val="P68B1DB1-TableParagraph73"/>
              <w:spacing w:before="108"/>
              <w:jc w:val="both"/>
            </w:pPr>
            <w:r>
              <w:t>Сегмент</w:t>
            </w:r>
          </w:p>
          <w:p w14:paraId="7FE1C8FC" w14:textId="77777777" w:rsidR="00FE5D64" w:rsidRDefault="00E40776">
            <w:pPr>
              <w:pStyle w:val="P68B1DB1-TableParagraph40"/>
              <w:spacing w:before="108"/>
              <w:ind w:left="85"/>
              <w:jc w:val="both"/>
              <w:rPr>
                <w:b/>
                <w:bCs/>
                <w:i/>
                <w:iCs/>
                <w:strike/>
              </w:rPr>
            </w:pPr>
            <w:r>
              <w:t xml:space="preserve">Пазарни сегменти, в които потребителят извършва дейност. По един ред на сегмент. Докладва се само за ЦК. </w:t>
            </w:r>
          </w:p>
        </w:tc>
      </w:tr>
      <w:tr w:rsidR="00FE5D64"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FE5D64" w:rsidRDefault="00E40776">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FE5D64" w:rsidRDefault="00E40776">
            <w:pPr>
              <w:pStyle w:val="P68B1DB1-TableParagraph73"/>
              <w:spacing w:before="108"/>
              <w:jc w:val="both"/>
            </w:pPr>
            <w:r>
              <w:t>Вноска във Фонда за неизпълнение</w:t>
            </w:r>
          </w:p>
          <w:p w14:paraId="7FE1C900" w14:textId="77777777" w:rsidR="00FE5D64" w:rsidRDefault="00E40776">
            <w:pPr>
              <w:pStyle w:val="P68B1DB1-TableParagraph40"/>
              <w:spacing w:before="108"/>
              <w:jc w:val="both"/>
            </w:pPr>
            <w:r>
              <w:t xml:space="preserve">Вноска в гаранционния фонд. Средна сума за годината. </w:t>
            </w:r>
          </w:p>
          <w:p w14:paraId="7FE1C901" w14:textId="77777777" w:rsidR="00FE5D64" w:rsidRDefault="00E40776">
            <w:pPr>
              <w:pStyle w:val="P68B1DB1-TableParagraph40"/>
              <w:spacing w:before="108"/>
              <w:ind w:left="85"/>
              <w:jc w:val="both"/>
              <w:rPr>
                <w:b/>
                <w:bCs/>
                <w:i/>
                <w:iCs/>
              </w:rPr>
            </w:pPr>
            <w:r>
              <w:t>Докладва се само за ЦК.</w:t>
            </w:r>
          </w:p>
        </w:tc>
      </w:tr>
      <w:tr w:rsidR="00FE5D64"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FE5D64" w:rsidRDefault="00E40776">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FE5D64" w:rsidRDefault="00E40776">
            <w:pPr>
              <w:pStyle w:val="P68B1DB1-TableParagraph73"/>
              <w:spacing w:before="108"/>
              <w:jc w:val="both"/>
              <w:rPr>
                <w:bCs/>
              </w:rPr>
            </w:pPr>
            <w:r>
              <w:t>Първоначален маржин по собствени и клиентски сметки</w:t>
            </w:r>
          </w:p>
          <w:p w14:paraId="7FE1C905" w14:textId="1C30A5D8" w:rsidR="00FE5D64" w:rsidRDefault="00E40776">
            <w:pPr>
              <w:pStyle w:val="P68B1DB1-TableParagraph40"/>
              <w:spacing w:before="108"/>
              <w:ind w:left="85"/>
              <w:jc w:val="both"/>
              <w:rPr>
                <w:b/>
              </w:rPr>
            </w:pPr>
            <w:r>
              <w:t>Предоставен първоначален маржин, разделен по къщи и клиентски сметки. Средна сума за годината. Докладва се само за ЦК. Колона 0050 включва както общи, така и индивидуални стойности на клиентските сметки.</w:t>
            </w:r>
          </w:p>
        </w:tc>
      </w:tr>
      <w:tr w:rsidR="00FE5D64"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FE5D64" w:rsidRDefault="00E40776">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FE5D64" w:rsidRDefault="00E40776">
            <w:pPr>
              <w:pStyle w:val="P68B1DB1-TableParagraph73"/>
              <w:spacing w:before="108"/>
              <w:ind w:left="85"/>
              <w:jc w:val="both"/>
            </w:pPr>
            <w:r>
              <w:t>Стойност на позициите по собствени и клиентски сметки</w:t>
            </w:r>
          </w:p>
          <w:p w14:paraId="7FE1C909" w14:textId="2662FB34" w:rsidR="00FE5D64" w:rsidRDefault="00E40776">
            <w:pPr>
              <w:pStyle w:val="P68B1DB1-TableParagraph40"/>
              <w:spacing w:before="108"/>
              <w:ind w:left="85"/>
              <w:jc w:val="both"/>
            </w:pPr>
            <w:r>
              <w:t>Докладва се само за ЦК и (I) ЦДЦК. Колона 0070 включва както общи, така и индивидуални стойности на клиентските сметки.</w:t>
            </w:r>
          </w:p>
          <w:p w14:paraId="7FE1C90A" w14:textId="77777777" w:rsidR="00FE5D64" w:rsidRDefault="00E40776">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ЦК: Стойност на позициите в ЦК в съответните видове сметки</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FE5D64" w:rsidRDefault="00E40776">
            <w:pPr>
              <w:pStyle w:val="P68B1DB1-TableParagraph40"/>
              <w:numPr>
                <w:ilvl w:val="0"/>
                <w:numId w:val="249"/>
              </w:numPr>
              <w:spacing w:before="108"/>
              <w:jc w:val="both"/>
            </w:pPr>
            <w:r>
              <w:t xml:space="preserve">И) ЦДЦК: Стойност на ценните книжа, държани в съответните видове сметки. </w:t>
            </w:r>
          </w:p>
          <w:p w14:paraId="7FE1C90C" w14:textId="77777777" w:rsidR="00FE5D64" w:rsidRDefault="00E40776">
            <w:pPr>
              <w:pStyle w:val="P68B1DB1-TableParagraph40"/>
              <w:spacing w:before="108"/>
              <w:ind w:left="85"/>
              <w:jc w:val="both"/>
              <w:rPr>
                <w:b/>
              </w:rPr>
            </w:pPr>
            <w:r>
              <w:t xml:space="preserve">Средна стойност в края на деня на сетълмента за предходната година. </w:t>
            </w:r>
          </w:p>
        </w:tc>
      </w:tr>
      <w:tr w:rsidR="00FE5D64"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FE5D64" w:rsidRDefault="00E40776">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FE5D64" w:rsidRDefault="00E40776">
            <w:pPr>
              <w:pStyle w:val="P68B1DB1-TableParagraph73"/>
              <w:spacing w:before="108"/>
              <w:ind w:left="85"/>
              <w:jc w:val="both"/>
            </w:pPr>
            <w:r>
              <w:t xml:space="preserve">Брой клиенти </w:t>
            </w:r>
          </w:p>
          <w:p w14:paraId="7FE1C910" w14:textId="77777777" w:rsidR="00FE5D64" w:rsidRDefault="00E40776">
            <w:pPr>
              <w:pStyle w:val="P68B1DB1-TableParagraph40"/>
              <w:spacing w:before="108"/>
              <w:ind w:left="85"/>
              <w:jc w:val="both"/>
            </w:pPr>
            <w:r>
              <w:t xml:space="preserve">Докладва се само за ЦК и (I) ЦДЦК. </w:t>
            </w:r>
          </w:p>
          <w:p w14:paraId="7FE1C911" w14:textId="77777777" w:rsidR="00FE5D64" w:rsidRDefault="00E40776">
            <w:pPr>
              <w:pStyle w:val="P68B1DB1-Heading482"/>
              <w:numPr>
                <w:ilvl w:val="3"/>
                <w:numId w:val="0"/>
              </w:numPr>
              <w:ind w:left="360"/>
              <w:rPr>
                <w:strike/>
                <w:color w:val="D13438"/>
              </w:rPr>
            </w:pPr>
            <w:r>
              <w:t>Общ брой клиенти, включени в различните видове клиентски сметки.</w:t>
            </w:r>
          </w:p>
        </w:tc>
      </w:tr>
      <w:tr w:rsidR="00FE5D64"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FE5D64" w:rsidRDefault="00E40776">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FE5D64" w:rsidRDefault="00E40776">
            <w:pPr>
              <w:pStyle w:val="P68B1DB1-TableParagraph73"/>
              <w:spacing w:before="108"/>
              <w:ind w:left="85"/>
              <w:jc w:val="both"/>
            </w:pPr>
            <w:r>
              <w:t>Брой на сделките със собствени сметки и клиентски сметки</w:t>
            </w:r>
          </w:p>
          <w:p w14:paraId="7FE1C915" w14:textId="77777777" w:rsidR="00FE5D64" w:rsidRDefault="00E40776">
            <w:pPr>
              <w:pStyle w:val="P68B1DB1-Heading482"/>
              <w:numPr>
                <w:ilvl w:val="3"/>
                <w:numId w:val="0"/>
              </w:numPr>
              <w:ind w:left="360"/>
              <w:rPr>
                <w:strike/>
                <w:color w:val="D13438"/>
                <w:u w:val="single"/>
              </w:rPr>
            </w:pPr>
            <w:r>
              <w:t xml:space="preserve">Общ брой на сделките, изпълнени през годината за съответните видове сметки. </w:t>
            </w:r>
          </w:p>
        </w:tc>
      </w:tr>
      <w:tr w:rsidR="00FE5D64"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FE5D64" w:rsidRDefault="00E40776">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FE5D64" w:rsidRDefault="00E40776">
            <w:pPr>
              <w:pStyle w:val="P68B1DB1-TableParagraph73"/>
              <w:spacing w:before="108"/>
              <w:ind w:left="85"/>
              <w:jc w:val="both"/>
            </w:pPr>
            <w:r>
              <w:t>Стойност на сделките по собствени и клиентски сметки</w:t>
            </w:r>
          </w:p>
          <w:p w14:paraId="7FE1C919" w14:textId="7A080DD4" w:rsidR="00FE5D64" w:rsidRDefault="00E40776">
            <w:pPr>
              <w:pStyle w:val="P68B1DB1-TableParagraph40"/>
              <w:spacing w:before="108"/>
              <w:ind w:left="85"/>
              <w:jc w:val="both"/>
            </w:pPr>
            <w:r>
              <w:t xml:space="preserve">Стойност на трансакциите през отчетната година от съответните видове сметки. Колона 0130 включва както общи, така и отделни стойности на клиентските сметки. </w:t>
            </w:r>
          </w:p>
          <w:p w14:paraId="7FE1C91A" w14:textId="77777777" w:rsidR="00FE5D64" w:rsidRDefault="00E40776">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Доклад за PS, CCP, (I) ЦДЦК</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FE5D64" w:rsidRDefault="00E40776">
            <w:pPr>
              <w:pStyle w:val="P68B1DB1-TableParagraph40"/>
              <w:numPr>
                <w:ilvl w:val="0"/>
                <w:numId w:val="250"/>
              </w:numPr>
              <w:spacing w:before="108"/>
              <w:jc w:val="both"/>
            </w:pPr>
            <w:r>
              <w:t>PS: Стойност на операциите по изпращане.</w:t>
            </w:r>
          </w:p>
          <w:p w14:paraId="7FE1C91C" w14:textId="77777777" w:rsidR="00FE5D64" w:rsidRDefault="00E40776">
            <w:pPr>
              <w:pStyle w:val="P68B1DB1-TableParagraph40"/>
              <w:numPr>
                <w:ilvl w:val="0"/>
                <w:numId w:val="250"/>
              </w:numPr>
              <w:spacing w:before="108"/>
              <w:jc w:val="both"/>
            </w:pPr>
            <w:r>
              <w:t>ЦК: Обща стойност на сделките, изпълнени през годината. За CCP-Derivatives:</w:t>
            </w:r>
          </w:p>
          <w:p w14:paraId="7FE1C91D" w14:textId="77777777" w:rsidR="00FE5D64" w:rsidRDefault="00E40776">
            <w:pPr>
              <w:pStyle w:val="P68B1DB1-TableParagraph40"/>
              <w:numPr>
                <w:ilvl w:val="1"/>
                <w:numId w:val="250"/>
              </w:numPr>
              <w:spacing w:before="108"/>
              <w:jc w:val="both"/>
            </w:pPr>
            <w:r>
              <w:t>Опции = цена на упражняване;</w:t>
            </w:r>
          </w:p>
          <w:p w14:paraId="7FE1C91E" w14:textId="77777777" w:rsidR="00FE5D64" w:rsidRDefault="00E40776">
            <w:pPr>
              <w:pStyle w:val="P68B1DB1-TableParagraph40"/>
              <w:numPr>
                <w:ilvl w:val="1"/>
                <w:numId w:val="250"/>
              </w:numPr>
              <w:spacing w:before="108"/>
              <w:jc w:val="both"/>
            </w:pPr>
            <w:r>
              <w:t>Фючърси = стойността на базисния инструмент към момента на сделката или, ако съществува условен базов инструмент, пазарната цена на фючърсните договори към момента на сделката.</w:t>
            </w:r>
          </w:p>
          <w:p w14:paraId="7FE1C91F" w14:textId="77777777" w:rsidR="00FE5D64" w:rsidRDefault="00E40776">
            <w:pPr>
              <w:pStyle w:val="P68B1DB1-TableParagraph40"/>
              <w:numPr>
                <w:ilvl w:val="1"/>
                <w:numId w:val="250"/>
              </w:numPr>
              <w:spacing w:before="108"/>
              <w:jc w:val="both"/>
            </w:pPr>
            <w:r>
              <w:lastRenderedPageBreak/>
              <w:t>Суапове = общата пазарна стойност на неприключените сделки към края на годината.</w:t>
            </w:r>
          </w:p>
          <w:p w14:paraId="7FE1C920" w14:textId="22076F29" w:rsidR="00FE5D64" w:rsidRDefault="00E40776">
            <w:pPr>
              <w:pStyle w:val="P68B1DB1-TableParagraph40"/>
              <w:numPr>
                <w:ilvl w:val="0"/>
                <w:numId w:val="250"/>
              </w:numPr>
              <w:spacing w:before="108"/>
              <w:jc w:val="both"/>
              <w:rPr>
                <w:strike/>
                <w:color w:val="D13438"/>
                <w:u w:val="single"/>
              </w:rPr>
            </w:pPr>
            <w:r>
              <w:t xml:space="preserve">И) ЦДЦК: Обща стойност на инструкциите за доставка. </w:t>
            </w:r>
          </w:p>
        </w:tc>
      </w:tr>
      <w:tr w:rsidR="00FE5D64"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FE5D64" w:rsidRDefault="00E40776">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FE5D64" w:rsidRDefault="00E40776">
            <w:pPr>
              <w:pStyle w:val="P68B1DB1-TableParagraph73"/>
              <w:spacing w:before="108" w:after="120"/>
              <w:ind w:left="85"/>
              <w:jc w:val="both"/>
            </w:pPr>
            <w:r>
              <w:t>Кумулативна условна стойност</w:t>
            </w:r>
          </w:p>
          <w:p w14:paraId="7FE1C924" w14:textId="77777777" w:rsidR="00FE5D64" w:rsidRDefault="00E40776">
            <w:pPr>
              <w:pStyle w:val="P68B1DB1-TableParagraph40"/>
              <w:spacing w:before="108"/>
              <w:ind w:left="85"/>
              <w:jc w:val="both"/>
            </w:pPr>
            <w:r>
              <w:t xml:space="preserve">Сборът от условните стойности на сделките, изпълнени през годината, както за сметки на къщи, така и за сметки на клиенти. Докладва се в млрд. евро. </w:t>
            </w:r>
          </w:p>
          <w:p w14:paraId="7FE1C925" w14:textId="77777777" w:rsidR="00FE5D64" w:rsidRDefault="00E40776">
            <w:pPr>
              <w:pStyle w:val="P68B1DB1-Heading482"/>
              <w:numPr>
                <w:ilvl w:val="3"/>
                <w:numId w:val="0"/>
              </w:numPr>
              <w:ind w:left="360"/>
              <w:rPr>
                <w:strike/>
                <w:color w:val="D13438"/>
                <w:u w:val="single"/>
              </w:rPr>
            </w:pPr>
            <w:r>
              <w:t>Само за CCP-Derivatives.</w:t>
            </w:r>
          </w:p>
        </w:tc>
      </w:tr>
      <w:tr w:rsidR="00FE5D64"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FE5D64" w:rsidRDefault="00E40776">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FE5D64" w:rsidRDefault="00E40776">
            <w:pPr>
              <w:pStyle w:val="P68B1DB1-TableParagraph73"/>
              <w:spacing w:before="108"/>
              <w:ind w:left="85"/>
              <w:jc w:val="both"/>
            </w:pPr>
            <w:r>
              <w:t>Кредитна линия</w:t>
            </w:r>
          </w:p>
          <w:p w14:paraId="7FE1C929" w14:textId="77777777" w:rsidR="00FE5D64" w:rsidRDefault="00E40776">
            <w:pPr>
              <w:pStyle w:val="P68B1DB1-Heading482"/>
              <w:numPr>
                <w:ilvl w:val="3"/>
                <w:numId w:val="0"/>
              </w:numPr>
              <w:ind w:left="360"/>
              <w:rPr>
                <w:strike/>
                <w:color w:val="D13438"/>
                <w:u w:val="single"/>
              </w:rPr>
            </w:pPr>
            <w:r>
              <w:t xml:space="preserve">Кредитна линия, за която е поето задължение или не е поето задължение, предоставена от системата в случай на пряк достъп, или от посредника или друг доставчик на ликвидност в случай на непряк достъп. За неоповестените суми — максимално използване през годината. </w:t>
            </w:r>
          </w:p>
        </w:tc>
      </w:tr>
      <w:tr w:rsidR="00FE5D64"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FE5D64" w:rsidRDefault="00E40776">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FE5D64" w:rsidRDefault="00E40776">
            <w:pPr>
              <w:pStyle w:val="P68B1DB1-TableParagraph73"/>
              <w:spacing w:before="108"/>
              <w:ind w:left="85"/>
              <w:jc w:val="both"/>
            </w:pPr>
            <w:r>
              <w:t>Пикова стойност на изискванията за ликвидност или обезпечение</w:t>
            </w:r>
          </w:p>
          <w:p w14:paraId="7FE1C92D" w14:textId="77777777" w:rsidR="00FE5D64" w:rsidRDefault="00E40776">
            <w:pPr>
              <w:pStyle w:val="P68B1DB1-TableParagraph40"/>
              <w:spacing w:before="108"/>
              <w:ind w:left="85"/>
              <w:jc w:val="both"/>
            </w:pPr>
            <w:r>
              <w:t>Докладва се само за ЦК, (I) ЦДЦК, ЦК, според случая. Върхова стойност през предходната година.</w:t>
            </w:r>
          </w:p>
          <w:p w14:paraId="7FE1C92E" w14:textId="77777777" w:rsidR="00FE5D64" w:rsidRDefault="00E40776">
            <w:pPr>
              <w:pStyle w:val="P68B1DB1-TableParagraph40"/>
              <w:numPr>
                <w:ilvl w:val="0"/>
                <w:numId w:val="251"/>
              </w:numPr>
              <w:spacing w:before="108"/>
              <w:jc w:val="both"/>
            </w:pPr>
            <w:r>
              <w:t xml:space="preserve">За (I) ЦДЦК и PS: пик на използването на кредитни линии.  </w:t>
            </w:r>
          </w:p>
          <w:p w14:paraId="7FE1C92F" w14:textId="77777777" w:rsidR="00FE5D64" w:rsidRDefault="00E40776">
            <w:pPr>
              <w:pStyle w:val="P68B1DB1-TableParagraph40"/>
              <w:numPr>
                <w:ilvl w:val="0"/>
                <w:numId w:val="251"/>
              </w:numPr>
              <w:spacing w:before="108"/>
              <w:jc w:val="both"/>
            </w:pPr>
            <w:r>
              <w:t>За ЦК: пикова стойност на изискванията за допълнително обезпечение.</w:t>
            </w:r>
          </w:p>
          <w:p w14:paraId="7FE1C930" w14:textId="77777777" w:rsidR="00FE5D64" w:rsidRDefault="00E40776">
            <w:pPr>
              <w:pStyle w:val="P68B1DB1-TableParagraph40"/>
              <w:numPr>
                <w:ilvl w:val="0"/>
                <w:numId w:val="251"/>
              </w:numPr>
              <w:spacing w:before="108"/>
              <w:jc w:val="both"/>
              <w:rPr>
                <w:strike/>
                <w:color w:val="D13438"/>
                <w:u w:val="single"/>
              </w:rPr>
            </w:pPr>
            <w:r>
              <w:t>За непряк достъп: върхово финансиране, изисквано от посредника.</w:t>
            </w:r>
          </w:p>
        </w:tc>
      </w:tr>
      <w:tr w:rsidR="00FE5D64"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FE5D64" w:rsidRDefault="00E40776">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FE5D64" w:rsidRDefault="00E40776">
            <w:pPr>
              <w:pStyle w:val="P68B1DB1-TableParagraph73"/>
              <w:spacing w:before="108"/>
              <w:ind w:left="85"/>
              <w:jc w:val="both"/>
            </w:pPr>
            <w:r>
              <w:t>Очаквани допълнителни изисквания за ликвидност или обезпечение при стресова ситуация</w:t>
            </w:r>
          </w:p>
          <w:p w14:paraId="7FE1C934" w14:textId="16041565" w:rsidR="00FE5D64" w:rsidRDefault="00E40776">
            <w:pPr>
              <w:pStyle w:val="P68B1DB1-Heading482"/>
              <w:numPr>
                <w:ilvl w:val="3"/>
                <w:numId w:val="0"/>
              </w:numPr>
              <w:ind w:left="360"/>
              <w:rPr>
                <w:strike/>
                <w:color w:val="D13438"/>
                <w:u w:val="single"/>
              </w:rPr>
            </w:pPr>
            <w:r>
              <w:t xml:space="preserve">Оценка на потенциалната допълнителна ликвидност или обезпечение над изискването за върховите стойности в колона 0160, което потребителят може да бъде изправен в ситуация на сериозно напрежение. </w:t>
            </w:r>
          </w:p>
        </w:tc>
      </w:tr>
    </w:tbl>
    <w:p w14:paraId="7FE1C936" w14:textId="77777777" w:rsidR="00FE5D64" w:rsidRDefault="00FE5D64">
      <w:pPr>
        <w:pStyle w:val="Instructionsberschrift2"/>
        <w:ind w:left="357"/>
        <w:rPr>
          <w:rFonts w:ascii="Times New Roman" w:eastAsia="Calibri" w:hAnsi="Times New Roman" w:cs="Times New Roman"/>
          <w:szCs w:val="20"/>
        </w:rPr>
      </w:pPr>
    </w:p>
    <w:p w14:paraId="7FE1C937" w14:textId="77777777" w:rsidR="00FE5D64" w:rsidRDefault="00E40776">
      <w:pPr>
        <w:pStyle w:val="P68B1DB1-Instructionsberschrift271"/>
        <w:numPr>
          <w:ilvl w:val="1"/>
          <w:numId w:val="49"/>
        </w:numPr>
        <w:ind w:left="357" w:hanging="357"/>
      </w:pPr>
      <w:bookmarkStart w:id="140" w:name="_Toc208244482"/>
      <w:r>
        <w:t>Z 09.04 — Услуги, свързани с ИФП — ЦК — алтернативни доставчици (ИФП 4)</w:t>
      </w:r>
      <w:bookmarkEnd w:id="140"/>
    </w:p>
    <w:tbl>
      <w:tblPr>
        <w:tblW w:w="0" w:type="auto"/>
        <w:tblInd w:w="135" w:type="dxa"/>
        <w:tblLook w:val="04A0" w:firstRow="1" w:lastRow="0" w:firstColumn="1" w:lastColumn="0" w:noHBand="0" w:noVBand="1"/>
      </w:tblPr>
      <w:tblGrid>
        <w:gridCol w:w="1178"/>
        <w:gridCol w:w="7713"/>
      </w:tblGrid>
      <w:tr w:rsidR="00FE5D64"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FE5D64" w:rsidRDefault="00E40776">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Колони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FE5D64" w:rsidRDefault="00E40776">
            <w:pPr>
              <w:pStyle w:val="P68B1DB1-TableParagraph17"/>
              <w:spacing w:before="108"/>
              <w:ind w:left="85"/>
            </w:pPr>
            <w:r>
              <w:t xml:space="preserve">Указания </w:t>
            </w:r>
          </w:p>
        </w:tc>
      </w:tr>
      <w:tr w:rsidR="00FE5D64"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FE5D64" w:rsidRDefault="00E40776">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FE5D64" w:rsidRDefault="00E40776">
            <w:pPr>
              <w:pStyle w:val="P68B1DB1-TableParagraph73"/>
              <w:spacing w:before="108"/>
              <w:ind w:left="85"/>
              <w:jc w:val="both"/>
            </w:pPr>
            <w:r>
              <w:t>Идентификатор, представляващ комбинация от потребител, FMI, тип система и посредник</w:t>
            </w:r>
          </w:p>
          <w:p w14:paraId="7FE1CBEF" w14:textId="2166D4DC" w:rsidR="00FE5D64" w:rsidRDefault="00E40776">
            <w:pPr>
              <w:pStyle w:val="P68B1DB1-TableParagraph40"/>
              <w:spacing w:before="108"/>
              <w:ind w:left="85"/>
              <w:jc w:val="both"/>
            </w:pPr>
            <w:r>
              <w:t xml:space="preserve">Идентификатор на ЦК, както е посочено в Z 09.01, колона 0010. </w:t>
            </w:r>
          </w:p>
          <w:p w14:paraId="7FE1CBF2" w14:textId="2A5BCF53" w:rsidR="00FE5D64" w:rsidRDefault="00E40776">
            <w:pPr>
              <w:pStyle w:val="P68B1DB1-TableParagraph40"/>
              <w:spacing w:before="108"/>
              <w:ind w:left="85"/>
              <w:jc w:val="both"/>
              <w:rPr>
                <w:b/>
                <w:bCs/>
                <w:i/>
                <w:iCs/>
              </w:rPr>
            </w:pPr>
            <w:r>
              <w:t>Докладвайте само за ЦК, до които е осъществен пряк или непряк достъп. Докладвайте на ЦК за всички видове достъп.</w:t>
            </w:r>
          </w:p>
        </w:tc>
      </w:tr>
      <w:tr w:rsidR="00FE5D64"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FE5D64" w:rsidRDefault="00E40776">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FE5D64" w:rsidRDefault="00E40776">
            <w:pPr>
              <w:pStyle w:val="P68B1DB1-TableParagraph73"/>
              <w:spacing w:before="108"/>
              <w:ind w:left="85"/>
              <w:jc w:val="both"/>
              <w:rPr>
                <w:bCs/>
              </w:rPr>
            </w:pPr>
            <w:r>
              <w:t>Вид продукт</w:t>
            </w:r>
          </w:p>
          <w:p w14:paraId="7FE1CBF8" w14:textId="236012E4" w:rsidR="00FE5D64" w:rsidRDefault="00E40776">
            <w:pPr>
              <w:pStyle w:val="P68B1DB1-TableParagraph40"/>
              <w:spacing w:before="108"/>
              <w:ind w:left="85"/>
              <w:jc w:val="both"/>
              <w:rPr>
                <w:b/>
                <w:bCs/>
                <w:i/>
                <w:iCs/>
              </w:rPr>
            </w:pPr>
            <w:r>
              <w:t xml:space="preserve">Вид продукт, обхванат от споразумението за клиринг. Докладвайте на подходящо ниво на детайлност, необходимо за анализа на заменяемостта. </w:t>
            </w:r>
          </w:p>
        </w:tc>
      </w:tr>
      <w:tr w:rsidR="00FE5D64"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FE5D64" w:rsidRDefault="00E40776">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FE5D64" w:rsidRDefault="00E40776">
            <w:pPr>
              <w:pStyle w:val="P68B1DB1-TableParagraph73"/>
              <w:spacing w:before="108"/>
              <w:ind w:left="85"/>
              <w:jc w:val="both"/>
            </w:pPr>
            <w:r>
              <w:t>Заменяемост Да/Не</w:t>
            </w:r>
          </w:p>
          <w:p w14:paraId="7FE1CBFC" w14:textId="24D3331D" w:rsidR="00FE5D64" w:rsidRDefault="00E40776">
            <w:pPr>
              <w:pStyle w:val="P68B1DB1-TableParagraph40"/>
              <w:spacing w:before="108"/>
              <w:ind w:left="85"/>
              <w:jc w:val="both"/>
            </w:pPr>
            <w:r>
              <w:t>Способност на потребителя да замени доставчика на клирингови услуги в Z 09.01, колона 0020 с алтернативна ИФП/посредник, с който има договорни отношения към отчетната дата. .</w:t>
            </w:r>
          </w:p>
          <w:p w14:paraId="7FE1CBFE" w14:textId="1F022B26" w:rsidR="00FE5D64" w:rsidRDefault="00E40776">
            <w:pPr>
              <w:pStyle w:val="P68B1DB1-TableParagraph40"/>
              <w:numPr>
                <w:ilvl w:val="0"/>
                <w:numId w:val="256"/>
              </w:numPr>
              <w:spacing w:before="108"/>
              <w:jc w:val="both"/>
            </w:pPr>
            <w:r>
              <w:t>„Да“, ако е възможно заместване</w:t>
            </w:r>
          </w:p>
          <w:p w14:paraId="7FE1CBFF" w14:textId="719E31EA" w:rsidR="00FE5D64" w:rsidRDefault="00E40776">
            <w:pPr>
              <w:pStyle w:val="P68B1DB1-TableParagraph40"/>
              <w:numPr>
                <w:ilvl w:val="0"/>
                <w:numId w:val="256"/>
              </w:numPr>
              <w:spacing w:before="108"/>
              <w:jc w:val="both"/>
            </w:pPr>
            <w:r>
              <w:t>„Не“, ако замяната не е възможна</w:t>
            </w:r>
          </w:p>
          <w:p w14:paraId="7FE1CC02" w14:textId="77777777" w:rsidR="00FE5D64" w:rsidRDefault="00FE5D64">
            <w:pPr>
              <w:pStyle w:val="TableParagraph"/>
              <w:spacing w:before="108"/>
              <w:jc w:val="both"/>
              <w:rPr>
                <w:rFonts w:ascii="Times New Roman" w:eastAsia="Times New Roman" w:hAnsi="Times New Roman" w:cs="Times New Roman"/>
                <w:b/>
                <w:sz w:val="20"/>
                <w:szCs w:val="20"/>
              </w:rPr>
            </w:pPr>
          </w:p>
        </w:tc>
      </w:tr>
      <w:tr w:rsidR="00FE5D64"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FE5D64" w:rsidRDefault="00E40776">
            <w:pPr>
              <w:pStyle w:val="P68B1DB1-Normal31"/>
            </w:pPr>
            <w:r>
              <w:lastRenderedPageBreak/>
              <w:t>0040</w:t>
            </w:r>
          </w:p>
        </w:tc>
        <w:tc>
          <w:tcPr>
            <w:tcW w:w="7713" w:type="dxa"/>
            <w:tcBorders>
              <w:top w:val="single" w:sz="8" w:space="0" w:color="auto"/>
              <w:left w:val="single" w:sz="8" w:space="0" w:color="auto"/>
              <w:bottom w:val="single" w:sz="8" w:space="0" w:color="auto"/>
            </w:tcBorders>
            <w:vAlign w:val="bottom"/>
          </w:tcPr>
          <w:p w14:paraId="7FE1CC05" w14:textId="77777777" w:rsidR="00FE5D64" w:rsidRDefault="00E40776">
            <w:pPr>
              <w:pStyle w:val="P68B1DB1-TableParagraph73"/>
              <w:spacing w:before="108" w:after="120"/>
              <w:jc w:val="both"/>
              <w:rPr>
                <w:bCs/>
              </w:rPr>
            </w:pPr>
            <w:r>
              <w:t>Алтернативен доставчик</w:t>
            </w:r>
          </w:p>
          <w:p w14:paraId="7FE1CC06" w14:textId="77777777" w:rsidR="00FE5D64" w:rsidRDefault="00E40776">
            <w:pPr>
              <w:pStyle w:val="P68B1DB1-Normal31"/>
              <w:spacing w:line="276" w:lineRule="auto"/>
              <w:jc w:val="both"/>
            </w:pPr>
            <w:r>
              <w:t xml:space="preserve">Наименование на ИФП/посредник, идентифициран като потенциален заместител. </w:t>
            </w:r>
          </w:p>
          <w:p w14:paraId="7FE1CC07" w14:textId="2011DAFC" w:rsidR="00FE5D64" w:rsidRDefault="00E40776">
            <w:pPr>
              <w:pStyle w:val="P68B1DB1-TableParagraph40"/>
              <w:spacing w:before="108"/>
              <w:ind w:left="85"/>
              <w:jc w:val="both"/>
              <w:rPr>
                <w:b/>
                <w:bCs/>
              </w:rPr>
            </w:pPr>
            <w:r>
              <w:t>Докладва се само ако Z 09.04, колона 0030 е „Да“.</w:t>
            </w:r>
          </w:p>
        </w:tc>
      </w:tr>
      <w:tr w:rsidR="00FE5D64"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FE5D64" w:rsidRDefault="00E40776">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FE5D64" w:rsidRDefault="00E40776">
            <w:pPr>
              <w:pStyle w:val="P68B1DB1-TableParagraph73"/>
              <w:spacing w:before="108"/>
              <w:jc w:val="both"/>
              <w:rPr>
                <w:bCs/>
              </w:rPr>
            </w:pPr>
            <w:r>
              <w:t>Идентификатор на алтернативен доставчик</w:t>
            </w:r>
          </w:p>
          <w:p w14:paraId="7FE1CC0B" w14:textId="680AAC78" w:rsidR="00FE5D64" w:rsidRDefault="00E40776">
            <w:pPr>
              <w:pStyle w:val="P68B1DB1-Normal31"/>
              <w:spacing w:after="120" w:line="276" w:lineRule="auto"/>
              <w:jc w:val="both"/>
              <w:rPr>
                <w:b/>
                <w:bCs/>
              </w:rPr>
            </w:pPr>
            <w:r>
              <w:t>Уникален идентификатор, представляващ комбинация от потребител, FMI, вид система и посредник на алтернативния доставчик, с който потребителят има установени договорни отношения, както е посочено в Z 09.01, колона 0010.</w:t>
            </w:r>
            <w:r>
              <w:rPr>
                <w:b/>
              </w:rPr>
              <w:t xml:space="preserve"> </w:t>
            </w:r>
          </w:p>
          <w:p w14:paraId="7FE1CC0C" w14:textId="7C8756E6" w:rsidR="00FE5D64" w:rsidRDefault="00E40776">
            <w:pPr>
              <w:pStyle w:val="P68B1DB1-TableParagraph40"/>
              <w:spacing w:before="108"/>
              <w:ind w:left="85"/>
              <w:jc w:val="both"/>
              <w:rPr>
                <w:b/>
                <w:bCs/>
              </w:rPr>
            </w:pPr>
            <w:r>
              <w:t>Докладва се само ако Z 09.04, колона 0030 е „Да“.</w:t>
            </w:r>
          </w:p>
        </w:tc>
      </w:tr>
    </w:tbl>
    <w:p w14:paraId="7FE1CECA" w14:textId="77777777" w:rsidR="00FE5D64" w:rsidRDefault="00FE5D64">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FE5D64" w:rsidRDefault="00FE5D64">
      <w:pPr>
        <w:pStyle w:val="Instructionsberschrift2"/>
        <w:ind w:left="357"/>
        <w:rPr>
          <w:rFonts w:ascii="Times New Roman" w:eastAsia="Calibri" w:hAnsi="Times New Roman" w:cs="Times New Roman"/>
          <w:szCs w:val="20"/>
        </w:rPr>
      </w:pPr>
    </w:p>
    <w:p w14:paraId="7FE1CF07" w14:textId="77777777" w:rsidR="00FE5D64" w:rsidRDefault="00E40776">
      <w:pPr>
        <w:pStyle w:val="P68B1DB1-Instructionsberschrift284"/>
        <w:numPr>
          <w:ilvl w:val="1"/>
          <w:numId w:val="49"/>
        </w:numPr>
        <w:spacing w:before="0"/>
        <w:ind w:left="357" w:hanging="357"/>
      </w:pPr>
      <w:bookmarkStart w:id="241" w:name="_Toc208244483"/>
      <w:r>
        <w:t>Анализ на отговорността</w:t>
      </w:r>
      <w:bookmarkEnd w:id="241"/>
    </w:p>
    <w:p w14:paraId="7FE1CF08" w14:textId="53CCE3BD" w:rsidR="00FE5D64" w:rsidRDefault="00E40776">
      <w:pPr>
        <w:pStyle w:val="Instructionsberschrift2"/>
        <w:numPr>
          <w:ilvl w:val="1"/>
          <w:numId w:val="49"/>
        </w:numPr>
        <w:spacing w:before="0"/>
        <w:ind w:left="357" w:hanging="357"/>
        <w:rPr>
          <w:rFonts w:ascii="Times New Roman" w:hAnsi="Times New Roman" w:cs="Times New Roman"/>
        </w:rPr>
      </w:pPr>
      <w:bookmarkStart w:id="242" w:name="_Toc208244484"/>
      <w:r>
        <w:rPr>
          <w:rFonts w:ascii="Times New Roman" w:hAnsi="Times New Roman" w:cs="Times New Roman"/>
          <w:color w:val="000000" w:themeColor="text1"/>
        </w:rPr>
        <w:t>Z 11.00 Пасиви в рамките на групата</w:t>
      </w:r>
      <w:r>
        <w:rPr>
          <w:rFonts w:ascii="Times New Roman" w:eastAsia="Calibri" w:hAnsi="Times New Roman" w:cs="Times New Roman"/>
          <w:szCs w:val="20"/>
        </w:rPr>
        <w:t xml:space="preserve"> (LIAB-G-1)</w:t>
      </w:r>
      <w:bookmarkEnd w:id="242"/>
    </w:p>
    <w:p w14:paraId="7FE1CF0A" w14:textId="69A86E79" w:rsidR="00FE5D64" w:rsidRDefault="00E40776">
      <w:pPr>
        <w:pStyle w:val="P68B1DB1-Numberedtitlelevel385"/>
      </w:pPr>
      <w:bookmarkStart w:id="243" w:name="_Toc81454213"/>
      <w:r>
        <w:t>Общи бележки</w:t>
      </w:r>
    </w:p>
    <w:p w14:paraId="7FE1CF0B" w14:textId="77777777" w:rsidR="00FE5D64" w:rsidRDefault="00E40776">
      <w:pPr>
        <w:pStyle w:val="P68B1DB1-InstructionsText26"/>
        <w:numPr>
          <w:ilvl w:val="2"/>
          <w:numId w:val="209"/>
        </w:numPr>
        <w:spacing w:before="0"/>
        <w:ind w:left="1276"/>
        <w:rPr>
          <w:rFonts w:eastAsiaTheme="majorEastAsia"/>
        </w:rPr>
      </w:pPr>
      <w:r>
        <w:t>Тази таблица изисква информация за вътрешногруповите пасиви да обхваща всички собствени средства и задължения.</w:t>
      </w:r>
    </w:p>
    <w:p w14:paraId="7FE1CF0C" w14:textId="4049DE4D" w:rsidR="00FE5D64" w:rsidRDefault="00E40776">
      <w:pPr>
        <w:pStyle w:val="P68B1DB1-InstructionsText26"/>
        <w:numPr>
          <w:ilvl w:val="2"/>
          <w:numId w:val="209"/>
        </w:numPr>
        <w:spacing w:before="0"/>
        <w:ind w:left="1276"/>
        <w:rPr>
          <w:rFonts w:eastAsiaTheme="majorEastAsia"/>
        </w:rPr>
      </w:pPr>
      <w:r>
        <w:t>Предприятията, които се считат за вътрешногрупови, са тези, които — в съответствие с определението в колона 0100 от Z02.00 — принадлежат към счетоводния обхват на консолидацията на крайното образувание майка. В резултат на това тези пасиви не се отчитат в подробните раздели Z 12.00 — Z 17.00, с изключение на Z 15.00 Деривати (вж. по-долу).</w:t>
      </w:r>
    </w:p>
    <w:p w14:paraId="7FE1CF0D" w14:textId="170B6ABA" w:rsidR="00FE5D64" w:rsidRDefault="00E40776">
      <w:pPr>
        <w:pStyle w:val="P68B1DB1-InstructionsText26"/>
        <w:numPr>
          <w:ilvl w:val="2"/>
          <w:numId w:val="209"/>
        </w:numPr>
        <w:spacing w:before="0"/>
        <w:ind w:left="1276"/>
        <w:rPr>
          <w:rFonts w:eastAsiaTheme="majorEastAsia"/>
        </w:rPr>
      </w:pPr>
      <w:r>
        <w:t>Дериватите са специфични по своето естество и не се отчитат в Z 11.00, а винаги в Z 15.00.</w:t>
      </w:r>
    </w:p>
    <w:p w14:paraId="7FE1CF0E" w14:textId="18AE2C5B" w:rsidR="00FE5D64" w:rsidRDefault="00E40776">
      <w:pPr>
        <w:pStyle w:val="P68B1DB1-InstructionsText26"/>
        <w:numPr>
          <w:ilvl w:val="2"/>
          <w:numId w:val="209"/>
        </w:numPr>
        <w:spacing w:before="0"/>
        <w:ind w:left="1276"/>
        <w:rPr>
          <w:rFonts w:eastAsiaTheme="majorEastAsia"/>
        </w:rPr>
      </w:pPr>
      <w:r>
        <w:t>Всички задължения, емитирани към субекти, попадащи в счетоводния обхват на консолидацията (включително ССЦАПЗР в обхвата на консолидацията) както в рамките на групата за преструктуриране, така и извън нея, се докладват в образец Z 11.00. За целите на настоящата таблица пасивите трябва да се отчитат на база сделка, т.е. всяка сделка, отчетена като отделна позиция в ред. Сделките обаче трябва да се отчитат в няколко реда, ако се отнасят до различен ранг при несъстоятелност.</w:t>
      </w:r>
    </w:p>
    <w:p w14:paraId="7FE1CF0F" w14:textId="77777777" w:rsidR="00FE5D64" w:rsidRDefault="00E40776">
      <w:pPr>
        <w:pStyle w:val="P68B1DB1-Numberedtitlelevel372"/>
      </w:pPr>
      <w:r>
        <w:t>Указания относно определени позиции</w:t>
      </w:r>
    </w:p>
    <w:tbl>
      <w:tblPr>
        <w:tblW w:w="0" w:type="auto"/>
        <w:tblLook w:val="01E0" w:firstRow="1" w:lastRow="1" w:firstColumn="1" w:lastColumn="1" w:noHBand="0" w:noVBand="0"/>
      </w:tblPr>
      <w:tblGrid>
        <w:gridCol w:w="1244"/>
        <w:gridCol w:w="7717"/>
        <w:gridCol w:w="65"/>
      </w:tblGrid>
      <w:tr w:rsidR="00FE5D64"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FE5D64" w:rsidRDefault="00E40776">
            <w:pPr>
              <w:pStyle w:val="P68B1DB1-TableParagraph17"/>
              <w:spacing w:before="108"/>
              <w:ind w:left="85"/>
            </w:pPr>
            <w:r>
              <w:t xml:space="preserve">Колони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FE5D64" w:rsidRDefault="00E40776">
            <w:pPr>
              <w:pStyle w:val="P68B1DB1-TableParagraph17"/>
              <w:spacing w:before="108"/>
              <w:ind w:left="85" w:right="1"/>
            </w:pPr>
            <w:r>
              <w:t>Указания</w:t>
            </w:r>
          </w:p>
        </w:tc>
      </w:tr>
      <w:tr w:rsidR="00FE5D64"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FE5D64" w:rsidRDefault="00E40776">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FE5D64" w:rsidRDefault="00E40776">
            <w:pPr>
              <w:pStyle w:val="P68B1DB1-TableParagraph40"/>
              <w:spacing w:before="108"/>
              <w:ind w:left="85"/>
              <w:jc w:val="both"/>
              <w:rPr>
                <w:b/>
                <w:bCs/>
              </w:rPr>
            </w:pPr>
            <w:r>
              <w:t xml:space="preserve"> </w:t>
            </w:r>
            <w:r>
              <w:rPr>
                <w:b/>
              </w:rPr>
              <w:t>NO</w:t>
            </w:r>
          </w:p>
          <w:p w14:paraId="7FE1CF17" w14:textId="77777777" w:rsidR="00FE5D64" w:rsidRDefault="00E40776">
            <w:pPr>
              <w:pStyle w:val="P68B1DB1-TableParagraph40"/>
              <w:spacing w:before="108"/>
              <w:ind w:left="85"/>
              <w:jc w:val="both"/>
            </w:pPr>
            <w:r>
              <w:t xml:space="preserve">Уникален номер/първичен ключ за идентифициране на редовите позиции. </w:t>
            </w:r>
          </w:p>
        </w:tc>
      </w:tr>
      <w:tr w:rsidR="00FE5D64"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FE5D64" w:rsidRDefault="00E40776">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FE5D64" w:rsidRDefault="00E40776">
            <w:pPr>
              <w:pStyle w:val="P68B1DB1-TableParagraph40"/>
              <w:spacing w:before="108"/>
              <w:ind w:left="85"/>
              <w:jc w:val="both"/>
              <w:rPr>
                <w:b/>
                <w:bCs/>
              </w:rPr>
            </w:pPr>
            <w:r>
              <w:t xml:space="preserve"> </w:t>
            </w:r>
            <w:r>
              <w:rPr>
                <w:b/>
              </w:rPr>
              <w:t>Ред</w:t>
            </w:r>
          </w:p>
          <w:p w14:paraId="7FE1CF1B" w14:textId="474C4148" w:rsidR="00FE5D64" w:rsidRDefault="00E40776">
            <w:pPr>
              <w:pStyle w:val="P68B1DB1-TableParagraph40"/>
              <w:spacing w:before="108"/>
              <w:ind w:left="85"/>
              <w:jc w:val="both"/>
            </w:pPr>
            <w:r>
              <w:t>За всеки инструмент трябва да се предостави равнение с категориите пасиви на структурата на пасивите в Z02.00 от предварително определен списък със стойности.</w:t>
            </w:r>
          </w:p>
        </w:tc>
      </w:tr>
      <w:tr w:rsidR="00FE5D64"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FE5D64" w:rsidRDefault="00E40776">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FE5D64" w:rsidRDefault="00E40776">
            <w:pPr>
              <w:pStyle w:val="P68B1DB1-TableParagraph73"/>
              <w:spacing w:before="108"/>
              <w:ind w:left="85"/>
              <w:jc w:val="both"/>
              <w:rPr>
                <w:bCs/>
              </w:rPr>
            </w:pPr>
            <w:r>
              <w:t xml:space="preserve">Колона </w:t>
            </w:r>
          </w:p>
          <w:p w14:paraId="7FE1CF1F" w14:textId="77777777" w:rsidR="00FE5D64" w:rsidRDefault="00E40776">
            <w:pPr>
              <w:pStyle w:val="P68B1DB1-TableParagraph40"/>
              <w:spacing w:before="108"/>
              <w:ind w:left="85"/>
              <w:jc w:val="both"/>
            </w:pPr>
            <w:r>
              <w:t>За всеки инструмент трябва да се предостави равнение с класа на контрагента в Z02.00, към който се дължи задължението, от предварително определен списък със стойности.</w:t>
            </w:r>
          </w:p>
        </w:tc>
      </w:tr>
      <w:tr w:rsidR="00FE5D64"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FE5D64" w:rsidRDefault="00E40776">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FE5D64" w:rsidRDefault="00E40776">
            <w:pPr>
              <w:pStyle w:val="P68B1DB1-TableParagraph73"/>
              <w:spacing w:before="108"/>
              <w:ind w:left="85"/>
              <w:jc w:val="both"/>
              <w:rPr>
                <w:bCs/>
              </w:rPr>
            </w:pPr>
            <w:r>
              <w:t>Ранг при несъстоятелност</w:t>
            </w:r>
          </w:p>
          <w:p w14:paraId="7FE1CF23" w14:textId="396478FE" w:rsidR="00FE5D64" w:rsidRDefault="00E40776">
            <w:pPr>
              <w:pStyle w:val="P68B1DB1-TableParagraph40"/>
              <w:spacing w:before="108"/>
              <w:ind w:left="85"/>
              <w:jc w:val="both"/>
            </w:pPr>
            <w:r>
              <w:t xml:space="preserve">Рангът при несъстоятелност е един от включените в публикуваната от органа за </w:t>
            </w:r>
            <w:r>
              <w:lastRenderedPageBreak/>
              <w:t>преструктуриране на тази юрисдикция йерархия при несъстоятелност.</w:t>
            </w:r>
          </w:p>
        </w:tc>
      </w:tr>
      <w:tr w:rsidR="00FE5D64"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FE5D64" w:rsidRDefault="00E40776">
            <w:pPr>
              <w:pStyle w:val="P68B1DB1-Normal31"/>
            </w:pPr>
            <w:r>
              <w:lastRenderedPageBreak/>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FE5D64" w:rsidRDefault="00E40776">
            <w:pPr>
              <w:pStyle w:val="P68B1DB1-TableParagraph73"/>
              <w:spacing w:before="108"/>
              <w:ind w:left="85"/>
              <w:jc w:val="both"/>
              <w:rPr>
                <w:bCs/>
              </w:rPr>
            </w:pPr>
            <w:r>
              <w:t>Идентификатор на договора</w:t>
            </w:r>
          </w:p>
          <w:p w14:paraId="7FE1CF27" w14:textId="5E827C31" w:rsidR="00FE5D64" w:rsidRDefault="00E40776">
            <w:pPr>
              <w:pStyle w:val="P68B1DB1-TableParagraph40"/>
              <w:spacing w:before="108"/>
              <w:ind w:left="85"/>
              <w:jc w:val="both"/>
            </w:pPr>
            <w:r>
              <w:t>Посочва се ISIN или, в случай че ISIN не е наличен, се докладва друг идентификатор на договора на инструмента.</w:t>
            </w:r>
          </w:p>
        </w:tc>
      </w:tr>
      <w:tr w:rsidR="00FE5D64"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FE5D64" w:rsidRDefault="00E40776">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FE5D64" w:rsidRDefault="00E40776">
            <w:pPr>
              <w:pStyle w:val="P68B1DB1-TableParagraph73"/>
              <w:spacing w:before="108"/>
              <w:ind w:left="85"/>
              <w:jc w:val="both"/>
              <w:rPr>
                <w:bCs/>
              </w:rPr>
            </w:pPr>
            <w:r>
              <w:t>Наименование на контрагента</w:t>
            </w:r>
          </w:p>
          <w:p w14:paraId="7FE1CF2B" w14:textId="28E31BB6" w:rsidR="00FE5D64" w:rsidRDefault="00E40776">
            <w:pPr>
              <w:pStyle w:val="P68B1DB1-TableParagraph40"/>
              <w:spacing w:before="108"/>
              <w:ind w:left="85"/>
              <w:jc w:val="both"/>
            </w:pPr>
            <w:r>
              <w:t>Наименованието на субекта на контрагента по пасива.</w:t>
            </w:r>
          </w:p>
        </w:tc>
      </w:tr>
      <w:tr w:rsidR="00FE5D64"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FE5D64" w:rsidRDefault="00E40776">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FE5D64" w:rsidRDefault="00E40776">
            <w:pPr>
              <w:pStyle w:val="P68B1DB1-TableParagraph73"/>
              <w:spacing w:before="108"/>
              <w:ind w:left="85"/>
              <w:jc w:val="both"/>
              <w:rPr>
                <w:bCs/>
              </w:rPr>
            </w:pPr>
            <w:r>
              <w:t>Идентификатор на контрагента</w:t>
            </w:r>
          </w:p>
          <w:p w14:paraId="7FE1CF2F" w14:textId="5864B2BC" w:rsidR="00FE5D64" w:rsidRDefault="00E40776">
            <w:pPr>
              <w:pStyle w:val="P68B1DB1-TableParagraph40"/>
              <w:spacing w:before="108"/>
              <w:ind w:left="85"/>
              <w:jc w:val="both"/>
            </w:pPr>
            <w:r>
              <w:t>Уникалният ИКПС на контрагента. При липса на ИКПС, уникалният идентификационен код на ЕЦБ на парично-финансовите институции (ПФИ) на кредитната институция, използван в емитирания RIAD. При липса на два такива идентификатора може да се използва вътрешният идентификатор.</w:t>
            </w:r>
          </w:p>
          <w:p w14:paraId="7FE1CF30" w14:textId="585107E3" w:rsidR="00FE5D64" w:rsidRDefault="00FE5D64">
            <w:pPr>
              <w:pStyle w:val="TableParagraph"/>
              <w:spacing w:before="108"/>
              <w:ind w:left="85"/>
              <w:jc w:val="both"/>
              <w:rPr>
                <w:rFonts w:ascii="Times New Roman" w:eastAsia="Times New Roman" w:hAnsi="Times New Roman" w:cs="Times New Roman"/>
                <w:sz w:val="20"/>
                <w:szCs w:val="20"/>
              </w:rPr>
            </w:pPr>
          </w:p>
        </w:tc>
      </w:tr>
      <w:tr w:rsidR="00FE5D64"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FE5D64" w:rsidRDefault="00E40776">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FE5D64" w:rsidRDefault="00E40776">
            <w:pPr>
              <w:pStyle w:val="P68B1DB1-TableParagraph73"/>
              <w:spacing w:before="108"/>
              <w:ind w:left="85"/>
              <w:jc w:val="both"/>
              <w:rPr>
                <w:bCs/>
              </w:rPr>
            </w:pPr>
            <w:r>
              <w:t>Вид идентификатор</w:t>
            </w:r>
          </w:p>
          <w:p w14:paraId="7FE1CF34" w14:textId="77777777" w:rsidR="00FE5D64" w:rsidRDefault="00E40776">
            <w:pPr>
              <w:pStyle w:val="P68B1DB1-TableParagraph40"/>
              <w:spacing w:before="108"/>
              <w:ind w:left="85"/>
              <w:jc w:val="both"/>
            </w:pPr>
            <w:r>
              <w:t>Избира се измежду следните варианти: „ИКПС „, „Код на ПФИ„или „Вид идентификатор, различен от ИКПС или код на ПФИ“.</w:t>
            </w:r>
          </w:p>
        </w:tc>
      </w:tr>
      <w:tr w:rsidR="00FE5D64"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FE5D64" w:rsidRDefault="00E40776">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FE5D64" w:rsidRDefault="00E40776">
            <w:pPr>
              <w:pStyle w:val="P68B1DB1-TableParagraph73"/>
              <w:spacing w:before="108"/>
              <w:ind w:left="85"/>
              <w:jc w:val="both"/>
              <w:rPr>
                <w:bCs/>
              </w:rPr>
            </w:pPr>
            <w:r>
              <w:t>Отношения с контрагента</w:t>
            </w:r>
          </w:p>
          <w:p w14:paraId="7FE1CF38" w14:textId="1D86F34C" w:rsidR="00FE5D64" w:rsidRDefault="00E40776">
            <w:pPr>
              <w:pStyle w:val="P68B1DB1-TableParagraph40"/>
              <w:spacing w:before="108"/>
              <w:ind w:left="85"/>
              <w:jc w:val="both"/>
            </w:pPr>
            <w:r>
              <w:t>Това поле показва връзката на кредитиращото предприятие с отчитащото се предприятие. За това поле е предвиден списък със стойности: контрагентът може да бъде „пряко или непряко предприятие майка „, „пряко или непряко дъщерно предприятие„или алтернативно „сестра“.</w:t>
            </w:r>
          </w:p>
        </w:tc>
      </w:tr>
      <w:tr w:rsidR="00FE5D64"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FE5D64" w:rsidRDefault="00E40776">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FE5D64" w:rsidRDefault="00E40776">
            <w:pPr>
              <w:pStyle w:val="P68B1DB1-TableParagraph73"/>
              <w:spacing w:before="108"/>
              <w:ind w:left="85"/>
              <w:jc w:val="both"/>
              <w:rPr>
                <w:bCs/>
              </w:rPr>
            </w:pPr>
            <w:r>
              <w:t>Вид отговорност</w:t>
            </w:r>
          </w:p>
          <w:p w14:paraId="7FE1CF3C" w14:textId="07B04D08" w:rsidR="00FE5D64" w:rsidRDefault="00E40776">
            <w:pPr>
              <w:pStyle w:val="P68B1DB1-TableParagraph40"/>
              <w:spacing w:before="108"/>
              <w:ind w:left="85"/>
              <w:jc w:val="both"/>
            </w:pPr>
            <w:r>
              <w:t>За задължения, които се отчитат в Z02.00-c0020-ред като „r0210 — Пасиви към други субекти от групата за преструктуриране“, посочете вида на задължението, както би било отчетено в Z02.00, ако задължението не беше счетено за изключено.</w:t>
            </w:r>
          </w:p>
        </w:tc>
      </w:tr>
      <w:tr w:rsidR="00FE5D64"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FE5D64" w:rsidRDefault="00E40776">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FE5D64" w:rsidRDefault="00E40776">
            <w:pPr>
              <w:pStyle w:val="P68B1DB1-TableParagraph73"/>
              <w:spacing w:before="108"/>
              <w:ind w:left="85"/>
              <w:jc w:val="both"/>
              <w:rPr>
                <w:bCs/>
              </w:rPr>
            </w:pPr>
            <w:r>
              <w:t>Приложимо право</w:t>
            </w:r>
          </w:p>
          <w:p w14:paraId="7FE1CF40" w14:textId="2C49BDFC" w:rsidR="00FE5D64" w:rsidRDefault="00E40776">
            <w:pPr>
              <w:pStyle w:val="P68B1DB1-TableParagraph40"/>
              <w:spacing w:before="108"/>
              <w:ind w:left="85"/>
              <w:jc w:val="both"/>
            </w:pPr>
            <w:r>
              <w:t xml:space="preserve">Кодът ISO 3166—1 alpha-2 на държавата, чието право урежда инструмента (използвайте кода ISO 3166—2, когато е приложимо правото на административно подразделение, напр. „US-NY“). Ако договорът се урежда от правото на повече от една държава, се докладва държавата, чието право има най-голямо значение за признаването на правомощията за обезценяване и преобразуване.  </w:t>
            </w:r>
          </w:p>
        </w:tc>
      </w:tr>
      <w:tr w:rsidR="00FE5D64"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FE5D64" w:rsidRDefault="00E40776">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FE5D64" w:rsidRDefault="00E40776">
            <w:pPr>
              <w:pStyle w:val="P68B1DB1-TableParagraph73"/>
              <w:spacing w:before="108"/>
              <w:ind w:left="85"/>
              <w:jc w:val="both"/>
              <w:rPr>
                <w:bCs/>
              </w:rPr>
            </w:pPr>
            <w:r>
              <w:t xml:space="preserve">Ако става въпрос за право на трета държава, договорно признаване </w:t>
            </w:r>
          </w:p>
          <w:p w14:paraId="7FE1CF45" w14:textId="77777777" w:rsidR="00FE5D64" w:rsidRDefault="00E40776">
            <w:pPr>
              <w:pStyle w:val="P68B1DB1-TableParagraph40"/>
              <w:spacing w:before="108"/>
              <w:ind w:left="85"/>
              <w:jc w:val="both"/>
            </w:pPr>
            <w:r>
              <w:t xml:space="preserve">Определяне на договорни разпоредби за признаване на правомощията за споделяне на загуби в съответствие с член 55 от ДВПБ, или </w:t>
            </w:r>
          </w:p>
          <w:p w14:paraId="7FE1CF46" w14:textId="77777777" w:rsidR="00FE5D64" w:rsidRDefault="00E40776">
            <w:pPr>
              <w:pStyle w:val="P68B1DB1-TableParagraph40"/>
              <w:spacing w:before="108"/>
              <w:ind w:left="85"/>
              <w:jc w:val="both"/>
            </w:pPr>
            <w:r>
              <w:t>„Да, подкрепено от правно становище“ = задължението включва клауза за признаване на споделянето на загуби в съответствие с член 55 от ДВПБ, която е подкрепена от правно становище;</w:t>
            </w:r>
          </w:p>
          <w:p w14:paraId="7FE1CF47" w14:textId="77777777" w:rsidR="00FE5D64" w:rsidRDefault="00E40776">
            <w:pPr>
              <w:pStyle w:val="P68B1DB1-TableParagraph40"/>
              <w:spacing w:before="108"/>
              <w:ind w:left="85"/>
              <w:jc w:val="both"/>
            </w:pPr>
            <w:r>
              <w:t>„Да, не е подкрепено от правно становище“ = задължението включва клауза за признаване на споделянето на загуби в съответствие с член 55 от ДВПБ, която понастоящем не е подкрепена от правно становище;</w:t>
            </w:r>
          </w:p>
          <w:p w14:paraId="7FE1CF48" w14:textId="7427A49E" w:rsidR="00FE5D64" w:rsidRDefault="00E40776">
            <w:pPr>
              <w:pStyle w:val="P68B1DB1-TableParagraph40"/>
              <w:spacing w:before="108"/>
              <w:ind w:left="85"/>
              <w:jc w:val="both"/>
            </w:pPr>
            <w:r>
              <w:t>„Не“ = задължението не включва клауза за признаване на споделянето на загуби;</w:t>
            </w:r>
          </w:p>
          <w:p w14:paraId="7FE1CF49" w14:textId="2FE33A69" w:rsidR="00FE5D64" w:rsidRDefault="00E40776">
            <w:pPr>
              <w:pStyle w:val="P68B1DB1-TableParagraph40"/>
              <w:spacing w:before="108"/>
              <w:ind w:left="85"/>
              <w:jc w:val="both"/>
            </w:pPr>
            <w:r>
              <w:t>„Не се прилага“.  от предварително определен списък.</w:t>
            </w:r>
          </w:p>
        </w:tc>
      </w:tr>
      <w:tr w:rsidR="00FE5D64" w14:paraId="7FE1CF4E" w14:textId="77777777">
        <w:tc>
          <w:tcPr>
            <w:tcW w:w="1244" w:type="dxa"/>
            <w:vAlign w:val="center"/>
          </w:tcPr>
          <w:p w14:paraId="7FE1CF4B" w14:textId="77777777" w:rsidR="00FE5D64" w:rsidRDefault="00E40776">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FE5D64" w:rsidRDefault="00E40776">
            <w:pPr>
              <w:pStyle w:val="P68B1DB1-TableParagraph73"/>
              <w:spacing w:before="108"/>
              <w:ind w:left="85"/>
              <w:jc w:val="both"/>
              <w:rPr>
                <w:bCs/>
              </w:rPr>
            </w:pPr>
            <w:r>
              <w:t xml:space="preserve">Неизплатена главница </w:t>
            </w:r>
          </w:p>
          <w:p w14:paraId="7FE1CF4D" w14:textId="1F7D6035" w:rsidR="00FE5D64" w:rsidRDefault="00E40776">
            <w:pPr>
              <w:pStyle w:val="P68B1DB1-TableParagraph40"/>
              <w:spacing w:before="108"/>
              <w:ind w:left="85"/>
              <w:jc w:val="both"/>
            </w:pPr>
            <w:r>
              <w:t>Неизплатен размер на главницата по задължението.</w:t>
            </w:r>
          </w:p>
        </w:tc>
      </w:tr>
      <w:tr w:rsidR="00FE5D64"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FE5D64" w:rsidRDefault="00E40776">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FE5D64" w:rsidRDefault="00E40776">
            <w:pPr>
              <w:pStyle w:val="P68B1DB1-TableParagraph73"/>
              <w:spacing w:before="108"/>
              <w:ind w:left="85"/>
              <w:jc w:val="both"/>
              <w:rPr>
                <w:bCs/>
              </w:rPr>
            </w:pPr>
            <w:r>
              <w:t>Натрупана лихва</w:t>
            </w:r>
          </w:p>
          <w:p w14:paraId="7FE1CF51" w14:textId="6BF1C45C" w:rsidR="00FE5D64" w:rsidRDefault="00E40776">
            <w:pPr>
              <w:pStyle w:val="P68B1DB1-TableParagraph40"/>
              <w:spacing w:before="108"/>
              <w:ind w:left="85"/>
              <w:jc w:val="both"/>
            </w:pPr>
            <w:r>
              <w:t>Неизплатената начислена лихва по пасива.</w:t>
            </w:r>
          </w:p>
        </w:tc>
      </w:tr>
      <w:tr w:rsidR="00FE5D64"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FE5D64" w:rsidRDefault="00E40776">
            <w:pPr>
              <w:pStyle w:val="P68B1DB1-Normal31"/>
            </w:pPr>
            <w:r>
              <w:lastRenderedPageBreak/>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FE5D64" w:rsidRDefault="00E40776">
            <w:pPr>
              <w:pStyle w:val="P68B1DB1-TableParagraph73"/>
              <w:spacing w:before="108"/>
              <w:ind w:left="85"/>
              <w:jc w:val="both"/>
              <w:rPr>
                <w:bCs/>
              </w:rPr>
            </w:pPr>
            <w:r>
              <w:t>Валута</w:t>
            </w:r>
          </w:p>
          <w:p w14:paraId="7FE1CF55" w14:textId="7419E4E6" w:rsidR="00FE5D64" w:rsidRDefault="00E40776">
            <w:pPr>
              <w:pStyle w:val="P68B1DB1-TableParagraph40"/>
              <w:spacing w:before="108"/>
              <w:ind w:left="85"/>
              <w:jc w:val="both"/>
            </w:pPr>
            <w:r>
              <w:t>Валутата на задължението в съответствие с неговия 3-буквен код по ISO 4217.</w:t>
            </w:r>
          </w:p>
        </w:tc>
      </w:tr>
      <w:tr w:rsidR="00FE5D64"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FE5D64" w:rsidRDefault="00E40776">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FE5D64" w:rsidRDefault="00E40776">
            <w:pPr>
              <w:pStyle w:val="P68B1DB1-TableParagraph73"/>
              <w:spacing w:before="108"/>
              <w:ind w:left="85"/>
              <w:jc w:val="both"/>
              <w:rPr>
                <w:bCs/>
              </w:rPr>
            </w:pPr>
            <w:r>
              <w:t>Дата на издаване</w:t>
            </w:r>
          </w:p>
          <w:p w14:paraId="7FE1CF59" w14:textId="77777777" w:rsidR="00FE5D64" w:rsidRDefault="00E40776">
            <w:pPr>
              <w:pStyle w:val="P68B1DB1-TableParagraph40"/>
              <w:spacing w:before="108"/>
              <w:ind w:left="85"/>
              <w:jc w:val="both"/>
            </w:pPr>
            <w:r>
              <w:t>Дата на първоначалното издаване на задължението. За сделки за финансиране с ценни книжа, които са предмет на споразумение за нетиране и се отчитат като нетираща съвкупност, датата на докладване може да се използва като дата на емитиране.</w:t>
            </w:r>
          </w:p>
        </w:tc>
      </w:tr>
      <w:tr w:rsidR="00FE5D64"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FE5D64" w:rsidRDefault="00E40776">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FE5D64" w:rsidRDefault="00E40776">
            <w:pPr>
              <w:pStyle w:val="P68B1DB1-TableParagraph73"/>
              <w:spacing w:before="108"/>
              <w:ind w:left="85"/>
              <w:jc w:val="both"/>
              <w:rPr>
                <w:bCs/>
              </w:rPr>
            </w:pPr>
            <w:r>
              <w:t>Най-ранна дата на обратно изкупуване</w:t>
            </w:r>
          </w:p>
          <w:p w14:paraId="7FE1CF5D" w14:textId="206F36C8" w:rsidR="00FE5D64" w:rsidRDefault="00E40776">
            <w:pPr>
              <w:pStyle w:val="P68B1DB1-TableParagraph40"/>
              <w:spacing w:before="108"/>
              <w:ind w:left="85"/>
              <w:jc w:val="both"/>
            </w:pPr>
            <w:r>
              <w:t>Ако съществува възможност кредиторът да поиска предсрочно погасяване или условията за предсрочно погасяване на задължението са предвидени в договора, посочете най-ранната дата на настъпване на събитието. Ако предсрочното възстановяване се отнася само до част от задължението (напр. предсрочно погасяване на 50 % от номиналната стойност), задължението се разделя, за да се вземе предвид тази клауза за частично предсрочно погасяване. За сделки за финансиране с ценни книжа, които са предмет на споразумение за нет</w:t>
            </w:r>
            <w:r>
              <w:t>иране и се отчитат като нетираща съвкупност, се използва денят след отчетната дата.</w:t>
            </w:r>
          </w:p>
        </w:tc>
      </w:tr>
      <w:tr w:rsidR="00FE5D64"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FE5D64" w:rsidRDefault="00E40776">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FE5D64" w:rsidRDefault="00E40776">
            <w:pPr>
              <w:pStyle w:val="P68B1DB1-TableParagraph73"/>
              <w:spacing w:before="108"/>
              <w:ind w:left="85"/>
              <w:jc w:val="both"/>
              <w:rPr>
                <w:bCs/>
              </w:rPr>
            </w:pPr>
            <w:r>
              <w:t>Законоустановен падеж</w:t>
            </w:r>
          </w:p>
          <w:p w14:paraId="7FE1CF61" w14:textId="6595476F" w:rsidR="00FE5D64" w:rsidRDefault="00E40776">
            <w:pPr>
              <w:pStyle w:val="P68B1DB1-TableParagraph40"/>
              <w:spacing w:before="108"/>
              <w:ind w:left="85"/>
              <w:jc w:val="both"/>
            </w:pPr>
            <w:r>
              <w:t>Дата на законния краен срок до падежа на пасива. За безсрочните ценни книжа се вписва „2099—01—31“</w:t>
            </w:r>
          </w:p>
          <w:p w14:paraId="7FE1CF62" w14:textId="77777777" w:rsidR="00FE5D64" w:rsidRDefault="00E40776">
            <w:pPr>
              <w:pStyle w:val="P68B1DB1-TableParagraph40"/>
              <w:spacing w:before="108"/>
              <w:ind w:left="85"/>
              <w:jc w:val="both"/>
            </w:pPr>
            <w:r>
              <w:t>За сделки за финансиране с ценни книжа, които са предмет на споразумение за нетиране и се отчитат като нетираща съвкупност, се използва денят след отчетната дата.</w:t>
            </w:r>
          </w:p>
        </w:tc>
      </w:tr>
      <w:tr w:rsidR="00FE5D64"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FE5D64" w:rsidRDefault="00E40776">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FE5D64" w:rsidRDefault="00E40776">
            <w:pPr>
              <w:pStyle w:val="P68B1DB1-TableParagraph73"/>
              <w:spacing w:before="108"/>
              <w:ind w:left="85"/>
              <w:jc w:val="both"/>
              <w:rPr>
                <w:bCs/>
              </w:rPr>
            </w:pPr>
            <w:r>
              <w:t>Размер на залог, залог или обезпечение</w:t>
            </w:r>
          </w:p>
          <w:p w14:paraId="7FE1CF66" w14:textId="77777777" w:rsidR="00FE5D64" w:rsidRDefault="00E40776">
            <w:pPr>
              <w:pStyle w:val="P68B1DB1-TableParagraph40"/>
              <w:spacing w:before="108"/>
              <w:ind w:left="85"/>
              <w:jc w:val="both"/>
            </w:pPr>
            <w:r>
              <w:t>Когато задължението е обезпечено със залог, залог или обезпечение, се предоставя брутната стойност на последното. В противен случай за необезпечените задължения тази категория се отчита като нула. Тази сума ще определи обезпечената и в крайна сметка необезпечената част от всяко обезпечено задължение. За групите обезпечения, които обезпечават множество позиции, се определя общото съотношение на покритие и се прилага пропорционално за всички позиции в реда, обхванати от този пул.</w:t>
            </w:r>
          </w:p>
        </w:tc>
      </w:tr>
      <w:tr w:rsidR="00FE5D64"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FE5D64" w:rsidRDefault="00E40776">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FE5D64" w:rsidRDefault="00E40776">
            <w:pPr>
              <w:pStyle w:val="P68B1DB1-TableParagraph73"/>
              <w:spacing w:before="108"/>
              <w:ind w:left="85"/>
              <w:jc w:val="both"/>
              <w:rPr>
                <w:bCs/>
              </w:rPr>
            </w:pPr>
            <w:r>
              <w:t>Гарант, ако е приложимо</w:t>
            </w:r>
          </w:p>
          <w:p w14:paraId="7FE1CF6A" w14:textId="77777777" w:rsidR="00FE5D64" w:rsidRDefault="00E40776">
            <w:pPr>
              <w:pStyle w:val="P68B1DB1-TableParagraph40"/>
              <w:spacing w:before="108"/>
              <w:ind w:left="85"/>
              <w:jc w:val="both"/>
            </w:pPr>
            <w:r>
              <w:t>Ако за инструмента са предвидени гаранции, посочете подробна идентификация на гаранта (ИКПС, ISO 3166—1 alpha-2 код на държавата за държавата и т.н.). Когато има множество гаранти, докладвайте всички идентификатори, разделени с точка и запетая.</w:t>
            </w:r>
          </w:p>
        </w:tc>
      </w:tr>
      <w:tr w:rsidR="00FE5D64"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FE5D64" w:rsidRDefault="00E40776">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FE5D64" w:rsidRDefault="00E40776">
            <w:pPr>
              <w:pStyle w:val="P68B1DB1-TableParagraph73"/>
              <w:spacing w:before="108"/>
              <w:ind w:left="85"/>
              <w:jc w:val="both"/>
              <w:rPr>
                <w:bCs/>
              </w:rPr>
            </w:pPr>
            <w:r>
              <w:t>Сума, отговаряща на условията за допустимост на МИПЗ</w:t>
            </w:r>
          </w:p>
          <w:p w14:paraId="7FE1CF6F" w14:textId="4E658BD3" w:rsidR="00FE5D64" w:rsidRDefault="00E40776">
            <w:pPr>
              <w:pStyle w:val="P68B1DB1-TableParagraph40"/>
              <w:spacing w:before="108"/>
              <w:ind w:left="85"/>
              <w:jc w:val="both"/>
            </w:pPr>
            <w:r>
              <w:t xml:space="preserve">Размерът на собствените средства и приемливите задължения, отчитани като част от изискването, определено в съответствие с член 45, параграф 1 от Директива 2014/59/ЕС. </w:t>
            </w:r>
          </w:p>
        </w:tc>
      </w:tr>
      <w:tr w:rsidR="00FE5D64"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FE5D64" w:rsidRDefault="00E40776">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FE5D64" w:rsidRDefault="00E40776">
            <w:pPr>
              <w:pStyle w:val="P68B1DB1-TableParagraph73"/>
              <w:spacing w:before="108"/>
              <w:ind w:left="85"/>
              <w:jc w:val="both"/>
              <w:rPr>
                <w:bCs/>
              </w:rPr>
            </w:pPr>
            <w:r>
              <w:t>Квалифицирани като собствени средства</w:t>
            </w:r>
          </w:p>
          <w:p w14:paraId="7FE1CF73" w14:textId="52056531" w:rsidR="00FE5D64" w:rsidRDefault="00E40776">
            <w:pPr>
              <w:pStyle w:val="P68B1DB1-TableParagraph40"/>
              <w:spacing w:before="108"/>
              <w:ind w:left="85"/>
              <w:jc w:val="both"/>
            </w:pPr>
            <w:r>
              <w:t>Посочете дали и на какво равнище инструментът е включен в собствения капитал, заедно с информация относно режима за поетапно прекратяване и споразуменията за запазване на придобитите права. Стойността може да бъде „Не „, „Частично AT1, T1 и T2„, „T2 при поетапно извеждане от употреба „, „заварен T2“, „напълно съответстващ T2 „, „заварен AT1„, „напълно съответстващ AT1 „или „CET1“ от предварително определен списък.</w:t>
            </w:r>
          </w:p>
          <w:p w14:paraId="7FE1CF74" w14:textId="77777777" w:rsidR="00FE5D64" w:rsidRDefault="00E40776">
            <w:pPr>
              <w:pStyle w:val="P68B1DB1-TableParagraph40"/>
              <w:spacing w:before="108"/>
              <w:ind w:left="85"/>
              <w:jc w:val="both"/>
            </w:pPr>
            <w:r>
              <w:t>В списъка с опции терминът „поетапно прекратяване“ се отнася за периода от 5 години преди падежа на даден инструмент Т2, през който има само пропорционално признаване въз основа на оставащия срок до падежа. „Унаследяване „се отнася до всяка преходна мярка, приложима за инструмент Т2, без да се включва „постепенното премахване“. По време на това „заварено положение“ признаването може да бъде пълно или частично.</w:t>
            </w:r>
          </w:p>
          <w:p w14:paraId="7FE1CF75" w14:textId="77777777" w:rsidR="00FE5D64" w:rsidRDefault="00FE5D64">
            <w:pPr>
              <w:pStyle w:val="TableParagraph"/>
              <w:spacing w:before="108"/>
              <w:ind w:left="85"/>
              <w:jc w:val="both"/>
              <w:rPr>
                <w:rFonts w:ascii="Times New Roman" w:eastAsia="Times New Roman" w:hAnsi="Times New Roman" w:cs="Times New Roman"/>
                <w:sz w:val="20"/>
                <w:szCs w:val="20"/>
              </w:rPr>
            </w:pPr>
          </w:p>
        </w:tc>
      </w:tr>
      <w:tr w:rsidR="00FE5D64"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FE5D64" w:rsidRDefault="00E40776">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FE5D64" w:rsidRDefault="00E40776">
            <w:pPr>
              <w:pStyle w:val="P68B1DB1-TableParagraph73"/>
              <w:spacing w:before="108"/>
              <w:ind w:left="85"/>
              <w:jc w:val="both"/>
              <w:rPr>
                <w:bCs/>
              </w:rPr>
            </w:pPr>
            <w:r>
              <w:t>Сума, квалифицирана като собствен капитал</w:t>
            </w:r>
          </w:p>
          <w:p w14:paraId="7FE1CF79" w14:textId="28EFFBCF" w:rsidR="00FE5D64" w:rsidRDefault="00E40776">
            <w:pPr>
              <w:pStyle w:val="P68B1DB1-TableParagraph40"/>
              <w:spacing w:before="108"/>
              <w:ind w:left="85"/>
              <w:jc w:val="both"/>
            </w:pPr>
            <w:r>
              <w:lastRenderedPageBreak/>
              <w:t>Размерът на инструмента, който отговаря на условията за собствен капитал.</w:t>
            </w:r>
          </w:p>
        </w:tc>
      </w:tr>
    </w:tbl>
    <w:p w14:paraId="7FE1CF7B" w14:textId="77777777" w:rsidR="00FE5D64" w:rsidRDefault="00FE5D64">
      <w:pPr>
        <w:pStyle w:val="Instructionsberschrift2"/>
        <w:ind w:left="357"/>
        <w:rPr>
          <w:rFonts w:ascii="Times New Roman" w:eastAsia="Calibri" w:hAnsi="Times New Roman" w:cs="Times New Roman"/>
          <w:szCs w:val="20"/>
        </w:rPr>
      </w:pPr>
    </w:p>
    <w:p w14:paraId="7FE1CF7C" w14:textId="78CE26C4" w:rsidR="00FE5D64" w:rsidRDefault="00E40776">
      <w:pPr>
        <w:pStyle w:val="Instructionsberschrift2"/>
        <w:numPr>
          <w:ilvl w:val="1"/>
          <w:numId w:val="49"/>
        </w:numPr>
        <w:spacing w:before="0"/>
        <w:ind w:left="357" w:hanging="357"/>
        <w:rPr>
          <w:rFonts w:ascii="Times New Roman" w:hAnsi="Times New Roman" w:cs="Times New Roman"/>
        </w:rPr>
      </w:pPr>
      <w:bookmarkStart w:id="244" w:name="_Toc208244485"/>
      <w:r>
        <w:rPr>
          <w:rFonts w:ascii="Times New Roman" w:hAnsi="Times New Roman" w:cs="Times New Roman"/>
          <w:color w:val="000000" w:themeColor="text1"/>
        </w:rPr>
        <w:t xml:space="preserve">Z 12.00 — Ценни </w:t>
      </w:r>
      <w:r>
        <w:rPr>
          <w:rFonts w:ascii="Times New Roman" w:eastAsia="Cambria" w:hAnsi="Times New Roman" w:cs="Times New Roman"/>
        </w:rPr>
        <w:t>книжа (включително БСК1, ДК1 — инструменти на капитала от ред 2; с изключение на вътрешногрупови)</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FE5D64" w:rsidRDefault="00E40776">
      <w:pPr>
        <w:pStyle w:val="P68B1DB1-Numberedtitlelevel372"/>
      </w:pPr>
      <w:r>
        <w:t>Общи бележки</w:t>
      </w:r>
    </w:p>
    <w:p w14:paraId="7FE1CF7F" w14:textId="048C4053" w:rsidR="00FE5D64" w:rsidRDefault="00E40776">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Ценната книга е заменяем, прехвърляем финансов инструмент, който представлява финансова стойност, независимо от действителните му особености (напр. тези инструменти са обезпечени или необезпечени). Тази таблица включва и инструментите на собствения капитал</w:t>
      </w:r>
      <w:r>
        <w:rPr>
          <w:rStyle w:val="FootnoteReference"/>
          <w:rFonts w:eastAsia="Cambria" w:cs="Times New Roman"/>
        </w:rPr>
        <w:footnoteReference w:id="36"/>
      </w:r>
      <w:r>
        <w:rPr>
          <w:rFonts w:ascii="Times New Roman" w:eastAsia="Cambria" w:hAnsi="Times New Roman" w:cs="Times New Roman"/>
          <w:sz w:val="20"/>
          <w:szCs w:val="20"/>
        </w:rPr>
        <w:t>. За целите на инструментите на БСК1 остатъчното вземане на акции от общия отчетен собствен капитал (както е определено в Z 02.00 — R0511) се отчита на равнище инструмент.</w:t>
      </w:r>
    </w:p>
    <w:p w14:paraId="7FE1CF81" w14:textId="262B713C" w:rsidR="00FE5D64" w:rsidRDefault="00E40776">
      <w:pPr>
        <w:pStyle w:val="P68B1DB1-InstructionsText286"/>
        <w:numPr>
          <w:ilvl w:val="2"/>
          <w:numId w:val="209"/>
        </w:numPr>
        <w:spacing w:before="0"/>
        <w:ind w:left="1134"/>
      </w:pPr>
      <w:r>
        <w:t>Когато идентификаторът на кредитора (колона 0210) не е наличен (напр. в случай на инструменти, търгувани на платформи), всеки ред се докладва на съвкупно равнище по отношение на това поле.</w:t>
      </w:r>
    </w:p>
    <w:p w14:paraId="7FE1CF83" w14:textId="77777777" w:rsidR="00FE5D64" w:rsidRDefault="00E40776">
      <w:pPr>
        <w:pStyle w:val="P68B1DB1-InstructionsText286"/>
        <w:numPr>
          <w:ilvl w:val="2"/>
          <w:numId w:val="209"/>
        </w:numPr>
        <w:spacing w:before="0"/>
        <w:ind w:left="1134"/>
      </w:pPr>
      <w:r>
        <w:t>За целите на настоящата таблица пасивите се докладват в редове с нивото на детайлност, определено в исканите полета.</w:t>
      </w:r>
    </w:p>
    <w:p w14:paraId="7FE1CF86" w14:textId="77777777" w:rsidR="00FE5D64" w:rsidRDefault="00FE5D64">
      <w:pPr>
        <w:spacing w:line="276" w:lineRule="auto"/>
        <w:rPr>
          <w:rFonts w:ascii="Times New Roman" w:hAnsi="Times New Roman" w:cs="Times New Roman"/>
          <w:sz w:val="20"/>
          <w:szCs w:val="20"/>
        </w:rPr>
      </w:pPr>
    </w:p>
    <w:p w14:paraId="7FE1CF87" w14:textId="77777777" w:rsidR="00FE5D64" w:rsidRDefault="00E40776">
      <w:pPr>
        <w:pStyle w:val="P68B1DB1-Numberedtitlelevel372"/>
      </w:pPr>
      <w:r>
        <w:t>Указания относно определени позиции</w:t>
      </w:r>
    </w:p>
    <w:p w14:paraId="7FE1CF88" w14:textId="77777777" w:rsidR="00FE5D64" w:rsidRDefault="00FE5D64">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FE5D64"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FE5D64" w:rsidRDefault="00E40776">
            <w:pPr>
              <w:pStyle w:val="P68B1DB1-TableParagraph17"/>
              <w:spacing w:before="108"/>
              <w:ind w:left="85"/>
            </w:pPr>
            <w:r>
              <w:t>Колони</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FE5D64" w:rsidRDefault="00E40776">
            <w:pPr>
              <w:pStyle w:val="P68B1DB1-TableParagraph17"/>
              <w:spacing w:before="108"/>
              <w:ind w:left="85" w:right="1"/>
            </w:pPr>
            <w:r>
              <w:t>Указания</w:t>
            </w:r>
          </w:p>
        </w:tc>
      </w:tr>
      <w:tr w:rsidR="00FE5D64"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FE5D64" w:rsidRDefault="00E40776">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FE5D64" w:rsidRDefault="00E40776">
            <w:pPr>
              <w:pStyle w:val="P68B1DB1-TableParagraph40"/>
              <w:spacing w:before="108"/>
              <w:ind w:left="85"/>
              <w:jc w:val="both"/>
              <w:rPr>
                <w:b/>
                <w:bCs/>
              </w:rPr>
            </w:pPr>
            <w:r>
              <w:t xml:space="preserve"> </w:t>
            </w:r>
            <w:r>
              <w:rPr>
                <w:b/>
              </w:rPr>
              <w:t>NO</w:t>
            </w:r>
          </w:p>
          <w:p w14:paraId="7FE1CF8E" w14:textId="77777777" w:rsidR="00FE5D64" w:rsidRDefault="00E40776">
            <w:pPr>
              <w:pStyle w:val="P68B1DB1-TableParagraph40"/>
              <w:spacing w:before="108"/>
              <w:ind w:left="85"/>
              <w:jc w:val="both"/>
            </w:pPr>
            <w:r>
              <w:t>Уникален номер/първичен ключ за идентифициране на редовите позиции.</w:t>
            </w:r>
          </w:p>
        </w:tc>
      </w:tr>
      <w:tr w:rsidR="00FE5D64"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FE5D64" w:rsidRDefault="00E40776">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FE5D64" w:rsidRDefault="00E40776">
            <w:pPr>
              <w:pStyle w:val="P68B1DB1-TableParagraph73"/>
              <w:spacing w:before="108"/>
              <w:ind w:left="85"/>
              <w:jc w:val="both"/>
              <w:rPr>
                <w:bCs/>
              </w:rPr>
            </w:pPr>
            <w:r>
              <w:t>Ред</w:t>
            </w:r>
          </w:p>
          <w:p w14:paraId="7FE1CF92" w14:textId="771261C9" w:rsidR="00FE5D64" w:rsidRDefault="00E40776">
            <w:pPr>
              <w:pStyle w:val="P68B1DB1-TableParagraph40"/>
              <w:spacing w:before="108"/>
              <w:ind w:left="85"/>
              <w:jc w:val="both"/>
            </w:pPr>
            <w:r>
              <w:t>За всеки отчетен ред трябва да се предостави равнение с категориите пасиви на структурата на пасивите в Z02.00 на равнището на падежа от предварително определен списък със стойности.</w:t>
            </w:r>
          </w:p>
        </w:tc>
      </w:tr>
      <w:tr w:rsidR="00FE5D64"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FE5D64" w:rsidRDefault="00E40776">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FE5D64" w:rsidRDefault="00E40776">
            <w:pPr>
              <w:pStyle w:val="P68B1DB1-TableParagraph73"/>
              <w:spacing w:before="108"/>
              <w:ind w:left="85"/>
              <w:jc w:val="both"/>
              <w:rPr>
                <w:bCs/>
              </w:rPr>
            </w:pPr>
            <w:r>
              <w:t xml:space="preserve">Колона </w:t>
            </w:r>
          </w:p>
          <w:p w14:paraId="7FE1CF96" w14:textId="68A01AA0" w:rsidR="00FE5D64" w:rsidRDefault="00E40776">
            <w:pPr>
              <w:pStyle w:val="P68B1DB1-TableParagraph40"/>
              <w:spacing w:before="108"/>
              <w:ind w:left="85"/>
              <w:jc w:val="both"/>
            </w:pPr>
            <w:r>
              <w:t>За всеки отчетен ред от предварително определен списък с стойности трябва да се предостави равнение с класа на контрагента в „02.00“, към който се дължи задължението.</w:t>
            </w:r>
          </w:p>
        </w:tc>
      </w:tr>
      <w:tr w:rsidR="00FE5D64"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FE5D64" w:rsidRDefault="00E40776">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FE5D64" w:rsidRDefault="00E40776">
            <w:pPr>
              <w:pStyle w:val="P68B1DB1-TableParagraph40"/>
              <w:spacing w:before="108"/>
              <w:ind w:left="85"/>
              <w:jc w:val="both"/>
              <w:rPr>
                <w:b/>
                <w:bCs/>
              </w:rPr>
            </w:pPr>
            <w:r>
              <w:t xml:space="preserve"> </w:t>
            </w:r>
            <w:r>
              <w:rPr>
                <w:b/>
              </w:rPr>
              <w:t>Йерархия при несъстоятелност</w:t>
            </w:r>
          </w:p>
          <w:p w14:paraId="7FE1CF9A" w14:textId="33768518" w:rsidR="00FE5D64" w:rsidRDefault="00E40776">
            <w:pPr>
              <w:pStyle w:val="P68B1DB1-TableParagraph40"/>
              <w:spacing w:before="108"/>
              <w:ind w:left="85"/>
              <w:jc w:val="both"/>
            </w:pPr>
            <w:r>
              <w:t xml:space="preserve">Рангът при несъстоятелност е един от включените в публикуваната от органа за преструктуриране на тази юрисдикция йерархия при несъстоятелност. </w:t>
            </w:r>
          </w:p>
        </w:tc>
      </w:tr>
      <w:tr w:rsidR="00FE5D64"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FE5D64" w:rsidRDefault="00E40776">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FE5D64" w:rsidRDefault="00E40776">
            <w:pPr>
              <w:pStyle w:val="P68B1DB1-TableParagraph73"/>
              <w:spacing w:before="108"/>
              <w:ind w:left="85"/>
              <w:jc w:val="both"/>
              <w:rPr>
                <w:bCs/>
              </w:rPr>
            </w:pPr>
            <w:r>
              <w:t>ISIN</w:t>
            </w:r>
          </w:p>
          <w:p w14:paraId="7FE1CF9E" w14:textId="02C8C7D3" w:rsidR="00FE5D64" w:rsidRDefault="00E40776">
            <w:pPr>
              <w:pStyle w:val="P68B1DB1-TableParagraph40"/>
              <w:spacing w:before="108"/>
              <w:ind w:left="85"/>
              <w:jc w:val="both"/>
            </w:pPr>
            <w:r>
              <w:t>Посочва се ISIN или, в случай че ISIN не е наличен, се докладва друг идентификатор на договора на инструмента.</w:t>
            </w:r>
          </w:p>
        </w:tc>
      </w:tr>
      <w:tr w:rsidR="00FE5D64"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FE5D64" w:rsidRDefault="00E40776">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FE5D64" w:rsidRDefault="00E40776">
            <w:pPr>
              <w:pStyle w:val="P68B1DB1-TableParagraph73"/>
              <w:spacing w:before="108"/>
              <w:ind w:left="85"/>
              <w:jc w:val="both"/>
              <w:rPr>
                <w:bCs/>
              </w:rPr>
            </w:pPr>
            <w:r>
              <w:t xml:space="preserve">Вид инструмент  </w:t>
            </w:r>
          </w:p>
          <w:p w14:paraId="7FE1CFA2" w14:textId="77777777" w:rsidR="00FE5D64" w:rsidRDefault="00E40776">
            <w:pPr>
              <w:pStyle w:val="P68B1DB1-TableParagraph40"/>
              <w:spacing w:before="108"/>
              <w:ind w:left="85"/>
              <w:jc w:val="both"/>
            </w:pPr>
            <w:r>
              <w:lastRenderedPageBreak/>
              <w:t xml:space="preserve">Идентификация на вида инструмент, или </w:t>
            </w:r>
          </w:p>
          <w:p w14:paraId="7FE1CFA3" w14:textId="77777777" w:rsidR="00FE5D64" w:rsidRDefault="00E40776">
            <w:pPr>
              <w:pStyle w:val="P68B1DB1-TableParagraph40"/>
              <w:spacing w:before="108"/>
              <w:ind w:left="85"/>
              <w:jc w:val="both"/>
            </w:pPr>
            <w:r>
              <w:t>— Регистрирани облигации</w:t>
            </w:r>
          </w:p>
          <w:p w14:paraId="7FE1CFA4" w14:textId="77777777" w:rsidR="00FE5D64" w:rsidRDefault="00E40776">
            <w:pPr>
              <w:pStyle w:val="P68B1DB1-TableParagraph40"/>
              <w:spacing w:before="108"/>
              <w:ind w:left="85"/>
              <w:jc w:val="both"/>
            </w:pPr>
            <w:r>
              <w:t>Облигации на приносител</w:t>
            </w:r>
          </w:p>
          <w:p w14:paraId="7FE1CFA5" w14:textId="77777777" w:rsidR="00FE5D64" w:rsidRDefault="00E40776">
            <w:pPr>
              <w:pStyle w:val="P68B1DB1-TableParagraph40"/>
              <w:spacing w:before="108"/>
              <w:ind w:left="85"/>
              <w:jc w:val="both"/>
            </w:pPr>
            <w:r>
              <w:t>Заемополучател — известие за заем</w:t>
            </w:r>
          </w:p>
          <w:p w14:paraId="7FE1CFA7" w14:textId="3E3D590C" w:rsidR="00FE5D64" w:rsidRDefault="00E40776">
            <w:pPr>
              <w:pStyle w:val="P68B1DB1-TableParagraph40"/>
              <w:spacing w:before="108"/>
              <w:ind w:left="85"/>
              <w:jc w:val="both"/>
            </w:pPr>
            <w:r>
              <w:t>Сертификат за депозит/търговска хартия</w:t>
            </w:r>
          </w:p>
          <w:p w14:paraId="7FE1CFA8" w14:textId="77777777" w:rsidR="00FE5D64" w:rsidRDefault="00E40776">
            <w:pPr>
              <w:pStyle w:val="P68B1DB1-TableParagraph40"/>
              <w:spacing w:before="108"/>
              <w:ind w:left="85"/>
              <w:jc w:val="both"/>
            </w:pPr>
            <w:r>
              <w:t>— Наименование на собствеността</w:t>
            </w:r>
          </w:p>
          <w:p w14:paraId="7FE1CFA9" w14:textId="77777777" w:rsidR="00FE5D64" w:rsidRDefault="00E40776">
            <w:pPr>
              <w:pStyle w:val="P68B1DB1-TableParagraph40"/>
              <w:spacing w:before="108"/>
              <w:ind w:left="85"/>
              <w:jc w:val="both"/>
            </w:pPr>
            <w:r>
              <w:t>—Други</w:t>
            </w:r>
          </w:p>
          <w:p w14:paraId="7FE1CFAA" w14:textId="2BCDE67E" w:rsidR="00FE5D64" w:rsidRDefault="00E40776">
            <w:pPr>
              <w:pStyle w:val="P68B1DB1-TableParagraph40"/>
              <w:spacing w:before="108"/>
              <w:ind w:left="85"/>
              <w:jc w:val="both"/>
            </w:pPr>
            <w:r>
              <w:t xml:space="preserve"> </w:t>
            </w:r>
          </w:p>
          <w:p w14:paraId="7FE1CFAB" w14:textId="77777777" w:rsidR="00FE5D64" w:rsidRDefault="00E40776">
            <w:pPr>
              <w:pStyle w:val="P68B1DB1-TableParagraph40"/>
              <w:spacing w:before="108"/>
              <w:ind w:left="85"/>
              <w:jc w:val="both"/>
            </w:pPr>
            <w:r>
              <w:t>от предварително определен списък.</w:t>
            </w:r>
          </w:p>
        </w:tc>
      </w:tr>
      <w:tr w:rsidR="00FE5D64"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FE5D64" w:rsidRDefault="00E40776">
            <w:pPr>
              <w:pStyle w:val="P68B1DB1-Normal31"/>
            </w:pPr>
            <w:r>
              <w:lastRenderedPageBreak/>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FE5D64" w:rsidRDefault="00E40776">
            <w:pPr>
              <w:pStyle w:val="P68B1DB1-TableParagraph73"/>
              <w:spacing w:before="108"/>
              <w:ind w:left="85"/>
              <w:jc w:val="both"/>
              <w:rPr>
                <w:bCs/>
              </w:rPr>
            </w:pPr>
            <w:r>
              <w:t xml:space="preserve">Приложимо право  </w:t>
            </w:r>
          </w:p>
          <w:p w14:paraId="7FE1CFAF" w14:textId="2BE77EA5" w:rsidR="00FE5D64" w:rsidRDefault="00E40776">
            <w:pPr>
              <w:pStyle w:val="P68B1DB1-TableParagraph40"/>
              <w:spacing w:before="108"/>
              <w:ind w:left="85"/>
              <w:jc w:val="both"/>
            </w:pPr>
            <w:r>
              <w:t xml:space="preserve">Кодът ISO 3166—1 alpha-2 на държавата, чието право урежда инструмента (използвайте кода ISO 3166—2, когато е приложимо правото на административно подразделение, напр. „US-NY“). Ако договорът се урежда от правото на повече от една държава, се докладва държавата, чието право има най-голямо значение за признаването на правомощията за обезценяване и преобразуване.  </w:t>
            </w:r>
          </w:p>
        </w:tc>
      </w:tr>
      <w:tr w:rsidR="00FE5D64"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FE5D64" w:rsidRDefault="00E40776">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FE5D64" w:rsidRDefault="00E40776">
            <w:pPr>
              <w:pStyle w:val="P68B1DB1-TableParagraph73"/>
              <w:spacing w:before="108"/>
              <w:ind w:left="85"/>
              <w:jc w:val="both"/>
              <w:rPr>
                <w:bCs/>
              </w:rPr>
            </w:pPr>
            <w:r>
              <w:t xml:space="preserve">Ако става въпрос за право на трета държава, договорно признаване </w:t>
            </w:r>
          </w:p>
          <w:p w14:paraId="7FE1CFB3" w14:textId="0329FBCA" w:rsidR="00FE5D64" w:rsidRDefault="00E40776">
            <w:pPr>
              <w:pStyle w:val="P68B1DB1-TableParagraph40"/>
              <w:spacing w:before="108"/>
              <w:ind w:left="85"/>
              <w:jc w:val="both"/>
            </w:pPr>
            <w:r>
              <w:t>Определяне на договорните разпоредби за признаване на правомощията за споделяне на загуби в съответствие с член 55 от ДВПБ:</w:t>
            </w:r>
          </w:p>
          <w:p w14:paraId="7FE1CFB4" w14:textId="7CAD351E" w:rsidR="00FE5D64" w:rsidRDefault="00E40776">
            <w:pPr>
              <w:pStyle w:val="P68B1DB1-TableParagraph40"/>
              <w:spacing w:before="108"/>
              <w:ind w:left="85"/>
              <w:jc w:val="both"/>
            </w:pPr>
            <w:r>
              <w:t>„Да, подкрепено от правно становище“ = задължението включва клауза за признаване на споделянето на загуби в съответствие с член 55 от ДВПБ, която е подкрепена от правно становище;</w:t>
            </w:r>
          </w:p>
          <w:p w14:paraId="7FE1CFB5" w14:textId="77777777" w:rsidR="00FE5D64" w:rsidRDefault="00E40776">
            <w:pPr>
              <w:pStyle w:val="P68B1DB1-TableParagraph40"/>
              <w:spacing w:before="108"/>
              <w:ind w:left="85"/>
              <w:jc w:val="both"/>
            </w:pPr>
            <w:r>
              <w:t>„Да, не е подкрепено от правно становище“ = задължението включва клауза за признаване на споделянето на загуби в съответствие с член 55 от ДВПБ, която понастоящем не е подкрепена от правно становище;</w:t>
            </w:r>
          </w:p>
          <w:p w14:paraId="7FE1CFB6" w14:textId="77777777" w:rsidR="00FE5D64" w:rsidRDefault="00E40776">
            <w:pPr>
              <w:pStyle w:val="P68B1DB1-TableParagraph40"/>
              <w:spacing w:before="108"/>
              <w:ind w:left="85"/>
              <w:jc w:val="both"/>
            </w:pPr>
            <w:r>
              <w:t>„Не“ = задължението не включва клауза за признаване на споделянето на загуби;</w:t>
            </w:r>
          </w:p>
          <w:p w14:paraId="7FE1CFB7" w14:textId="58099242" w:rsidR="00FE5D64" w:rsidRDefault="00E40776">
            <w:pPr>
              <w:pStyle w:val="P68B1DB1-TableParagraph40"/>
              <w:spacing w:before="108"/>
              <w:ind w:left="85"/>
              <w:jc w:val="both"/>
            </w:pPr>
            <w:r>
              <w:t xml:space="preserve">„Не се прилага“,  </w:t>
            </w:r>
          </w:p>
          <w:p w14:paraId="7FE1CFB8" w14:textId="77777777" w:rsidR="00FE5D64" w:rsidRDefault="00E40776">
            <w:pPr>
              <w:pStyle w:val="P68B1DB1-TableParagraph40"/>
              <w:spacing w:before="108"/>
              <w:ind w:left="85"/>
              <w:jc w:val="both"/>
            </w:pPr>
            <w:r>
              <w:t>от предварително определен списък.</w:t>
            </w:r>
          </w:p>
        </w:tc>
      </w:tr>
      <w:tr w:rsidR="00FE5D64"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FE5D64" w:rsidRDefault="00E40776">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FE5D64" w:rsidRDefault="00E40776">
            <w:pPr>
              <w:pStyle w:val="P68B1DB1-TableParagraph73"/>
              <w:spacing w:before="108"/>
              <w:ind w:left="85"/>
              <w:jc w:val="both"/>
              <w:rPr>
                <w:bCs/>
              </w:rPr>
            </w:pPr>
            <w:r>
              <w:t xml:space="preserve">Валута </w:t>
            </w:r>
          </w:p>
          <w:p w14:paraId="7FE1CFBC" w14:textId="71E1420D" w:rsidR="00FE5D64" w:rsidRDefault="00E40776">
            <w:pPr>
              <w:pStyle w:val="P68B1DB1-TableParagraph40"/>
              <w:spacing w:before="108"/>
              <w:ind w:left="85"/>
              <w:jc w:val="both"/>
            </w:pPr>
            <w:r>
              <w:t>Валутата на задължението в съответствие с неговия 3-буквен код по ISO 4217.</w:t>
            </w:r>
          </w:p>
        </w:tc>
      </w:tr>
      <w:tr w:rsidR="00FE5D64"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FE5D64" w:rsidRDefault="00E40776">
            <w:pPr>
              <w:pStyle w:val="P68B1DB1-Normal31"/>
            </w:pPr>
            <w:r>
              <w:t>0110</w:t>
            </w:r>
          </w:p>
          <w:p w14:paraId="7FE1CFC3" w14:textId="77777777" w:rsidR="00FE5D64" w:rsidRDefault="00E40776">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FE5D64" w:rsidRDefault="00E40776">
            <w:pPr>
              <w:pStyle w:val="P68B1DB1-TableParagraph73"/>
              <w:spacing w:before="108"/>
              <w:ind w:left="85"/>
              <w:jc w:val="both"/>
              <w:rPr>
                <w:bCs/>
              </w:rPr>
            </w:pPr>
            <w:r>
              <w:t xml:space="preserve">Неизплатена главница  </w:t>
            </w:r>
          </w:p>
          <w:p w14:paraId="7FE1CFC5" w14:textId="3E328E9E" w:rsidR="00FE5D64" w:rsidRDefault="00E40776">
            <w:pPr>
              <w:pStyle w:val="P68B1DB1-TableParagraph40"/>
              <w:spacing w:before="108"/>
              <w:ind w:left="85"/>
              <w:jc w:val="both"/>
            </w:pPr>
            <w:r>
              <w:t xml:space="preserve">Непогасената главница на инструмента, държан от контрагента, посочен в колона 0210. Ако контрагентът не е на разположение, тъй като кредиторите не могат да бъдат идентифицирани, непогасените суми по главницата се групират, като не се взема предвид контрагентът. За акциите тази сума включва резервите в съответствие с насоките, свързани със Z02.00-r0511. </w:t>
            </w:r>
          </w:p>
          <w:p w14:paraId="7FE1CFC7" w14:textId="1EFD62D1" w:rsidR="00FE5D64" w:rsidRDefault="00FE5D64">
            <w:pPr>
              <w:pStyle w:val="TableParagraph"/>
              <w:spacing w:before="108"/>
              <w:ind w:left="85"/>
              <w:jc w:val="both"/>
              <w:rPr>
                <w:rFonts w:ascii="Times New Roman" w:eastAsia="Times New Roman" w:hAnsi="Times New Roman" w:cs="Times New Roman"/>
                <w:sz w:val="20"/>
                <w:szCs w:val="20"/>
              </w:rPr>
            </w:pPr>
          </w:p>
        </w:tc>
      </w:tr>
      <w:tr w:rsidR="00FE5D64"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FE5D64" w:rsidRDefault="00E40776">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FE5D64" w:rsidRDefault="00E40776">
            <w:pPr>
              <w:pStyle w:val="P68B1DB1-TableParagraph73"/>
              <w:spacing w:before="108"/>
              <w:ind w:left="85"/>
              <w:jc w:val="both"/>
              <w:rPr>
                <w:bCs/>
              </w:rPr>
            </w:pPr>
            <w:r>
              <w:t xml:space="preserve">Начислена лихва </w:t>
            </w:r>
          </w:p>
          <w:p w14:paraId="7FE1CFCB" w14:textId="5040BFD7" w:rsidR="00FE5D64" w:rsidRDefault="00E40776">
            <w:pPr>
              <w:pStyle w:val="P68B1DB1-TableParagraph40"/>
              <w:spacing w:before="108"/>
              <w:ind w:left="85"/>
              <w:jc w:val="both"/>
            </w:pPr>
            <w:r>
              <w:t>Непогасената начислена лихва по инструмента.</w:t>
            </w:r>
          </w:p>
        </w:tc>
      </w:tr>
      <w:tr w:rsidR="00FE5D64"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FE5D64" w:rsidRDefault="00E40776">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FE5D64" w:rsidRDefault="00E40776">
            <w:pPr>
              <w:pStyle w:val="P68B1DB1-TableParagraph73"/>
              <w:spacing w:before="108"/>
              <w:ind w:left="85"/>
              <w:jc w:val="both"/>
              <w:rPr>
                <w:bCs/>
              </w:rPr>
            </w:pPr>
            <w:r>
              <w:t xml:space="preserve">Coupon type (вид купон) </w:t>
            </w:r>
          </w:p>
          <w:p w14:paraId="7FE1CFCF" w14:textId="77777777" w:rsidR="00FE5D64" w:rsidRDefault="00E40776">
            <w:pPr>
              <w:pStyle w:val="P68B1DB1-TableParagraph40"/>
              <w:spacing w:before="108"/>
              <w:ind w:left="85"/>
              <w:jc w:val="both"/>
            </w:pPr>
            <w:r>
              <w:t>Идентификация на текущия вид купонно плащане — „фиксиран купон „, „плаващ купон„, „Структуриран купон „или „Zero-Coupon“ от предварително определен списък.</w:t>
            </w:r>
          </w:p>
        </w:tc>
      </w:tr>
      <w:tr w:rsidR="00FE5D64"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FE5D64" w:rsidRDefault="00E40776">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FE5D64" w:rsidRDefault="00E40776">
            <w:pPr>
              <w:pStyle w:val="P68B1DB1-TableParagraph73"/>
              <w:spacing w:before="108"/>
              <w:ind w:left="85"/>
              <w:jc w:val="both"/>
              <w:rPr>
                <w:bCs/>
              </w:rPr>
            </w:pPr>
            <w:r>
              <w:t>Текущ купон (%)</w:t>
            </w:r>
          </w:p>
          <w:p w14:paraId="7FE1CFD3" w14:textId="32FFE809" w:rsidR="00FE5D64" w:rsidRDefault="00E40776">
            <w:pPr>
              <w:pStyle w:val="P68B1DB1-TableParagraph40"/>
              <w:spacing w:before="108"/>
              <w:ind w:left="85"/>
              <w:jc w:val="both"/>
            </w:pPr>
            <w:r>
              <w:lastRenderedPageBreak/>
              <w:t xml:space="preserve">Равнище на лихвения процент на купона, приложим за инструмента към датата на докладване. </w:t>
            </w:r>
          </w:p>
        </w:tc>
      </w:tr>
      <w:tr w:rsidR="00FE5D64"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FE5D64" w:rsidRDefault="00E40776">
            <w:pPr>
              <w:pStyle w:val="P68B1DB1-Normal31"/>
            </w:pPr>
            <w:r>
              <w:lastRenderedPageBreak/>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FE5D64" w:rsidRDefault="00E40776">
            <w:pPr>
              <w:pStyle w:val="P68B1DB1-TableParagraph73"/>
              <w:spacing w:before="108"/>
              <w:ind w:left="85"/>
              <w:jc w:val="both"/>
              <w:rPr>
                <w:bCs/>
              </w:rPr>
            </w:pPr>
            <w:r>
              <w:t xml:space="preserve">Дата на изготвянето </w:t>
            </w:r>
          </w:p>
          <w:p w14:paraId="7FE1CFD7" w14:textId="77777777" w:rsidR="00FE5D64" w:rsidRDefault="00E40776">
            <w:pPr>
              <w:pStyle w:val="P68B1DB1-TableParagraph40"/>
              <w:spacing w:before="108"/>
              <w:ind w:left="85"/>
              <w:jc w:val="both"/>
            </w:pPr>
            <w:r>
              <w:t>Дата на първоначалното емитиране на инструмента.</w:t>
            </w:r>
          </w:p>
        </w:tc>
      </w:tr>
      <w:tr w:rsidR="00FE5D64"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FE5D64" w:rsidRDefault="00E40776">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FE5D64" w:rsidRDefault="00E40776">
            <w:pPr>
              <w:pStyle w:val="P68B1DB1-TableParagraph73"/>
              <w:spacing w:before="108"/>
              <w:ind w:left="85"/>
              <w:jc w:val="both"/>
              <w:rPr>
                <w:bCs/>
              </w:rPr>
            </w:pPr>
            <w:r>
              <w:t xml:space="preserve">Най-ранна дата на обратно изкупуване  </w:t>
            </w:r>
          </w:p>
          <w:p w14:paraId="7FE1CFDB" w14:textId="2A33C765" w:rsidR="00FE5D64" w:rsidRDefault="00E40776">
            <w:pPr>
              <w:pStyle w:val="P68B1DB1-TableParagraph40"/>
              <w:spacing w:before="108"/>
              <w:ind w:left="85"/>
              <w:jc w:val="both"/>
            </w:pPr>
            <w:r>
              <w:t>Ако съществува възможност притежателите на инструмента да поискат предсрочно възстановяване или ако в договора са предвидени условия за предсрочно възстановяване, докладвайте най-ранната дата на настъпване на събитието. Когато такива събития по прекратяване не са свързани с определена дата, а по-скоро с настъпването на каквото и да е събитие в бъдеще, докладвайте най-ранната дата, на която може да настъпи събитието. Ако предсрочното възстановяване се отнася само до част от задължението (напр. предсрочно пог</w:t>
            </w:r>
            <w:r>
              <w:t>асяване на 50 % от номиналната стойност), задължението се разделя, за да се вземе предвид тази клауза за частично предсрочно погасяване.</w:t>
            </w:r>
          </w:p>
        </w:tc>
      </w:tr>
      <w:tr w:rsidR="00FE5D64"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FE5D64" w:rsidRDefault="00E40776">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FE5D64" w:rsidRDefault="00E40776">
            <w:pPr>
              <w:pStyle w:val="P68B1DB1-TableParagraph73"/>
              <w:spacing w:before="108"/>
              <w:ind w:left="85"/>
              <w:jc w:val="both"/>
              <w:rPr>
                <w:bCs/>
              </w:rPr>
            </w:pPr>
            <w:r>
              <w:t xml:space="preserve">Законоустановен падеж </w:t>
            </w:r>
          </w:p>
          <w:p w14:paraId="7FE1CFDF" w14:textId="3157371F" w:rsidR="00FE5D64" w:rsidRDefault="00E40776">
            <w:pPr>
              <w:pStyle w:val="P68B1DB1-TableParagraph40"/>
              <w:spacing w:before="108"/>
              <w:ind w:left="85"/>
              <w:jc w:val="both"/>
            </w:pPr>
            <w:r>
              <w:t>Дата на законния, окончателен матуритет на инструмента. За безсрочните ценни книжа се вписва „9999—12—31“</w:t>
            </w:r>
          </w:p>
        </w:tc>
      </w:tr>
      <w:tr w:rsidR="00FE5D64"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FE5D64" w:rsidRDefault="00E40776">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FE5D64" w:rsidRDefault="00E40776">
            <w:pPr>
              <w:pStyle w:val="P68B1DB1-TableParagraph73"/>
              <w:spacing w:before="108"/>
              <w:ind w:left="85"/>
              <w:jc w:val="both"/>
              <w:rPr>
                <w:bCs/>
              </w:rPr>
            </w:pPr>
            <w:r>
              <w:t xml:space="preserve">Публично/частно пласиране </w:t>
            </w:r>
          </w:p>
          <w:p w14:paraId="7FE1CFE3" w14:textId="77777777" w:rsidR="00FE5D64" w:rsidRDefault="00E40776">
            <w:pPr>
              <w:pStyle w:val="P68B1DB1-TableParagraph40"/>
              <w:spacing w:before="108"/>
              <w:ind w:left="85"/>
              <w:jc w:val="both"/>
            </w:pPr>
            <w:r>
              <w:t>При публично пласиране субектът ще е публикувал емисията с конкретен график за тръжна процедура. Напротив, частните емисии на ценни книжа се договарят между отделни лица, действащи за своя сметка или за сметка на трети лица. Стойността може да бъде „Публично настаняване „или „Частно настаняване“ от предварително определен списък.</w:t>
            </w:r>
          </w:p>
        </w:tc>
      </w:tr>
      <w:tr w:rsidR="00FE5D64"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FE5D64" w:rsidRDefault="00E40776">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FE5D64" w:rsidRDefault="00E40776">
            <w:pPr>
              <w:pStyle w:val="P68B1DB1-TableParagraph73"/>
              <w:spacing w:before="108"/>
              <w:ind w:left="85"/>
              <w:jc w:val="both"/>
              <w:rPr>
                <w:bCs/>
              </w:rPr>
            </w:pPr>
            <w:r>
              <w:t xml:space="preserve">Платежен посредник </w:t>
            </w:r>
          </w:p>
          <w:p w14:paraId="7FE1CFE7" w14:textId="77777777" w:rsidR="00FE5D64" w:rsidRDefault="00E40776">
            <w:pPr>
              <w:pStyle w:val="P68B1DB1-TableParagraph40"/>
              <w:spacing w:before="108"/>
              <w:ind w:left="85"/>
              <w:jc w:val="both"/>
            </w:pPr>
            <w:r>
              <w:t>Идентификация на платежния посредник за инструмента, като се използва неговият ИКПС. „Платежен посредник“ е институция, обикновено инвестиционна банка, която приема средства от емитента на ценна книга и ги разпределя на притежателите на ценната книга. Що се отнася до запасите, агентът по плащанията разпределя дивиденти на притежателите на дялове. Що се отнася до облигациите, тя разпределя купонни плащания и възстановявания на главницата на притежателите на облигации.</w:t>
            </w:r>
          </w:p>
        </w:tc>
      </w:tr>
      <w:tr w:rsidR="00FE5D64"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FE5D64" w:rsidRDefault="00E40776">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FE5D64" w:rsidRDefault="00E40776">
            <w:pPr>
              <w:pStyle w:val="P68B1DB1-TableParagraph73"/>
              <w:spacing w:before="108"/>
              <w:ind w:left="85"/>
              <w:jc w:val="both"/>
              <w:rPr>
                <w:bCs/>
              </w:rPr>
            </w:pPr>
            <w:r>
              <w:t xml:space="preserve">Идентификатор на контрагента </w:t>
            </w:r>
          </w:p>
          <w:p w14:paraId="7FE1CFEF" w14:textId="599C6555" w:rsidR="00FE5D64" w:rsidRDefault="00E40776">
            <w:pPr>
              <w:pStyle w:val="P68B1DB1-TableParagraph40"/>
              <w:spacing w:before="108"/>
              <w:ind w:left="85"/>
              <w:jc w:val="both"/>
            </w:pPr>
            <w:r>
              <w:t>Посочва се ИКПС на кредитора. При липса на ИКПС, когато става въпрос за банки, се отчита използваният в RIAD идентификатор на ЕЦБ на парични финансови институции (ПФИ). Само при липса на двата идентификатора се докладва вътрешен идентификатор.</w:t>
            </w:r>
          </w:p>
        </w:tc>
      </w:tr>
      <w:tr w:rsidR="00FE5D64"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FE5D64" w:rsidRDefault="00E40776">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FE5D64" w:rsidRDefault="00E40776">
            <w:pPr>
              <w:pStyle w:val="P68B1DB1-TableParagraph73"/>
              <w:spacing w:before="108"/>
              <w:ind w:left="85"/>
              <w:jc w:val="both"/>
              <w:rPr>
                <w:bCs/>
              </w:rPr>
            </w:pPr>
            <w:r>
              <w:t xml:space="preserve">Вид идентификатор </w:t>
            </w:r>
          </w:p>
          <w:p w14:paraId="7FE1CFF3" w14:textId="77777777" w:rsidR="00FE5D64" w:rsidRDefault="00E40776">
            <w:pPr>
              <w:pStyle w:val="P68B1DB1-TableParagraph40"/>
              <w:spacing w:before="108"/>
              <w:ind w:left="85"/>
              <w:jc w:val="both"/>
            </w:pPr>
            <w:r>
              <w:t>Избира се измежду следните варианти: „ИКПС „, „Код на ПФИ„или „Вид идентификатор, различен от ИКПС или код на ПФИ“.</w:t>
            </w:r>
          </w:p>
        </w:tc>
      </w:tr>
      <w:tr w:rsidR="00FE5D64"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FE5D64" w:rsidRDefault="00E40776">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FE5D64" w:rsidRDefault="00E40776">
            <w:pPr>
              <w:pStyle w:val="P68B1DB1-TableParagraph73"/>
              <w:spacing w:before="108"/>
              <w:ind w:left="85"/>
              <w:jc w:val="both"/>
              <w:rPr>
                <w:bCs/>
              </w:rPr>
            </w:pPr>
            <w:r>
              <w:t xml:space="preserve">Борсовите ценни книжа се търгуват на </w:t>
            </w:r>
          </w:p>
          <w:p w14:paraId="7FE1CFF7" w14:textId="3C377B4D" w:rsidR="00FE5D64" w:rsidRDefault="00E40776">
            <w:pPr>
              <w:pStyle w:val="P68B1DB1-TableParagraph40"/>
              <w:spacing w:before="108"/>
              <w:ind w:left="85"/>
              <w:jc w:val="both"/>
            </w:pPr>
            <w:r>
              <w:t>Ако инструментите са регистрирани на платформа за обмен, посочете тази (тези) платформа (и). Когато става въпрос за многократен обмен, платформите се разделят с точка и запетая.</w:t>
            </w:r>
          </w:p>
        </w:tc>
      </w:tr>
      <w:tr w:rsidR="00FE5D64"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FE5D64" w:rsidRDefault="00E40776">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FE5D64" w:rsidRDefault="00E40776">
            <w:pPr>
              <w:pStyle w:val="P68B1DB1-TableParagraph73"/>
              <w:spacing w:before="108"/>
              <w:ind w:left="85"/>
              <w:jc w:val="both"/>
              <w:rPr>
                <w:bCs/>
              </w:rPr>
            </w:pPr>
            <w:r>
              <w:t xml:space="preserve">Системи за сетълмент  </w:t>
            </w:r>
          </w:p>
          <w:p w14:paraId="7FE1CFFB" w14:textId="2006B3AF" w:rsidR="00FE5D64" w:rsidRDefault="00E40776">
            <w:pPr>
              <w:pStyle w:val="P68B1DB1-TableParagraph40"/>
              <w:spacing w:before="108"/>
              <w:ind w:left="85"/>
              <w:jc w:val="both"/>
            </w:pPr>
            <w:r>
              <w:t>Посочете системите за сетълмент на ценни книжа, в които може да се извършва сетълмент на тези ценни книжа. Когато става въпрос за множество системи за сетълмент, всяка от тях се разделя с точка и запетая.</w:t>
            </w:r>
          </w:p>
        </w:tc>
      </w:tr>
      <w:tr w:rsidR="00FE5D64"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FE5D64" w:rsidRDefault="00E40776">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FE5D64" w:rsidRDefault="00E40776">
            <w:pPr>
              <w:pStyle w:val="P68B1DB1-TableParagraph73"/>
              <w:spacing w:before="108"/>
              <w:ind w:left="85"/>
              <w:jc w:val="both"/>
              <w:rPr>
                <w:bCs/>
              </w:rPr>
            </w:pPr>
            <w:r>
              <w:t xml:space="preserve">Секретар </w:t>
            </w:r>
          </w:p>
          <w:p w14:paraId="7FE1CFFF" w14:textId="77777777" w:rsidR="00FE5D64" w:rsidRDefault="00E40776">
            <w:pPr>
              <w:pStyle w:val="P68B1DB1-TableParagraph40"/>
              <w:spacing w:before="108"/>
              <w:ind w:left="85"/>
              <w:jc w:val="both"/>
            </w:pPr>
            <w:r>
              <w:lastRenderedPageBreak/>
              <w:t xml:space="preserve">Посочете длъжностното лице по вписванията (отговорно за воденето на регистрите на собствениците на тези ценни книжа). Регистраторът или титулярят на регистъра обикновено е самият емитент, ЦДЦК или друг субект. </w:t>
            </w:r>
          </w:p>
        </w:tc>
      </w:tr>
      <w:tr w:rsidR="00FE5D64" w14:paraId="7FE1D004" w14:textId="77777777">
        <w:tc>
          <w:tcPr>
            <w:tcW w:w="1415" w:type="dxa"/>
            <w:tcBorders>
              <w:top w:val="single" w:sz="8" w:space="0" w:color="1A171C"/>
              <w:left w:val="nil"/>
              <w:right w:val="single" w:sz="8" w:space="0" w:color="1A171C"/>
            </w:tcBorders>
            <w:vAlign w:val="center"/>
          </w:tcPr>
          <w:p w14:paraId="7FE1D001" w14:textId="77777777" w:rsidR="00FE5D64" w:rsidRDefault="00E40776">
            <w:pPr>
              <w:pStyle w:val="P68B1DB1-Normal31"/>
            </w:pPr>
            <w:r>
              <w:lastRenderedPageBreak/>
              <w:t>В250</w:t>
            </w:r>
          </w:p>
        </w:tc>
        <w:tc>
          <w:tcPr>
            <w:tcW w:w="7611" w:type="dxa"/>
            <w:gridSpan w:val="2"/>
            <w:tcBorders>
              <w:top w:val="single" w:sz="8" w:space="0" w:color="1A171C"/>
              <w:left w:val="single" w:sz="8" w:space="0" w:color="1A171C"/>
              <w:right w:val="nil"/>
            </w:tcBorders>
            <w:vAlign w:val="bottom"/>
          </w:tcPr>
          <w:p w14:paraId="7FE1D002" w14:textId="200E4E8A" w:rsidR="00FE5D64" w:rsidRDefault="00E40776">
            <w:pPr>
              <w:pStyle w:val="P68B1DB1-TableParagraph73"/>
              <w:spacing w:before="108"/>
              <w:ind w:left="85"/>
              <w:jc w:val="both"/>
              <w:rPr>
                <w:bCs/>
              </w:rPr>
            </w:pPr>
            <w:r>
              <w:t xml:space="preserve">Централен депозитар на ценни книжа </w:t>
            </w:r>
          </w:p>
          <w:p w14:paraId="7FE1D003" w14:textId="77777777" w:rsidR="00FE5D64" w:rsidRDefault="00E40776">
            <w:pPr>
              <w:pStyle w:val="P68B1DB1-TableParagraph40"/>
              <w:spacing w:before="108"/>
              <w:ind w:left="85"/>
              <w:jc w:val="both"/>
            </w:pPr>
            <w:r>
              <w:t>Посочва се емитиращият ценните книжа ЦДЦК.</w:t>
            </w:r>
          </w:p>
        </w:tc>
      </w:tr>
      <w:tr w:rsidR="00FE5D64" w14:paraId="7FE1D02F" w14:textId="77777777">
        <w:tc>
          <w:tcPr>
            <w:tcW w:w="1415" w:type="dxa"/>
            <w:tcBorders>
              <w:left w:val="nil"/>
              <w:bottom w:val="single" w:sz="8" w:space="0" w:color="1A171C"/>
              <w:right w:val="single" w:sz="8" w:space="0" w:color="1A171C"/>
            </w:tcBorders>
            <w:vAlign w:val="center"/>
          </w:tcPr>
          <w:p w14:paraId="7FE1D005" w14:textId="77777777" w:rsidR="00FE5D64" w:rsidRDefault="00E40776">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FE5D64" w:rsidRDefault="00E40776">
            <w:pPr>
              <w:pStyle w:val="P68B1DB1-TableParagraph40"/>
              <w:spacing w:before="108"/>
              <w:ind w:left="85"/>
              <w:jc w:val="both"/>
            </w:pPr>
            <w:r>
              <w:t>Когато се докладва емитиращият ЦДЦК, използвайте съкращението, посочено в таблицата по-долу, освен ако съответният ЦДЦК не е в списъка:</w:t>
            </w:r>
          </w:p>
          <w:p w14:paraId="7FE1D007" w14:textId="77777777" w:rsidR="00FE5D64" w:rsidRDefault="00E40776">
            <w:pPr>
              <w:pStyle w:val="P68B1DB1-TableParagraph40"/>
              <w:spacing w:before="108"/>
              <w:ind w:left="85"/>
              <w:jc w:val="both"/>
            </w:pPr>
            <w:r>
              <w:t>ATHEX CSD_EL</w:t>
            </w:r>
          </w:p>
          <w:p w14:paraId="7FE1D008" w14:textId="77777777" w:rsidR="00FE5D64" w:rsidRDefault="00E40776">
            <w:pPr>
              <w:pStyle w:val="P68B1DB1-TableParagraph40"/>
              <w:spacing w:before="108"/>
              <w:ind w:left="85"/>
              <w:jc w:val="both"/>
            </w:pPr>
            <w:r>
              <w:t>BOGS_EL</w:t>
            </w:r>
          </w:p>
          <w:p w14:paraId="7FE1D009" w14:textId="77777777" w:rsidR="00FE5D64" w:rsidRDefault="00E40776">
            <w:pPr>
              <w:pStyle w:val="P68B1DB1-TableParagraph40"/>
              <w:spacing w:before="108"/>
              <w:ind w:left="85"/>
              <w:jc w:val="both"/>
            </w:pPr>
            <w:r>
              <w:t>CBF_DE</w:t>
            </w:r>
          </w:p>
          <w:p w14:paraId="7FE1D00A" w14:textId="77777777" w:rsidR="00FE5D64" w:rsidRDefault="00E40776">
            <w:pPr>
              <w:pStyle w:val="P68B1DB1-TableParagraph40"/>
              <w:spacing w:before="108"/>
              <w:ind w:left="85"/>
              <w:jc w:val="both"/>
            </w:pPr>
            <w:r>
              <w:t>CBL_LU</w:t>
            </w:r>
          </w:p>
          <w:p w14:paraId="7FE1D00B" w14:textId="77777777" w:rsidR="00FE5D64" w:rsidRDefault="00E40776">
            <w:pPr>
              <w:pStyle w:val="P68B1DB1-TableParagraph40"/>
              <w:spacing w:before="108"/>
              <w:ind w:left="85"/>
              <w:jc w:val="both"/>
            </w:pPr>
            <w:r>
              <w:t>CDCP SR_SK</w:t>
            </w:r>
          </w:p>
          <w:p w14:paraId="7FE1D00C" w14:textId="77777777" w:rsidR="00FE5D64" w:rsidRDefault="00E40776">
            <w:pPr>
              <w:pStyle w:val="P68B1DB1-TableParagraph40"/>
              <w:spacing w:before="108"/>
              <w:ind w:left="85"/>
              <w:jc w:val="both"/>
            </w:pPr>
            <w:r>
              <w:t>CDCP_CZ</w:t>
            </w:r>
          </w:p>
          <w:p w14:paraId="7FE1D00D" w14:textId="77777777" w:rsidR="00FE5D64" w:rsidRDefault="00E40776">
            <w:pPr>
              <w:pStyle w:val="P68B1DB1-TableParagraph40"/>
              <w:spacing w:before="108"/>
              <w:ind w:left="85"/>
              <w:jc w:val="both"/>
            </w:pPr>
            <w:r>
              <w:t>Централен депозитар — клирингово дружество — HR</w:t>
            </w:r>
          </w:p>
          <w:p w14:paraId="7FE1D00E" w14:textId="77777777" w:rsidR="00FE5D64" w:rsidRDefault="00E40776">
            <w:pPr>
              <w:pStyle w:val="P68B1DB1-TableParagraph40"/>
              <w:spacing w:before="108"/>
              <w:ind w:left="85"/>
              <w:jc w:val="both"/>
            </w:pPr>
            <w:r>
              <w:t>Централен депозитар на ценни книжа (Prague_CZ)</w:t>
            </w:r>
          </w:p>
          <w:p w14:paraId="7FE1D00F" w14:textId="77777777" w:rsidR="00FE5D64" w:rsidRDefault="00E40776">
            <w:pPr>
              <w:pStyle w:val="P68B1DB1-TableParagraph40"/>
              <w:spacing w:before="108"/>
              <w:ind w:left="85"/>
              <w:jc w:val="both"/>
            </w:pPr>
            <w:r>
              <w:t>Централен депозитари_BG</w:t>
            </w:r>
          </w:p>
          <w:p w14:paraId="7FE1D010" w14:textId="77777777" w:rsidR="00FE5D64" w:rsidRDefault="00E40776">
            <w:pPr>
              <w:pStyle w:val="P68B1DB1-TableParagraph40"/>
              <w:spacing w:before="108"/>
              <w:ind w:left="85"/>
              <w:jc w:val="both"/>
            </w:pPr>
            <w:r>
              <w:t>Кипър CDCR_CY</w:t>
            </w:r>
          </w:p>
          <w:p w14:paraId="7FE1D011" w14:textId="77777777" w:rsidR="00FE5D64" w:rsidRDefault="00E40776">
            <w:pPr>
              <w:pStyle w:val="P68B1DB1-TableParagraph40"/>
              <w:spacing w:before="108"/>
              <w:ind w:left="85"/>
              <w:jc w:val="both"/>
            </w:pPr>
            <w:r>
              <w:t>Depozitarul Central_RO</w:t>
            </w:r>
          </w:p>
          <w:p w14:paraId="7FE1D012" w14:textId="77777777" w:rsidR="00FE5D64" w:rsidRDefault="00E40776">
            <w:pPr>
              <w:pStyle w:val="P68B1DB1-TableParagraph40"/>
              <w:spacing w:before="108"/>
              <w:ind w:left="85"/>
              <w:jc w:val="both"/>
            </w:pPr>
            <w:r>
              <w:t>DTC_US</w:t>
            </w:r>
          </w:p>
          <w:p w14:paraId="7FE1D013" w14:textId="77777777" w:rsidR="00FE5D64" w:rsidRDefault="00E40776">
            <w:pPr>
              <w:pStyle w:val="P68B1DB1-TableParagraph40"/>
              <w:spacing w:before="108"/>
              <w:ind w:left="85"/>
              <w:jc w:val="both"/>
            </w:pPr>
            <w:r>
              <w:t>Euroclear Bank_BE</w:t>
            </w:r>
          </w:p>
          <w:p w14:paraId="7FE1D014" w14:textId="77777777" w:rsidR="00FE5D64" w:rsidRDefault="00E40776">
            <w:pPr>
              <w:pStyle w:val="P68B1DB1-TableParagraph40"/>
              <w:spacing w:before="108"/>
              <w:ind w:left="85"/>
              <w:jc w:val="both"/>
            </w:pPr>
            <w:r>
              <w:t>Euroclear Belgium_BE</w:t>
            </w:r>
          </w:p>
          <w:p w14:paraId="7FE1D015" w14:textId="77777777" w:rsidR="00FE5D64" w:rsidRDefault="00E40776">
            <w:pPr>
              <w:pStyle w:val="P68B1DB1-TableParagraph40"/>
              <w:spacing w:before="108"/>
              <w:ind w:left="85"/>
              <w:jc w:val="both"/>
            </w:pPr>
            <w:r>
              <w:t>Euroclear Finland_FI</w:t>
            </w:r>
          </w:p>
          <w:p w14:paraId="7FE1D016" w14:textId="77777777" w:rsidR="00FE5D64" w:rsidRDefault="00E40776">
            <w:pPr>
              <w:pStyle w:val="P68B1DB1-TableParagraph40"/>
              <w:spacing w:before="108"/>
              <w:ind w:left="85"/>
              <w:jc w:val="both"/>
            </w:pPr>
            <w:r>
              <w:t>Euroclear France_FR</w:t>
            </w:r>
          </w:p>
          <w:p w14:paraId="7FE1D017" w14:textId="77777777" w:rsidR="00FE5D64" w:rsidRDefault="00E40776">
            <w:pPr>
              <w:pStyle w:val="P68B1DB1-TableParagraph40"/>
              <w:spacing w:before="108"/>
              <w:ind w:left="85"/>
              <w:jc w:val="both"/>
            </w:pPr>
            <w:r>
              <w:t>Euroclear Нидерландия — NL</w:t>
            </w:r>
          </w:p>
          <w:p w14:paraId="7FE1D018" w14:textId="77777777" w:rsidR="00FE5D64" w:rsidRDefault="00E40776">
            <w:pPr>
              <w:pStyle w:val="P68B1DB1-TableParagraph40"/>
              <w:spacing w:before="108"/>
              <w:ind w:left="85"/>
              <w:jc w:val="both"/>
            </w:pPr>
            <w:r>
              <w:t>Euroclear Sweden_SE</w:t>
            </w:r>
          </w:p>
          <w:p w14:paraId="7FE1D019" w14:textId="77777777" w:rsidR="00FE5D64" w:rsidRDefault="00E40776">
            <w:pPr>
              <w:pStyle w:val="P68B1DB1-TableParagraph40"/>
              <w:spacing w:before="108"/>
              <w:ind w:left="85"/>
              <w:jc w:val="both"/>
            </w:pPr>
            <w:r>
              <w:t>Euroclear UK Ireland_UK</w:t>
            </w:r>
          </w:p>
          <w:p w14:paraId="7FE1D01A" w14:textId="77777777" w:rsidR="00FE5D64" w:rsidRDefault="00E40776">
            <w:pPr>
              <w:pStyle w:val="P68B1DB1-TableParagraph40"/>
              <w:spacing w:before="108"/>
              <w:ind w:left="85"/>
              <w:jc w:val="both"/>
            </w:pPr>
            <w:r>
              <w:t>Депозитар на държавни ценни книжа (GSD) _BG</w:t>
            </w:r>
          </w:p>
          <w:p w14:paraId="7FE1D01B" w14:textId="77777777" w:rsidR="00FE5D64" w:rsidRDefault="00E40776">
            <w:pPr>
              <w:pStyle w:val="P68B1DB1-TableParagraph40"/>
              <w:spacing w:before="108"/>
              <w:ind w:left="85"/>
              <w:jc w:val="both"/>
            </w:pPr>
            <w:r>
              <w:t>Iberclear_ES</w:t>
            </w:r>
          </w:p>
          <w:p w14:paraId="7FE1D01C" w14:textId="77777777" w:rsidR="00FE5D64" w:rsidRDefault="00E40776">
            <w:pPr>
              <w:pStyle w:val="P68B1DB1-TableParagraph40"/>
              <w:spacing w:before="108"/>
              <w:ind w:left="85"/>
              <w:jc w:val="both"/>
            </w:pPr>
            <w:r>
              <w:t>INTERBOLSA_PT</w:t>
            </w:r>
          </w:p>
          <w:p w14:paraId="7FE1D01D" w14:textId="77777777" w:rsidR="00FE5D64" w:rsidRDefault="00E40776">
            <w:pPr>
              <w:pStyle w:val="P68B1DB1-TableParagraph40"/>
              <w:spacing w:before="108"/>
              <w:ind w:left="85"/>
              <w:jc w:val="both"/>
            </w:pPr>
            <w:r>
              <w:t>KDD_SI</w:t>
            </w:r>
          </w:p>
          <w:p w14:paraId="7FE1D01E" w14:textId="77777777" w:rsidR="00FE5D64" w:rsidRDefault="00E40776">
            <w:pPr>
              <w:pStyle w:val="P68B1DB1-TableParagraph40"/>
              <w:spacing w:before="108"/>
              <w:ind w:left="85"/>
              <w:jc w:val="both"/>
            </w:pPr>
            <w:r>
              <w:t>KDPW_PL</w:t>
            </w:r>
          </w:p>
          <w:p w14:paraId="7FE1D01F" w14:textId="77777777" w:rsidR="00FE5D64" w:rsidRDefault="00E40776">
            <w:pPr>
              <w:pStyle w:val="P68B1DB1-TableParagraph40"/>
              <w:spacing w:before="108"/>
              <w:ind w:left="85"/>
              <w:jc w:val="both"/>
            </w:pPr>
            <w:r>
              <w:t>KELER_HU</w:t>
            </w:r>
          </w:p>
          <w:p w14:paraId="7FE1D020" w14:textId="77777777" w:rsidR="00FE5D64" w:rsidRDefault="00E40776">
            <w:pPr>
              <w:pStyle w:val="P68B1DB1-TableParagraph40"/>
              <w:spacing w:before="108"/>
              <w:ind w:left="85"/>
              <w:jc w:val="both"/>
            </w:pPr>
            <w:r>
              <w:t>LUX CSD_LU</w:t>
            </w:r>
          </w:p>
          <w:p w14:paraId="7FE1D021" w14:textId="77777777" w:rsidR="00FE5D64" w:rsidRDefault="00E40776">
            <w:pPr>
              <w:pStyle w:val="P68B1DB1-TableParagraph40"/>
              <w:spacing w:before="108"/>
              <w:ind w:left="85"/>
              <w:jc w:val="both"/>
            </w:pPr>
            <w:r>
              <w:t>Малтийска фондова борса CSD_MT</w:t>
            </w:r>
          </w:p>
          <w:p w14:paraId="7FE1D022" w14:textId="77777777" w:rsidR="00FE5D64" w:rsidRDefault="00E40776">
            <w:pPr>
              <w:pStyle w:val="P68B1DB1-TableParagraph40"/>
              <w:spacing w:before="108"/>
              <w:ind w:left="85"/>
              <w:jc w:val="both"/>
            </w:pPr>
            <w:r>
              <w:t>Euronext Securities Milan_IT</w:t>
            </w:r>
          </w:p>
          <w:p w14:paraId="7FE1D023" w14:textId="77777777" w:rsidR="00FE5D64" w:rsidRDefault="00E40776">
            <w:pPr>
              <w:pStyle w:val="P68B1DB1-TableParagraph40"/>
              <w:spacing w:before="108"/>
              <w:ind w:left="85"/>
              <w:jc w:val="both"/>
            </w:pPr>
            <w:r>
              <w:t>Nasdaq CSD_EE</w:t>
            </w:r>
          </w:p>
          <w:p w14:paraId="7FE1D024" w14:textId="77777777" w:rsidR="00FE5D64" w:rsidRDefault="00E40776">
            <w:pPr>
              <w:pStyle w:val="P68B1DB1-TableParagraph40"/>
              <w:spacing w:before="108"/>
              <w:ind w:left="85"/>
              <w:jc w:val="both"/>
            </w:pPr>
            <w:r>
              <w:t>Nasdaq CSD_LT</w:t>
            </w:r>
          </w:p>
          <w:p w14:paraId="7FE1D025" w14:textId="77777777" w:rsidR="00FE5D64" w:rsidRDefault="00E40776">
            <w:pPr>
              <w:pStyle w:val="P68B1DB1-TableParagraph40"/>
              <w:spacing w:before="108"/>
              <w:ind w:left="85"/>
              <w:jc w:val="both"/>
            </w:pPr>
            <w:r>
              <w:t>Nasdaq CSD_LV</w:t>
            </w:r>
          </w:p>
          <w:p w14:paraId="7FE1D026" w14:textId="77777777" w:rsidR="00FE5D64" w:rsidRDefault="00E40776">
            <w:pPr>
              <w:pStyle w:val="P68B1DB1-TableParagraph40"/>
              <w:spacing w:before="108"/>
              <w:ind w:left="85"/>
              <w:jc w:val="both"/>
            </w:pPr>
            <w:r>
              <w:t>NBB SSS_BE</w:t>
            </w:r>
          </w:p>
          <w:p w14:paraId="7FE1D027" w14:textId="77777777" w:rsidR="00FE5D64" w:rsidRDefault="00E40776">
            <w:pPr>
              <w:pStyle w:val="P68B1DB1-TableParagraph40"/>
              <w:spacing w:before="108"/>
              <w:ind w:left="85"/>
              <w:jc w:val="both"/>
            </w:pPr>
            <w:r>
              <w:t>nCDCP_SK</w:t>
            </w:r>
          </w:p>
          <w:p w14:paraId="7FE1D028" w14:textId="77777777" w:rsidR="00FE5D64" w:rsidRDefault="00E40776">
            <w:pPr>
              <w:pStyle w:val="P68B1DB1-TableParagraph40"/>
              <w:spacing w:before="108"/>
              <w:ind w:left="85"/>
              <w:jc w:val="both"/>
            </w:pPr>
            <w:r>
              <w:lastRenderedPageBreak/>
              <w:t>OeKB CSD_AT</w:t>
            </w:r>
          </w:p>
          <w:p w14:paraId="7FE1D029" w14:textId="77777777" w:rsidR="00FE5D64" w:rsidRDefault="00E40776">
            <w:pPr>
              <w:pStyle w:val="P68B1DB1-TableParagraph40"/>
              <w:spacing w:before="108"/>
              <w:ind w:left="85"/>
              <w:jc w:val="both"/>
            </w:pPr>
            <w:r>
              <w:t>SAFIR_RO</w:t>
            </w:r>
          </w:p>
          <w:p w14:paraId="7FE1D02A" w14:textId="77777777" w:rsidR="00FE5D64" w:rsidRDefault="00E40776">
            <w:pPr>
              <w:pStyle w:val="P68B1DB1-TableParagraph40"/>
              <w:spacing w:before="108"/>
              <w:ind w:left="85"/>
              <w:jc w:val="both"/>
            </w:pPr>
            <w:r>
              <w:t>ШЕСТ SIS_CH</w:t>
            </w:r>
          </w:p>
          <w:p w14:paraId="7FE1D02B" w14:textId="77777777" w:rsidR="00FE5D64" w:rsidRDefault="00E40776">
            <w:pPr>
              <w:pStyle w:val="P68B1DB1-TableParagraph40"/>
              <w:spacing w:before="108"/>
              <w:ind w:left="85"/>
              <w:jc w:val="both"/>
            </w:pPr>
            <w:r>
              <w:t>SKARBNET4_PL</w:t>
            </w:r>
          </w:p>
          <w:p w14:paraId="7FE1D02C" w14:textId="77777777" w:rsidR="00FE5D64" w:rsidRDefault="00E40776">
            <w:pPr>
              <w:pStyle w:val="P68B1DB1-TableParagraph40"/>
              <w:spacing w:before="108"/>
              <w:ind w:left="85"/>
              <w:jc w:val="both"/>
            </w:pPr>
            <w:r>
              <w:t>SKD_CZ</w:t>
            </w:r>
          </w:p>
          <w:p w14:paraId="7FE1D02D" w14:textId="77777777" w:rsidR="00FE5D64" w:rsidRDefault="00E40776">
            <w:pPr>
              <w:pStyle w:val="P68B1DB1-TableParagraph40"/>
              <w:spacing w:before="108"/>
              <w:ind w:left="85"/>
              <w:jc w:val="both"/>
            </w:pPr>
            <w:r>
              <w:t>Заместник-председател Securities_DK</w:t>
            </w:r>
          </w:p>
          <w:p w14:paraId="7FE1D02E" w14:textId="77777777" w:rsidR="00FE5D64" w:rsidRDefault="00E40776">
            <w:pPr>
              <w:pStyle w:val="P68B1DB1-TableParagraph40"/>
              <w:spacing w:before="108"/>
              <w:ind w:left="85"/>
              <w:jc w:val="both"/>
            </w:pPr>
            <w:r>
              <w:t>VPS_NO</w:t>
            </w:r>
          </w:p>
        </w:tc>
      </w:tr>
      <w:tr w:rsidR="00FE5D64"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FE5D64" w:rsidRDefault="00E40776">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FE5D64" w:rsidRDefault="00E40776">
            <w:pPr>
              <w:pStyle w:val="P68B1DB1-TableParagraph73"/>
              <w:spacing w:before="108"/>
              <w:ind w:left="85"/>
              <w:jc w:val="both"/>
              <w:rPr>
                <w:bCs/>
              </w:rPr>
            </w:pPr>
            <w:r>
              <w:t>Размер на залог, залог или обезпечение</w:t>
            </w:r>
          </w:p>
          <w:p w14:paraId="7FE1D035" w14:textId="01C91AE9" w:rsidR="00FE5D64" w:rsidRDefault="00E40776">
            <w:pPr>
              <w:pStyle w:val="P68B1DB1-TableParagraph40"/>
              <w:spacing w:before="108"/>
              <w:ind w:left="85"/>
              <w:jc w:val="both"/>
            </w:pPr>
            <w:r>
              <w:t>Когато дадено задължение е обезпечено със залог, залог или обезпечение, се отчита брутната пазарна стойност на последното. В противен случай за необезпечените задължения тази категория се отчита като нула. Тази сума ще определи обезпечената и в крайна сметка необезпечената част от всяко обезпечено задължение. За пуловете от обезпечения, които обезпечават множество позиции, се определя общото съотношение на покритие и се прилага пропорционално за всички позиции, обхванати от този пул.</w:t>
            </w:r>
          </w:p>
        </w:tc>
      </w:tr>
      <w:tr w:rsidR="00FE5D64"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FE5D64" w:rsidRDefault="00E40776">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FE5D64" w:rsidRDefault="00E40776">
            <w:pPr>
              <w:pStyle w:val="P68B1DB1-TableParagraph73"/>
              <w:spacing w:before="108"/>
              <w:ind w:left="85"/>
              <w:jc w:val="both"/>
              <w:rPr>
                <w:bCs/>
              </w:rPr>
            </w:pPr>
            <w:r>
              <w:t xml:space="preserve">Поръчител </w:t>
            </w:r>
          </w:p>
          <w:p w14:paraId="7FE1D039" w14:textId="7525BFD5" w:rsidR="00FE5D64" w:rsidRDefault="00E40776">
            <w:pPr>
              <w:pStyle w:val="P68B1DB1-TableParagraph40"/>
              <w:spacing w:before="108"/>
              <w:ind w:left="85"/>
              <w:jc w:val="both"/>
            </w:pPr>
            <w:r>
              <w:t>Ако за инструмента са предвидени гаранции, посочете подробна идентификация на гаранта (ИКПС, ISO 3166—1 alpha-2 код на държавата за държавата и т.н.). Когато има множество гаранти, докладвайте всички идентификатори, разделени с точка и запетая.</w:t>
            </w:r>
          </w:p>
        </w:tc>
      </w:tr>
      <w:tr w:rsidR="00FE5D64"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FE5D64" w:rsidRDefault="00E40776">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FE5D64" w:rsidRDefault="00E40776">
            <w:pPr>
              <w:pStyle w:val="P68B1DB1-TableParagraph73"/>
              <w:spacing w:before="108"/>
              <w:ind w:left="85"/>
              <w:jc w:val="both"/>
              <w:rPr>
                <w:bCs/>
              </w:rPr>
            </w:pPr>
            <w:r>
              <w:t xml:space="preserve">Сума, отговаряща на условията за допустимост на МИПЗ </w:t>
            </w:r>
          </w:p>
          <w:p w14:paraId="7FE1D044" w14:textId="63D3C63A" w:rsidR="00FE5D64" w:rsidRDefault="00E40776">
            <w:pPr>
              <w:pStyle w:val="P68B1DB1-TableParagraph40"/>
              <w:spacing w:before="108"/>
              <w:ind w:left="85"/>
              <w:jc w:val="both"/>
            </w:pPr>
            <w:r>
              <w:t>Размерът на собствените средства и приемливите задължения, отчитани като част от изискването, определено в съответствие с член 45, параграф 1 от Директива 2014/59/ЕС.</w:t>
            </w:r>
          </w:p>
        </w:tc>
      </w:tr>
      <w:tr w:rsidR="00FE5D64"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FE5D64" w:rsidRDefault="00E40776">
            <w:pPr>
              <w:pStyle w:val="P68B1DB1-Normal31"/>
            </w:pPr>
            <w:r>
              <w:t>0310</w:t>
            </w:r>
          </w:p>
          <w:p w14:paraId="7FE1D047" w14:textId="77777777" w:rsidR="00FE5D64" w:rsidRDefault="00E40776">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FE5D64" w:rsidRDefault="00E40776">
            <w:pPr>
              <w:pStyle w:val="P68B1DB1-TableParagraph73"/>
              <w:spacing w:before="108"/>
              <w:ind w:left="85"/>
              <w:jc w:val="both"/>
              <w:rPr>
                <w:bCs/>
              </w:rPr>
            </w:pPr>
            <w:r>
              <w:t xml:space="preserve">Квалифицирани като собствен капитал </w:t>
            </w:r>
          </w:p>
          <w:p w14:paraId="7FE1D049" w14:textId="4AE6A326" w:rsidR="00FE5D64" w:rsidRDefault="00E40776">
            <w:pPr>
              <w:pStyle w:val="P68B1DB1-TableParagraph40"/>
              <w:spacing w:before="108"/>
              <w:ind w:left="85"/>
              <w:jc w:val="both"/>
            </w:pPr>
            <w:r>
              <w:t xml:space="preserve">Посочете дали и на какво равнище инструментът е включен в собствения капитал, заедно с информация относно режима за поетапно прекратяване и споразуменията за запазване на придобитите права. Стойността може да бъде „Не „, „Частично AT1, T1 и T2„, „T2 при поетапно извеждане от употреба „, „заварен T2“, „напълно съответстващ T2 „, „заварен AT1„, „напълно съответстващ AT1 „или „CET1“ от предварително определен списък. </w:t>
            </w:r>
          </w:p>
          <w:p w14:paraId="7FE1D04A" w14:textId="62223A6F" w:rsidR="00FE5D64" w:rsidRDefault="00E40776">
            <w:pPr>
              <w:pStyle w:val="P68B1DB1-TableParagraph40"/>
              <w:spacing w:before="108"/>
              <w:ind w:left="85"/>
              <w:jc w:val="both"/>
            </w:pPr>
            <w:r>
              <w:t>В списъка с опции терминът „поетапно прекратяване“ се отнася за периода от 5 години преди падежа на даден инструмент Т2, през който има само пропорционално признаване въз основа на оставащия срок до падежа. „Унаследяване „се отнася до всяка преходна мярка, приложима за инструмент Т2, без да се включва „постепенното премахване“. По време на това „заварено положение“ признаването може да бъде пълно или частично.</w:t>
            </w:r>
          </w:p>
          <w:p w14:paraId="7FE1D04B" w14:textId="56289907" w:rsidR="00FE5D64" w:rsidRDefault="00E40776">
            <w:pPr>
              <w:pStyle w:val="P68B1DB1-TableParagraph40"/>
              <w:spacing w:before="108"/>
              <w:ind w:left="85"/>
              <w:jc w:val="both"/>
            </w:pPr>
            <w:r>
              <w:t xml:space="preserve"> </w:t>
            </w:r>
          </w:p>
        </w:tc>
      </w:tr>
      <w:tr w:rsidR="00FE5D64"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FE5D64" w:rsidRDefault="00E40776">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FE5D64" w:rsidRDefault="00E40776">
            <w:pPr>
              <w:pStyle w:val="P68B1DB1-TableParagraph40"/>
              <w:spacing w:before="108"/>
              <w:ind w:left="85"/>
              <w:jc w:val="both"/>
              <w:rPr>
                <w:b/>
                <w:bCs/>
              </w:rPr>
            </w:pPr>
            <w:r>
              <w:t xml:space="preserve"> </w:t>
            </w:r>
            <w:r>
              <w:rPr>
                <w:b/>
              </w:rPr>
              <w:t>Сума, квалифицирана като собствен капитал</w:t>
            </w:r>
          </w:p>
          <w:p w14:paraId="7FE1D050" w14:textId="1253231B" w:rsidR="00FE5D64" w:rsidRDefault="00E40776">
            <w:pPr>
              <w:pStyle w:val="P68B1DB1-TableParagraph40"/>
              <w:spacing w:before="108"/>
              <w:ind w:left="85"/>
              <w:jc w:val="both"/>
            </w:pPr>
            <w:r>
              <w:t>Размерът на инструмента, който отговаря на условията за собствен капитал.</w:t>
            </w:r>
          </w:p>
        </w:tc>
      </w:tr>
    </w:tbl>
    <w:p w14:paraId="7FE1D052" w14:textId="77777777" w:rsidR="00FE5D64" w:rsidRDefault="00FE5D64">
      <w:pPr>
        <w:rPr>
          <w:rFonts w:ascii="Times New Roman" w:hAnsi="Times New Roman" w:cs="Times New Roman"/>
        </w:rPr>
      </w:pPr>
    </w:p>
    <w:p w14:paraId="7FE1D053" w14:textId="77777777" w:rsidR="00FE5D64" w:rsidRDefault="00FE5D64">
      <w:pPr>
        <w:pStyle w:val="Instructionsberschrift2"/>
        <w:ind w:left="357"/>
        <w:rPr>
          <w:rFonts w:ascii="Times New Roman" w:eastAsia="Calibri" w:hAnsi="Times New Roman" w:cs="Times New Roman"/>
          <w:szCs w:val="20"/>
        </w:rPr>
      </w:pPr>
    </w:p>
    <w:p w14:paraId="7FE1D054" w14:textId="6B5C3BCC" w:rsidR="00FE5D64" w:rsidRDefault="00E40776">
      <w:pPr>
        <w:pStyle w:val="Instructionsberschrift2"/>
        <w:numPr>
          <w:ilvl w:val="1"/>
          <w:numId w:val="49"/>
        </w:numPr>
        <w:spacing w:before="0"/>
        <w:ind w:left="357" w:hanging="357"/>
        <w:rPr>
          <w:rFonts w:ascii="Times New Roman" w:hAnsi="Times New Roman" w:cs="Times New Roman"/>
        </w:rPr>
      </w:pPr>
      <w:bookmarkStart w:id="245" w:name="_Toc208244486"/>
      <w:r>
        <w:rPr>
          <w:rFonts w:ascii="Times New Roman" w:eastAsiaTheme="minorEastAsia" w:hAnsi="Times New Roman" w:cs="Times New Roman"/>
        </w:rPr>
        <w:t xml:space="preserve">Z 13.00 — Всички депозити (с изключение на вътрешногруповите) </w:t>
      </w:r>
      <w:r>
        <w:rPr>
          <w:rFonts w:ascii="Times New Roman" w:eastAsia="Calibri" w:hAnsi="Times New Roman" w:cs="Times New Roman"/>
          <w:szCs w:val="20"/>
        </w:rPr>
        <w:t>(LIAB-G-3)</w:t>
      </w:r>
      <w:bookmarkEnd w:id="245"/>
    </w:p>
    <w:p w14:paraId="7FE1D057" w14:textId="77777777" w:rsidR="00FE5D64" w:rsidRDefault="00E40776">
      <w:pPr>
        <w:pStyle w:val="P68B1DB1-Numberedtitlelevel372"/>
      </w:pPr>
      <w:r>
        <w:t>Общи бележки</w:t>
      </w:r>
    </w:p>
    <w:p w14:paraId="7FE1D058" w14:textId="669C462E" w:rsidR="00FE5D64" w:rsidRDefault="00E40776">
      <w:pPr>
        <w:pStyle w:val="P68B1DB1-InstructionsText26"/>
        <w:numPr>
          <w:ilvl w:val="2"/>
          <w:numId w:val="209"/>
        </w:numPr>
        <w:spacing w:before="0"/>
        <w:ind w:left="1418"/>
        <w:rPr>
          <w:rFonts w:eastAsia="Cambria"/>
        </w:rPr>
      </w:pPr>
      <w:r>
        <w:lastRenderedPageBreak/>
        <w:t>Обхватът на настоящия отчет обхваща всички депозити, с изключение на вътрешногруповите сделки, независимо от естеството на депозита или срока. Депозитите следва да бъдат идентифицирани въз основа на определението, дадено в член 2, параграф 1 (3) от Директива 2014/49/ЕС.</w:t>
      </w:r>
    </w:p>
    <w:p w14:paraId="7FE1D05A" w14:textId="4B3AE2E6" w:rsidR="00FE5D64" w:rsidRDefault="00E40776">
      <w:pPr>
        <w:pStyle w:val="P68B1DB1-InstructionsText286"/>
        <w:numPr>
          <w:ilvl w:val="2"/>
          <w:numId w:val="209"/>
        </w:numPr>
        <w:spacing w:before="0"/>
        <w:ind w:left="1418"/>
      </w:pPr>
      <w:r>
        <w:t xml:space="preserve">За целите на настоящата таблица всички недържавни и непривилегировани депозити (съгласно определението в Z 02.00-R0320) с остатъчен срок до падежа под 1 година, всички гарантирани депозити и преференциални депозити за изкупуване на държавни дългови инструменти (съгласно определението в Z 02.00-R0310 и независимо от остатъчния им срок до падежа) се групират по категории задължения (колона 0020), вид контрагент (колона 0025) и ранг при несъстоятелност (колона 0030). Необслужваните влогове с остатъчен срок до </w:t>
      </w:r>
      <w:r>
        <w:t xml:space="preserve">падежа, по-голям или равен на 1 година, се отчитат като отделна позиция по отношение на всички поискани полета. </w:t>
      </w:r>
    </w:p>
    <w:p w14:paraId="7FE1D05B" w14:textId="4C000A39" w:rsidR="00FE5D64" w:rsidRDefault="00E40776">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Независимо от точка 67) всеки депозит от кредитна институция, независимо от вида на депозита, се отчита като отделна позиция</w:t>
      </w:r>
      <w:r>
        <w:rPr>
          <w:rFonts w:ascii="Times New Roman" w:hAnsi="Times New Roman" w:cs="Times New Roman"/>
        </w:rPr>
        <w:t xml:space="preserve"> по </w:t>
      </w:r>
      <w:r>
        <w:rPr>
          <w:rFonts w:ascii="Times New Roman" w:eastAsia="Cambria" w:hAnsi="Times New Roman" w:cs="Times New Roman"/>
          <w:sz w:val="20"/>
          <w:szCs w:val="20"/>
        </w:rPr>
        <w:t>отношение на всички искани полета. Например една сделка трябва да се отчита в няколко реда, ако се отнася до различен ранг при несъстоятелност.</w:t>
      </w:r>
    </w:p>
    <w:p w14:paraId="7FE1D05C" w14:textId="0E610125" w:rsidR="00FE5D64" w:rsidRDefault="00E40776">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Всички други влогове, които не са изрично посочени по-горе, трябва да се отчитат като отделна позиция</w:t>
      </w:r>
      <w:r>
        <w:rPr>
          <w:rFonts w:ascii="Times New Roman" w:hAnsi="Times New Roman" w:cs="Times New Roman"/>
        </w:rPr>
        <w:t xml:space="preserve"> </w:t>
      </w:r>
      <w:r>
        <w:rPr>
          <w:rFonts w:ascii="Times New Roman" w:eastAsia="Cambria" w:hAnsi="Times New Roman" w:cs="Times New Roman"/>
          <w:sz w:val="20"/>
          <w:szCs w:val="20"/>
        </w:rPr>
        <w:t>по отношение на всички поискани полета.</w:t>
      </w:r>
    </w:p>
    <w:p w14:paraId="7FE1D061" w14:textId="77777777" w:rsidR="00FE5D64" w:rsidRDefault="00E40776">
      <w:pPr>
        <w:pStyle w:val="P68B1DB1-InstructionsText287"/>
        <w:numPr>
          <w:ilvl w:val="0"/>
          <w:numId w:val="0"/>
        </w:numPr>
        <w:ind w:left="753"/>
      </w:pPr>
      <w:r>
        <w:t>Указания относно определени позиции</w:t>
      </w:r>
    </w:p>
    <w:tbl>
      <w:tblPr>
        <w:tblW w:w="0" w:type="auto"/>
        <w:tblLook w:val="01E0" w:firstRow="1" w:lastRow="1" w:firstColumn="1" w:lastColumn="1" w:noHBand="0" w:noVBand="0"/>
      </w:tblPr>
      <w:tblGrid>
        <w:gridCol w:w="1188"/>
        <w:gridCol w:w="7772"/>
        <w:gridCol w:w="66"/>
      </w:tblGrid>
      <w:tr w:rsidR="00FE5D64"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FE5D64" w:rsidRDefault="00E40776">
            <w:pPr>
              <w:pStyle w:val="P68B1DB1-TableParagraph17"/>
              <w:spacing w:before="108"/>
              <w:ind w:left="85"/>
            </w:pPr>
            <w:r>
              <w:t>Колони</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FE5D64" w:rsidRDefault="00E40776">
            <w:pPr>
              <w:pStyle w:val="P68B1DB1-TableParagraph17"/>
              <w:spacing w:before="108"/>
              <w:ind w:left="85" w:right="1"/>
            </w:pPr>
            <w:r>
              <w:t>Указания</w:t>
            </w:r>
          </w:p>
        </w:tc>
      </w:tr>
      <w:tr w:rsidR="00FE5D64"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FE5D64" w:rsidRDefault="00E40776">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FE5D64" w:rsidRDefault="00E40776">
            <w:pPr>
              <w:pStyle w:val="P68B1DB1-TableParagraph73"/>
              <w:spacing w:before="108"/>
              <w:ind w:left="85"/>
              <w:jc w:val="both"/>
              <w:rPr>
                <w:bCs/>
              </w:rPr>
            </w:pPr>
            <w:r>
              <w:t xml:space="preserve">NO </w:t>
            </w:r>
          </w:p>
          <w:p w14:paraId="7FE1D067" w14:textId="43449971" w:rsidR="00FE5D64" w:rsidRDefault="00E40776">
            <w:pPr>
              <w:pStyle w:val="P68B1DB1-TableParagraph40"/>
              <w:spacing w:before="108"/>
              <w:ind w:left="85"/>
              <w:jc w:val="both"/>
            </w:pPr>
            <w:r>
              <w:t>Уникален номер/първичен ключ за идентифициране на редовите позиции.</w:t>
            </w:r>
          </w:p>
        </w:tc>
      </w:tr>
      <w:tr w:rsidR="00FE5D64"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FE5D64" w:rsidRDefault="00E40776">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FE5D64" w:rsidRDefault="00E40776">
            <w:pPr>
              <w:pStyle w:val="P68B1DB1-TableParagraph73"/>
              <w:spacing w:before="108"/>
              <w:ind w:left="85"/>
              <w:jc w:val="both"/>
              <w:rPr>
                <w:bCs/>
              </w:rPr>
            </w:pPr>
            <w:r>
              <w:t xml:space="preserve">Ред </w:t>
            </w:r>
          </w:p>
          <w:p w14:paraId="7FE1D06B" w14:textId="7887C3E1" w:rsidR="00FE5D64" w:rsidRDefault="00E40776">
            <w:pPr>
              <w:pStyle w:val="P68B1DB1-TableParagraph40"/>
              <w:spacing w:before="108"/>
              <w:ind w:left="85"/>
              <w:jc w:val="both"/>
            </w:pPr>
            <w:r>
              <w:t>За всеки отчетен ред трябва да се представи равнение с категорията на пасивите на структурата на пасивите в Z02.00 на равнището на падежа от предварително определен списък със стойности.</w:t>
            </w:r>
          </w:p>
        </w:tc>
      </w:tr>
      <w:tr w:rsidR="00FE5D64"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FE5D64" w:rsidRDefault="00E40776">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FE5D64" w:rsidRDefault="00E40776">
            <w:pPr>
              <w:pStyle w:val="P68B1DB1-TableParagraph73"/>
              <w:spacing w:before="108"/>
              <w:ind w:left="85"/>
              <w:jc w:val="both"/>
              <w:rPr>
                <w:bCs/>
              </w:rPr>
            </w:pPr>
            <w:r>
              <w:t xml:space="preserve">Колона </w:t>
            </w:r>
          </w:p>
          <w:p w14:paraId="7FE1D06F" w14:textId="34DE133F" w:rsidR="00FE5D64" w:rsidRDefault="00E40776">
            <w:pPr>
              <w:pStyle w:val="P68B1DB1-TableParagraph40"/>
              <w:spacing w:before="108"/>
              <w:ind w:left="85"/>
              <w:jc w:val="both"/>
            </w:pPr>
            <w:r>
              <w:t>За всеки докладван ред от предварително определен списък с стойности трябва да се предостави равнение с класа на контрагентите, към който е дължим депозитът, от клас 02.00.</w:t>
            </w:r>
          </w:p>
        </w:tc>
      </w:tr>
      <w:tr w:rsidR="00FE5D64"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FE5D64" w:rsidRDefault="00E40776">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FE5D64" w:rsidRDefault="00E40776">
            <w:pPr>
              <w:pStyle w:val="P68B1DB1-TableParagraph73"/>
              <w:spacing w:before="108"/>
              <w:ind w:left="85"/>
              <w:jc w:val="both"/>
              <w:rPr>
                <w:bCs/>
              </w:rPr>
            </w:pPr>
            <w:r>
              <w:t xml:space="preserve">Рангове при несъстоятелност  </w:t>
            </w:r>
          </w:p>
          <w:p w14:paraId="7FE1D073" w14:textId="3CA3DC07" w:rsidR="00FE5D64" w:rsidRDefault="00E40776">
            <w:pPr>
              <w:pStyle w:val="P68B1DB1-TableParagraph40"/>
              <w:spacing w:before="108"/>
              <w:ind w:left="85"/>
              <w:jc w:val="both"/>
            </w:pPr>
            <w:r>
              <w:t>Рангът при несъстоятелност е един от включените в публикуваната от органа за преструктуриране на тази юрисдикция йерархия при несъстоятелност.</w:t>
            </w:r>
          </w:p>
        </w:tc>
      </w:tr>
      <w:tr w:rsidR="00FE5D64"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FE5D64" w:rsidRDefault="00E40776">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FE5D64" w:rsidRDefault="00E40776">
            <w:pPr>
              <w:pStyle w:val="P68B1DB1-TableParagraph73"/>
              <w:spacing w:before="108"/>
              <w:ind w:left="85"/>
              <w:jc w:val="both"/>
              <w:rPr>
                <w:bCs/>
              </w:rPr>
            </w:pPr>
            <w:r>
              <w:t xml:space="preserve">Идентификатор на договора </w:t>
            </w:r>
          </w:p>
          <w:p w14:paraId="7FE1D077" w14:textId="77777777" w:rsidR="00FE5D64" w:rsidRDefault="00E40776">
            <w:pPr>
              <w:pStyle w:val="P68B1DB1-TableParagraph40"/>
              <w:spacing w:before="108"/>
              <w:ind w:left="85"/>
              <w:jc w:val="both"/>
            </w:pPr>
            <w:r>
              <w:t>Вътрешен идентификатор на договора.</w:t>
            </w:r>
          </w:p>
        </w:tc>
      </w:tr>
      <w:tr w:rsidR="00FE5D64"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FE5D64" w:rsidRDefault="00E40776">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FE5D64" w:rsidRDefault="00E40776">
            <w:pPr>
              <w:pStyle w:val="P68B1DB1-TableParagraph73"/>
              <w:spacing w:before="108"/>
              <w:ind w:left="85"/>
              <w:jc w:val="both"/>
              <w:rPr>
                <w:bCs/>
              </w:rPr>
            </w:pPr>
            <w:r>
              <w:t xml:space="preserve">Идентификатор на контрагента  </w:t>
            </w:r>
          </w:p>
          <w:p w14:paraId="7FE1D07B" w14:textId="67D0F26D" w:rsidR="00FE5D64" w:rsidRDefault="00E40776">
            <w:pPr>
              <w:pStyle w:val="P68B1DB1-TableParagraph40"/>
              <w:spacing w:before="108"/>
              <w:ind w:left="85"/>
              <w:jc w:val="both"/>
            </w:pPr>
            <w:r>
              <w:t xml:space="preserve">Посочва се ИКПС на вложителя. При липса на ИКПС, в случай на банков отчет, използваният в RIAD идентификатор на ЕЦБ на парични финансови институции (ПФИ). Само при липса на двата идентификатора се отчита вътрешен идентификатор (очаква се само един уникален идентификатор за всеки контрагент). </w:t>
            </w:r>
          </w:p>
        </w:tc>
      </w:tr>
      <w:tr w:rsidR="00FE5D64" w14:paraId="7FE1D07F" w14:textId="77777777">
        <w:tc>
          <w:tcPr>
            <w:tcW w:w="1188" w:type="dxa"/>
            <w:vMerge/>
            <w:tcBorders>
              <w:bottom w:val="single" w:sz="4" w:space="0" w:color="auto"/>
              <w:right w:val="single" w:sz="8" w:space="0" w:color="1A171C"/>
            </w:tcBorders>
            <w:vAlign w:val="center"/>
          </w:tcPr>
          <w:p w14:paraId="7FE1D07D" w14:textId="77777777" w:rsidR="00FE5D64" w:rsidRDefault="00FE5D64">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FE5D64" w:rsidRDefault="00E40776">
            <w:pPr>
              <w:pStyle w:val="P68B1DB1-TableParagraph40"/>
              <w:spacing w:before="108"/>
              <w:ind w:left="85"/>
              <w:jc w:val="both"/>
            </w:pPr>
            <w:r>
              <w:t>За депозитите, отчетени на съвкупно равнище, се посочва „0000“, тъй като това поле е задължително.</w:t>
            </w:r>
          </w:p>
        </w:tc>
      </w:tr>
      <w:tr w:rsidR="00FE5D64"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FE5D64" w:rsidRDefault="00E40776">
            <w:pPr>
              <w:pStyle w:val="P68B1DB1-Normal31"/>
            </w:pPr>
            <w:r>
              <w:t>0045</w:t>
            </w:r>
          </w:p>
        </w:tc>
        <w:tc>
          <w:tcPr>
            <w:tcW w:w="7838" w:type="dxa"/>
            <w:gridSpan w:val="2"/>
            <w:tcBorders>
              <w:top w:val="single" w:sz="4" w:space="0" w:color="auto"/>
              <w:left w:val="single" w:sz="4" w:space="0" w:color="auto"/>
            </w:tcBorders>
          </w:tcPr>
          <w:p w14:paraId="7FE1D081" w14:textId="05C93935" w:rsidR="00FE5D64" w:rsidRDefault="00E40776">
            <w:pPr>
              <w:pStyle w:val="P68B1DB1-TableParagraph73"/>
              <w:spacing w:before="108"/>
              <w:ind w:left="85"/>
              <w:jc w:val="both"/>
              <w:rPr>
                <w:bCs/>
              </w:rPr>
            </w:pPr>
            <w:r>
              <w:t xml:space="preserve">Вид идентификатор </w:t>
            </w:r>
          </w:p>
          <w:p w14:paraId="7FE1D082" w14:textId="77777777" w:rsidR="00FE5D64" w:rsidRDefault="00E40776">
            <w:pPr>
              <w:pStyle w:val="P68B1DB1-TableParagraph40"/>
              <w:spacing w:before="108"/>
              <w:ind w:left="85"/>
              <w:jc w:val="both"/>
            </w:pPr>
            <w:r>
              <w:t>Избира се измежду следните варианти: „ИКПС „, „Код на ПФИ„или „Вид идентификатор, различен от ИКПС или код на ПФИ“.</w:t>
            </w:r>
          </w:p>
        </w:tc>
      </w:tr>
      <w:tr w:rsidR="00FE5D64"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FE5D64" w:rsidRDefault="00FE5D64">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FE5D64" w:rsidRDefault="00E40776">
            <w:pPr>
              <w:pStyle w:val="P68B1DB1-TableParagraph40"/>
              <w:spacing w:before="108"/>
              <w:ind w:left="85"/>
              <w:jc w:val="both"/>
            </w:pPr>
            <w:r>
              <w:t>За депозитите, отчетени на съвкупно равнище, се посочва „Вид идентификационен код, различен от ИКПС или код на ПФИ“.</w:t>
            </w:r>
          </w:p>
        </w:tc>
      </w:tr>
      <w:tr w:rsidR="00FE5D64"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FE5D64" w:rsidRDefault="00E40776">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FE5D64" w:rsidRDefault="00E40776">
            <w:pPr>
              <w:pStyle w:val="P68B1DB1-TableParagraph73"/>
              <w:spacing w:before="108"/>
              <w:ind w:left="85"/>
              <w:jc w:val="both"/>
              <w:rPr>
                <w:bCs/>
              </w:rPr>
            </w:pPr>
            <w:r>
              <w:t xml:space="preserve">Приложимо право  </w:t>
            </w:r>
          </w:p>
          <w:p w14:paraId="7FE1D089" w14:textId="1A451092" w:rsidR="00FE5D64" w:rsidRDefault="00E40776">
            <w:pPr>
              <w:pStyle w:val="P68B1DB1-TableParagraph40"/>
              <w:spacing w:before="108"/>
              <w:ind w:left="85"/>
              <w:jc w:val="both"/>
            </w:pPr>
            <w:r>
              <w:t>Кодът ISO 3166—1 alpha-2 на държавата, чието право урежда инструмента (използвайте кода ISO 3166—2, когато е приложимо правото на административно подразделение, напр. „US-NY“). Ако договорът се урежда от правото на повече от една държава, се докладва държавата, чието право има най-голямо значение за признаването на правомощията за обезценяване и преобразуване.  За депозити, отчетени на съвкупно равнище, се използва стойността „Други държави“.</w:t>
            </w:r>
          </w:p>
        </w:tc>
      </w:tr>
      <w:tr w:rsidR="00FE5D64"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FE5D64" w:rsidRDefault="00E40776">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FE5D64" w:rsidRDefault="00E40776">
            <w:pPr>
              <w:pStyle w:val="P68B1DB1-TableParagraph73"/>
              <w:spacing w:before="108"/>
              <w:ind w:left="85"/>
              <w:jc w:val="both"/>
              <w:rPr>
                <w:bCs/>
              </w:rPr>
            </w:pPr>
            <w:r>
              <w:t xml:space="preserve">Валута  </w:t>
            </w:r>
          </w:p>
          <w:p w14:paraId="7FE1D08D" w14:textId="3FCE0053" w:rsidR="00FE5D64" w:rsidRDefault="00E40776">
            <w:pPr>
              <w:pStyle w:val="P68B1DB1-TableParagraph40"/>
              <w:spacing w:before="108"/>
              <w:ind w:left="85"/>
              <w:jc w:val="both"/>
            </w:pPr>
            <w:r>
              <w:t>Валутата на депозита в съответствие с неговия 3-буквен код по ISO 4217. За депозити, отчетени на съвкупно равнище, се използва стойността „XXX“.</w:t>
            </w:r>
          </w:p>
        </w:tc>
      </w:tr>
      <w:tr w:rsidR="00FE5D64"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FE5D64" w:rsidRDefault="00E40776">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FE5D64" w:rsidRDefault="00E40776">
            <w:pPr>
              <w:pStyle w:val="P68B1DB1-TableParagraph73"/>
              <w:spacing w:before="108"/>
              <w:ind w:left="85"/>
              <w:jc w:val="both"/>
              <w:rPr>
                <w:bCs/>
              </w:rPr>
            </w:pPr>
            <w:r>
              <w:t xml:space="preserve">Неизплатена главница  </w:t>
            </w:r>
          </w:p>
          <w:p w14:paraId="7FE1D091" w14:textId="6232EFBD" w:rsidR="00FE5D64" w:rsidRDefault="00E40776">
            <w:pPr>
              <w:pStyle w:val="P68B1DB1-TableParagraph40"/>
              <w:spacing w:before="108"/>
              <w:ind w:left="85"/>
              <w:jc w:val="both"/>
            </w:pPr>
            <w:r>
              <w:t>Неизплатената главница на депозита.</w:t>
            </w:r>
          </w:p>
        </w:tc>
      </w:tr>
      <w:tr w:rsidR="00FE5D64"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FE5D64" w:rsidRDefault="00E40776">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FE5D64" w:rsidRDefault="00E40776">
            <w:pPr>
              <w:pStyle w:val="P68B1DB1-TableParagraph73"/>
              <w:spacing w:before="108"/>
              <w:ind w:left="85"/>
              <w:jc w:val="both"/>
              <w:rPr>
                <w:bCs/>
              </w:rPr>
            </w:pPr>
            <w:r>
              <w:t xml:space="preserve">Натрупана лихва </w:t>
            </w:r>
          </w:p>
          <w:p w14:paraId="7FE1D095" w14:textId="1CBCCFC7" w:rsidR="00FE5D64" w:rsidRDefault="00E40776">
            <w:pPr>
              <w:pStyle w:val="P68B1DB1-TableParagraph40"/>
              <w:spacing w:before="108"/>
              <w:ind w:left="85"/>
              <w:jc w:val="both"/>
            </w:pPr>
            <w:r>
              <w:t>Непогасената начислена лихва по депозита.</w:t>
            </w:r>
          </w:p>
        </w:tc>
      </w:tr>
      <w:tr w:rsidR="00FE5D64"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FE5D64" w:rsidRDefault="00E40776">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FE5D64" w:rsidRDefault="00E40776">
            <w:pPr>
              <w:pStyle w:val="P68B1DB1-TableParagraph73"/>
              <w:spacing w:before="108"/>
              <w:ind w:left="85"/>
              <w:jc w:val="both"/>
              <w:rPr>
                <w:bCs/>
              </w:rPr>
            </w:pPr>
            <w:r>
              <w:t xml:space="preserve">Текущ лихвен процент (%). </w:t>
            </w:r>
          </w:p>
          <w:p w14:paraId="7FE1D099" w14:textId="0E3CB279" w:rsidR="00FE5D64" w:rsidRDefault="00E40776">
            <w:pPr>
              <w:pStyle w:val="P68B1DB1-TableParagraph40"/>
              <w:spacing w:before="108"/>
              <w:ind w:left="85"/>
              <w:jc w:val="both"/>
            </w:pPr>
            <w:r>
              <w:t xml:space="preserve">Текущо равнище на лихвения процент, приложим за депозита. </w:t>
            </w:r>
          </w:p>
        </w:tc>
      </w:tr>
      <w:tr w:rsidR="00FE5D64"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FE5D64" w:rsidRDefault="00E40776">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FE5D64" w:rsidRDefault="00E40776">
            <w:pPr>
              <w:pStyle w:val="P68B1DB1-TableParagraph73"/>
              <w:spacing w:before="108"/>
              <w:ind w:left="85"/>
              <w:jc w:val="both"/>
              <w:rPr>
                <w:bCs/>
              </w:rPr>
            </w:pPr>
            <w:r>
              <w:t xml:space="preserve">Размер на залог, залог или обезпечение </w:t>
            </w:r>
          </w:p>
          <w:p w14:paraId="7FE1D0A2" w14:textId="5FFC3F02" w:rsidR="00FE5D64" w:rsidRDefault="00E40776">
            <w:pPr>
              <w:pStyle w:val="P68B1DB1-TableParagraph40"/>
              <w:spacing w:before="108"/>
              <w:ind w:left="85"/>
              <w:jc w:val="both"/>
            </w:pPr>
            <w:r>
              <w:t>Когато задължението е обезпечено със залог, залог или обезпечение, се предоставя брутната пазарна стойност на последното. В противен случай за необезпечените задължения тази категория се отчита като нула. Тази сума ще определи обезпечената и в крайна сметка необезпечената част от обезпечения депозит. За групите обезпечения, които обезпечават множество позиции, се определя общото съотношение на покритие и се прилага пропорционално за всички позиции в реда, обхванати от този пул.</w:t>
            </w:r>
          </w:p>
        </w:tc>
      </w:tr>
      <w:tr w:rsidR="00FE5D64"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FE5D64" w:rsidRDefault="00E40776">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FE5D64" w:rsidRDefault="00E40776">
            <w:pPr>
              <w:pStyle w:val="P68B1DB1-TableParagraph73"/>
              <w:spacing w:before="108"/>
              <w:ind w:left="85"/>
              <w:jc w:val="both"/>
              <w:rPr>
                <w:bCs/>
              </w:rPr>
            </w:pPr>
            <w:r>
              <w:t xml:space="preserve">Сума, отговаряща на условията за допустимост на МИПЗ </w:t>
            </w:r>
          </w:p>
          <w:p w14:paraId="7FE1D0A6" w14:textId="65380CFA" w:rsidR="00FE5D64" w:rsidRDefault="00E40776">
            <w:pPr>
              <w:pStyle w:val="P68B1DB1-TableParagraph40"/>
              <w:spacing w:before="108"/>
              <w:ind w:left="85"/>
              <w:jc w:val="both"/>
            </w:pPr>
            <w:r>
              <w:t>Размерът на собствените средства и приемливите задължения, отчитани като част от изискването, определено в съответствие с член 45, параграф 1 от Директива 2014/59/ЕС.</w:t>
            </w:r>
          </w:p>
        </w:tc>
      </w:tr>
      <w:tr w:rsidR="00FE5D64"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FE5D64" w:rsidRDefault="00E40776">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FE5D64" w:rsidRDefault="00E40776">
            <w:pPr>
              <w:pStyle w:val="P68B1DB1-TableParagraph73"/>
              <w:spacing w:before="108"/>
              <w:ind w:left="85"/>
              <w:jc w:val="both"/>
              <w:rPr>
                <w:bCs/>
              </w:rPr>
            </w:pPr>
            <w:r>
              <w:t xml:space="preserve">Дата на емитиране на срочни депозити </w:t>
            </w:r>
          </w:p>
          <w:p w14:paraId="7FE1D0AA" w14:textId="77777777" w:rsidR="00FE5D64" w:rsidRDefault="00E40776">
            <w:pPr>
              <w:pStyle w:val="P68B1DB1-TableParagraph40"/>
              <w:spacing w:before="108"/>
              <w:ind w:left="85"/>
              <w:jc w:val="both"/>
            </w:pPr>
            <w:r>
              <w:t>Дата на първоначалното емитиране на срочния депозит.</w:t>
            </w:r>
          </w:p>
        </w:tc>
      </w:tr>
      <w:tr w:rsidR="00FE5D64" w14:paraId="7FE1D0AF" w14:textId="77777777">
        <w:tc>
          <w:tcPr>
            <w:tcW w:w="1188" w:type="dxa"/>
            <w:vMerge w:val="restart"/>
            <w:tcBorders>
              <w:top w:val="single" w:sz="8" w:space="0" w:color="1A171C"/>
              <w:left w:val="nil"/>
              <w:right w:val="single" w:sz="8" w:space="0" w:color="1A171C"/>
            </w:tcBorders>
          </w:tcPr>
          <w:p w14:paraId="7FE1D0AC" w14:textId="77777777" w:rsidR="00FE5D64" w:rsidRDefault="00E40776">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FE5D64" w:rsidRDefault="00E40776">
            <w:pPr>
              <w:pStyle w:val="P68B1DB1-TableParagraph73"/>
              <w:spacing w:before="108"/>
              <w:ind w:left="85"/>
              <w:jc w:val="both"/>
              <w:rPr>
                <w:bCs/>
              </w:rPr>
            </w:pPr>
            <w:r>
              <w:t xml:space="preserve">Най-ранна дата на обратно изкупуване  </w:t>
            </w:r>
          </w:p>
          <w:p w14:paraId="7FE1D0AE" w14:textId="5DABFCEF" w:rsidR="00FE5D64" w:rsidRDefault="00E40776">
            <w:pPr>
              <w:pStyle w:val="P68B1DB1-TableParagraph40"/>
              <w:spacing w:before="108"/>
              <w:ind w:left="85"/>
              <w:jc w:val="both"/>
            </w:pPr>
            <w:r>
              <w:t>Ако съществува възможност държателите на кредитора да поискат предсрочно погасяване на задължението или условията за предсрочно погасяване са предвидени в договора, посочете най-ранната дата на настъпване, в противен случай датата на крайния законоустановен падеж на депозита. Ако предсрочното възстановяване се отнася само до част от задължението (напр. предсрочно погасяване на 50 % от номиналната стойност), задължението се разделя, за да се вземе предвид тази клауза за частично предсрочно погасяване.</w:t>
            </w:r>
          </w:p>
        </w:tc>
      </w:tr>
      <w:tr w:rsidR="00FE5D64" w14:paraId="7FE1D0B2" w14:textId="77777777">
        <w:tc>
          <w:tcPr>
            <w:tcW w:w="1188" w:type="dxa"/>
            <w:vMerge/>
            <w:tcBorders>
              <w:bottom w:val="single" w:sz="8" w:space="0" w:color="1A171C"/>
              <w:right w:val="single" w:sz="8" w:space="0" w:color="1A171C"/>
            </w:tcBorders>
            <w:vAlign w:val="center"/>
          </w:tcPr>
          <w:p w14:paraId="7FE1D0B0" w14:textId="77777777" w:rsidR="00FE5D64" w:rsidRDefault="00FE5D6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FE5D64" w:rsidRDefault="00E40776">
            <w:pPr>
              <w:pStyle w:val="P68B1DB1-TableParagraph40"/>
              <w:spacing w:before="108"/>
              <w:ind w:left="85"/>
              <w:jc w:val="both"/>
            </w:pPr>
            <w:r>
              <w:t xml:space="preserve">За депозитите, отчетени на съвкупно равнище, най-ранната дата на погасяване се отчита като „2199—12—31“. </w:t>
            </w:r>
          </w:p>
        </w:tc>
      </w:tr>
      <w:tr w:rsidR="00FE5D64" w14:paraId="7FE1D0B6" w14:textId="77777777">
        <w:tc>
          <w:tcPr>
            <w:tcW w:w="1188" w:type="dxa"/>
            <w:vMerge w:val="restart"/>
            <w:tcBorders>
              <w:top w:val="single" w:sz="8" w:space="0" w:color="1A171C"/>
              <w:left w:val="nil"/>
              <w:right w:val="single" w:sz="8" w:space="0" w:color="1A171C"/>
            </w:tcBorders>
          </w:tcPr>
          <w:p w14:paraId="7FE1D0B3" w14:textId="413885FF" w:rsidR="00FE5D64" w:rsidRDefault="00FE5D64">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FE5D64" w:rsidRDefault="00FE5D64">
            <w:pPr>
              <w:pStyle w:val="TableParagraph"/>
              <w:spacing w:before="108"/>
              <w:ind w:left="85"/>
              <w:jc w:val="both"/>
              <w:rPr>
                <w:rFonts w:ascii="Times New Roman" w:eastAsia="Times New Roman" w:hAnsi="Times New Roman" w:cs="Times New Roman"/>
                <w:sz w:val="20"/>
                <w:szCs w:val="20"/>
              </w:rPr>
            </w:pPr>
          </w:p>
        </w:tc>
      </w:tr>
      <w:tr w:rsidR="00FE5D64" w14:paraId="7FE1D0B9" w14:textId="77777777">
        <w:tc>
          <w:tcPr>
            <w:tcW w:w="1188" w:type="dxa"/>
            <w:vMerge/>
            <w:tcBorders>
              <w:bottom w:val="single" w:sz="8" w:space="0" w:color="1A171C"/>
              <w:right w:val="single" w:sz="8" w:space="0" w:color="1A171C"/>
            </w:tcBorders>
            <w:vAlign w:val="center"/>
          </w:tcPr>
          <w:p w14:paraId="7FE1D0B7" w14:textId="77777777" w:rsidR="00FE5D64" w:rsidRDefault="00FE5D6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FE5D64" w:rsidRDefault="00FE5D64">
            <w:pPr>
              <w:rPr>
                <w:rFonts w:ascii="Times New Roman" w:hAnsi="Times New Roman" w:cs="Times New Roman"/>
              </w:rPr>
            </w:pPr>
          </w:p>
        </w:tc>
      </w:tr>
    </w:tbl>
    <w:p w14:paraId="7FE1D0BA" w14:textId="77777777" w:rsidR="00FE5D64" w:rsidRDefault="00FE5D64">
      <w:pPr>
        <w:pStyle w:val="body"/>
        <w:rPr>
          <w:rFonts w:ascii="Times New Roman" w:hAnsi="Times New Roman" w:cs="Times New Roman"/>
          <w:color w:val="000000" w:themeColor="text1"/>
          <w:sz w:val="20"/>
          <w:szCs w:val="20"/>
        </w:rPr>
      </w:pPr>
    </w:p>
    <w:p w14:paraId="7FE1D0BB" w14:textId="77777777" w:rsidR="00FE5D64" w:rsidRDefault="00FE5D64">
      <w:pPr>
        <w:rPr>
          <w:rFonts w:ascii="Times New Roman" w:hAnsi="Times New Roman" w:cs="Times New Roman"/>
        </w:rPr>
      </w:pPr>
    </w:p>
    <w:p w14:paraId="7FE1D0BC" w14:textId="77777777" w:rsidR="00FE5D64" w:rsidRDefault="00FE5D64">
      <w:pPr>
        <w:pStyle w:val="Instructionsberschrift2"/>
        <w:ind w:left="357"/>
        <w:rPr>
          <w:rFonts w:ascii="Times New Roman" w:eastAsia="Calibri" w:hAnsi="Times New Roman" w:cs="Times New Roman"/>
          <w:szCs w:val="20"/>
        </w:rPr>
      </w:pPr>
    </w:p>
    <w:p w14:paraId="7FE1D0BD" w14:textId="2FE97D37" w:rsidR="00FE5D64" w:rsidRDefault="00E40776">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4487"/>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Други финансови пасиви (невключени в други раздели, с изключение на вътрешногруповите) </w:t>
      </w:r>
      <w:r>
        <w:rPr>
          <w:rFonts w:ascii="Times New Roman" w:eastAsia="Calibri" w:hAnsi="Times New Roman" w:cs="Times New Roman"/>
          <w:szCs w:val="20"/>
        </w:rPr>
        <w:t>(LIAB-G-4)</w:t>
      </w:r>
      <w:bookmarkEnd w:id="246"/>
    </w:p>
    <w:p w14:paraId="7FE1D0BE" w14:textId="56404057" w:rsidR="00FE5D64" w:rsidRDefault="00FE5D64">
      <w:pPr>
        <w:pStyle w:val="Instructionsberschrift2"/>
        <w:ind w:left="357"/>
        <w:rPr>
          <w:rFonts w:ascii="Times New Roman" w:eastAsiaTheme="minorEastAsia" w:hAnsi="Times New Roman" w:cs="Times New Roman"/>
          <w:color w:val="000000" w:themeColor="text1"/>
        </w:rPr>
      </w:pPr>
    </w:p>
    <w:p w14:paraId="7FE1D0BF" w14:textId="77777777" w:rsidR="00FE5D64" w:rsidRDefault="00E40776">
      <w:pPr>
        <w:pStyle w:val="P68B1DB1-Numberedtitlelevel372"/>
      </w:pPr>
      <w:r>
        <w:t>Общи бележки</w:t>
      </w:r>
    </w:p>
    <w:p w14:paraId="7FE1D0C0" w14:textId="28B97243" w:rsidR="00FE5D64" w:rsidRDefault="00E40776">
      <w:pPr>
        <w:pStyle w:val="P68B1DB1-InstructionsText286"/>
        <w:numPr>
          <w:ilvl w:val="2"/>
          <w:numId w:val="209"/>
        </w:numPr>
        <w:spacing w:before="0"/>
        <w:ind w:left="1276"/>
      </w:pPr>
      <w:r>
        <w:t>Тази таблица обхваща всички пасиви, които не са отчетени в никое от другите изисквания за подробна информация (т.е. Z11.00, Z12.00, Z13.00, Z15.00, Z16.00 и Z17.00), като заеми, оперативни задължения, задължения към клирингови къщи и др.</w:t>
      </w:r>
    </w:p>
    <w:p w14:paraId="7FE1D0C2" w14:textId="3CB02A11" w:rsidR="00FE5D64" w:rsidRDefault="00E40776">
      <w:pPr>
        <w:pStyle w:val="P68B1DB1-InstructionsText286"/>
        <w:numPr>
          <w:ilvl w:val="2"/>
          <w:numId w:val="209"/>
        </w:numPr>
        <w:spacing w:before="0"/>
        <w:ind w:left="1276"/>
      </w:pPr>
      <w:r>
        <w:t>Клетките, които не са приложими за даден пасив (напр. начислена лихва, текущ лихвен процент, дата на емитиране и т.н.), могат да бъдат оставени празни.</w:t>
      </w:r>
    </w:p>
    <w:p w14:paraId="7FE1D0C3" w14:textId="7C8B3D6D" w:rsidR="00FE5D64" w:rsidRDefault="00E40776">
      <w:pPr>
        <w:pStyle w:val="P68B1DB1-InstructionsText286"/>
        <w:numPr>
          <w:ilvl w:val="2"/>
          <w:numId w:val="209"/>
        </w:numPr>
        <w:spacing w:before="0"/>
        <w:ind w:left="1276"/>
      </w:pPr>
      <w:r>
        <w:t>За целите на настоящата таблица пасивите се докладват в редове с ниво на детайлност, определено в исканите полета (по принцип всяка сделка се отчита като отделна позиция). Задължения на наетите лица в групата по вид и ранг при несъстоятелност.</w:t>
      </w:r>
    </w:p>
    <w:p w14:paraId="7FE1D0C5" w14:textId="77777777" w:rsidR="00FE5D64" w:rsidRDefault="00E40776">
      <w:pPr>
        <w:pStyle w:val="P68B1DB1-InstructionsText287"/>
        <w:numPr>
          <w:ilvl w:val="0"/>
          <w:numId w:val="0"/>
        </w:numPr>
        <w:spacing w:before="0"/>
      </w:pPr>
      <w:r>
        <w:t>Указания относно определени позиции</w:t>
      </w:r>
    </w:p>
    <w:tbl>
      <w:tblPr>
        <w:tblW w:w="9015" w:type="dxa"/>
        <w:tblInd w:w="135" w:type="dxa"/>
        <w:tblLayout w:type="fixed"/>
        <w:tblLook w:val="04A0" w:firstRow="1" w:lastRow="0" w:firstColumn="1" w:lastColumn="0" w:noHBand="0" w:noVBand="1"/>
      </w:tblPr>
      <w:tblGrid>
        <w:gridCol w:w="1183"/>
        <w:gridCol w:w="7832"/>
      </w:tblGrid>
      <w:tr w:rsidR="00FE5D64"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FE5D64" w:rsidRDefault="00E40776">
            <w:pPr>
              <w:pStyle w:val="P68B1DB1-TableParagraph17"/>
              <w:spacing w:before="108"/>
              <w:ind w:left="85"/>
            </w:pPr>
            <w:r>
              <w:t xml:space="preserve">Колони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FE5D64" w:rsidRDefault="00E40776">
            <w:pPr>
              <w:pStyle w:val="P68B1DB1-TableParagraph17"/>
              <w:spacing w:before="108"/>
              <w:ind w:left="85"/>
            </w:pPr>
            <w:r>
              <w:t xml:space="preserve">Указания </w:t>
            </w:r>
          </w:p>
        </w:tc>
      </w:tr>
      <w:tr w:rsidR="00FE5D64"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FE5D64" w:rsidRDefault="00E40776">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FE5D64" w:rsidRDefault="00E40776">
            <w:pPr>
              <w:pStyle w:val="P68B1DB1-TableParagraph73"/>
              <w:spacing w:before="108"/>
              <w:ind w:left="85"/>
              <w:jc w:val="both"/>
              <w:rPr>
                <w:bCs/>
              </w:rPr>
            </w:pPr>
            <w:r>
              <w:t xml:space="preserve">NO </w:t>
            </w:r>
          </w:p>
          <w:p w14:paraId="7FE1D0CB" w14:textId="1F8D9197" w:rsidR="00FE5D64" w:rsidRDefault="00E40776">
            <w:pPr>
              <w:pStyle w:val="P68B1DB1-TableParagraph40"/>
              <w:spacing w:before="108"/>
              <w:ind w:left="85"/>
              <w:jc w:val="both"/>
            </w:pPr>
            <w:r>
              <w:t>Уникален номер/първичен ключ за идентифициране на редовите позиции.</w:t>
            </w:r>
          </w:p>
        </w:tc>
      </w:tr>
      <w:tr w:rsidR="00FE5D64"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FE5D64" w:rsidRDefault="00E40776">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FE5D64" w:rsidRDefault="00E40776">
            <w:pPr>
              <w:pStyle w:val="P68B1DB1-TableParagraph73"/>
              <w:spacing w:before="108"/>
              <w:ind w:left="85"/>
              <w:jc w:val="both"/>
              <w:rPr>
                <w:bCs/>
              </w:rPr>
            </w:pPr>
            <w:r>
              <w:t xml:space="preserve">Ред </w:t>
            </w:r>
          </w:p>
          <w:p w14:paraId="7FE1D0CF" w14:textId="3C03C281" w:rsidR="00FE5D64" w:rsidRDefault="00E40776">
            <w:pPr>
              <w:pStyle w:val="P68B1DB1-TableParagraph40"/>
              <w:spacing w:before="108"/>
              <w:ind w:left="85"/>
              <w:jc w:val="both"/>
            </w:pPr>
            <w:r>
              <w:t>За всеки отчетен ред трябва да се представи равнение с категориите пасиви на структурата на пасивите в Z02.00 на нивото на падежа от предварително определен списък със стойности.</w:t>
            </w:r>
          </w:p>
        </w:tc>
      </w:tr>
      <w:tr w:rsidR="00FE5D64"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FE5D64" w:rsidRDefault="00E40776">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FE5D64" w:rsidRDefault="00E40776">
            <w:pPr>
              <w:pStyle w:val="P68B1DB1-TableParagraph73"/>
              <w:spacing w:before="108"/>
              <w:ind w:left="85"/>
              <w:jc w:val="both"/>
              <w:rPr>
                <w:bCs/>
              </w:rPr>
            </w:pPr>
            <w:r>
              <w:t xml:space="preserve">Колона </w:t>
            </w:r>
          </w:p>
          <w:p w14:paraId="7FE1D0D3" w14:textId="0F37C958" w:rsidR="00FE5D64" w:rsidRDefault="00E40776">
            <w:pPr>
              <w:pStyle w:val="P68B1DB1-TableParagraph40"/>
              <w:spacing w:before="108"/>
              <w:ind w:left="85"/>
              <w:jc w:val="both"/>
            </w:pPr>
            <w:r>
              <w:t>За всеки отчетен ред трябва да се предостави равнение с класа на контрагента в Z02.00, към който се дължи задължението, от предварително определен списък със стойности.</w:t>
            </w:r>
          </w:p>
        </w:tc>
      </w:tr>
      <w:tr w:rsidR="00FE5D64"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FE5D64" w:rsidRDefault="00E40776">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FE5D64" w:rsidRDefault="00E40776">
            <w:pPr>
              <w:pStyle w:val="P68B1DB1-TableParagraph73"/>
              <w:spacing w:before="108"/>
              <w:ind w:left="85"/>
              <w:jc w:val="both"/>
              <w:rPr>
                <w:bCs/>
              </w:rPr>
            </w:pPr>
            <w:r>
              <w:t xml:space="preserve">Рангове при несъстоятелност  </w:t>
            </w:r>
          </w:p>
          <w:p w14:paraId="7FE1D0D7" w14:textId="3C00E6EA" w:rsidR="00FE5D64" w:rsidRDefault="00E40776">
            <w:pPr>
              <w:pStyle w:val="P68B1DB1-TableParagraph40"/>
              <w:spacing w:before="108"/>
              <w:ind w:left="85"/>
              <w:jc w:val="both"/>
            </w:pPr>
            <w:r>
              <w:t>Рангът при несъстоятелност е един от включените в публикуваната от органа за преструктуриране на тази юрисдикция йерархия при несъстоятелност.</w:t>
            </w:r>
          </w:p>
        </w:tc>
      </w:tr>
      <w:tr w:rsidR="00FE5D64"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FE5D64" w:rsidRDefault="00E40776">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FE5D64" w:rsidRDefault="00E40776">
            <w:pPr>
              <w:pStyle w:val="P68B1DB1-TableParagraph73"/>
              <w:spacing w:before="108"/>
              <w:ind w:left="85"/>
              <w:jc w:val="both"/>
              <w:rPr>
                <w:bCs/>
              </w:rPr>
            </w:pPr>
            <w:r>
              <w:t xml:space="preserve">Идентификатор на договора </w:t>
            </w:r>
          </w:p>
          <w:p w14:paraId="7FE1D0DB" w14:textId="09A77FF8" w:rsidR="00FE5D64" w:rsidRDefault="00E40776">
            <w:pPr>
              <w:pStyle w:val="P68B1DB1-TableParagraph40"/>
              <w:spacing w:before="108"/>
              <w:ind w:left="85"/>
              <w:jc w:val="both"/>
            </w:pPr>
            <w:r>
              <w:t>Посочва се ISIN или, в случай че ISIN не е наличен, се докладва друг идентификатор на договора на инструмента.</w:t>
            </w:r>
          </w:p>
        </w:tc>
      </w:tr>
      <w:tr w:rsidR="00FE5D64"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FE5D64" w:rsidRDefault="00E40776">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FE5D64" w:rsidRDefault="00E40776">
            <w:pPr>
              <w:pStyle w:val="P68B1DB1-TableParagraph73"/>
              <w:spacing w:before="108"/>
              <w:ind w:left="85"/>
              <w:jc w:val="both"/>
              <w:rPr>
                <w:bCs/>
              </w:rPr>
            </w:pPr>
            <w:r>
              <w:t xml:space="preserve">Наименование на контрагента </w:t>
            </w:r>
          </w:p>
          <w:p w14:paraId="7FE1D0DF" w14:textId="5D08E31A" w:rsidR="00FE5D64" w:rsidRDefault="00E40776">
            <w:pPr>
              <w:pStyle w:val="P68B1DB1-TableParagraph40"/>
              <w:spacing w:before="108"/>
              <w:ind w:left="85"/>
              <w:jc w:val="both"/>
            </w:pPr>
            <w:r>
              <w:t>Наименованието на субекта на контрагента по пасива.</w:t>
            </w:r>
          </w:p>
        </w:tc>
      </w:tr>
      <w:tr w:rsidR="00FE5D64"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FE5D64" w:rsidRDefault="00E40776">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FE5D64" w:rsidRDefault="00E40776">
            <w:pPr>
              <w:pStyle w:val="P68B1DB1-TableParagraph73"/>
              <w:spacing w:before="108"/>
              <w:ind w:left="85"/>
              <w:jc w:val="both"/>
            </w:pPr>
            <w:r>
              <w:t>Идентификатор на контрагента</w:t>
            </w:r>
          </w:p>
          <w:p w14:paraId="7FE1D0E3" w14:textId="4E34C2DB" w:rsidR="00FE5D64" w:rsidRDefault="00E40776">
            <w:pPr>
              <w:pStyle w:val="P68B1DB1-TableParagraph40"/>
              <w:spacing w:before="108"/>
              <w:ind w:left="85"/>
              <w:jc w:val="both"/>
            </w:pPr>
            <w:r>
              <w:t>Посочва се ИКПС на кредитора. При липса на ИКПС, в случай на банков отчет, използваният в RIAD идентификатор на ЕЦБ на парични финансови институции (ПФИ). Само при липса на двата идентификатора се докладва вътрешен идентификатор.</w:t>
            </w:r>
          </w:p>
          <w:p w14:paraId="7FE1D0E4" w14:textId="1D573481" w:rsidR="00FE5D64" w:rsidRDefault="00FE5D64">
            <w:pPr>
              <w:pStyle w:val="TableParagraph"/>
              <w:spacing w:before="108"/>
              <w:ind w:left="85"/>
              <w:jc w:val="both"/>
              <w:rPr>
                <w:rFonts w:ascii="Times New Roman" w:eastAsia="Times New Roman" w:hAnsi="Times New Roman" w:cs="Times New Roman"/>
                <w:sz w:val="20"/>
                <w:szCs w:val="20"/>
              </w:rPr>
            </w:pPr>
          </w:p>
        </w:tc>
      </w:tr>
      <w:tr w:rsidR="00FE5D64"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FE5D64" w:rsidRDefault="00E40776">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FE5D64" w:rsidRDefault="00E40776">
            <w:pPr>
              <w:pStyle w:val="P68B1DB1-TableParagraph73"/>
              <w:spacing w:before="108"/>
              <w:ind w:left="85"/>
              <w:jc w:val="both"/>
              <w:rPr>
                <w:bCs/>
              </w:rPr>
            </w:pPr>
            <w:r>
              <w:t xml:space="preserve">Вид идентификатор </w:t>
            </w:r>
          </w:p>
          <w:p w14:paraId="7FE1D0E8" w14:textId="77777777" w:rsidR="00FE5D64" w:rsidRDefault="00E40776">
            <w:pPr>
              <w:pStyle w:val="P68B1DB1-TableParagraph40"/>
              <w:spacing w:before="108"/>
              <w:ind w:left="85"/>
              <w:jc w:val="both"/>
            </w:pPr>
            <w:r>
              <w:t>Избира се измежду следните варианти: „ИКПС „, „Код на ПФИ„или „Вид идентификатор, различен от ИКПС или код на ПФИ“.</w:t>
            </w:r>
          </w:p>
        </w:tc>
      </w:tr>
      <w:tr w:rsidR="00FE5D64"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FE5D64" w:rsidRDefault="00E40776">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FE5D64" w:rsidRDefault="00E40776">
            <w:pPr>
              <w:pStyle w:val="P68B1DB1-TableParagraph73"/>
              <w:spacing w:before="108"/>
              <w:ind w:left="85"/>
              <w:jc w:val="both"/>
              <w:rPr>
                <w:bCs/>
              </w:rPr>
            </w:pPr>
            <w:r>
              <w:t xml:space="preserve">Приложимо право  </w:t>
            </w:r>
          </w:p>
          <w:p w14:paraId="7FE1D0EC" w14:textId="237CB9E1" w:rsidR="00FE5D64" w:rsidRDefault="00E40776">
            <w:pPr>
              <w:pStyle w:val="P68B1DB1-TableParagraph40"/>
              <w:spacing w:before="108"/>
              <w:ind w:left="85"/>
              <w:jc w:val="both"/>
            </w:pPr>
            <w:r>
              <w:lastRenderedPageBreak/>
              <w:t xml:space="preserve">Кодът ISO 3166—1 alpha-2 на държавата, чието право урежда инструмента (използвайте кода ISO 3166—2, когато е приложимо правото на административно подразделение, напр. „US-NY“). Ако договорът се урежда от правото на повече от една държава, се докладва държавата, чието право има най-голямо значение за признаването на правомощията за обезценяване и преобразуване.  </w:t>
            </w:r>
          </w:p>
        </w:tc>
      </w:tr>
      <w:tr w:rsidR="00FE5D64"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FE5D64" w:rsidRDefault="00E40776">
            <w:pPr>
              <w:pStyle w:val="P68B1DB1-Normal31"/>
            </w:pPr>
            <w:r>
              <w:lastRenderedPageBreak/>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FE5D64" w:rsidRDefault="00E40776">
            <w:pPr>
              <w:pStyle w:val="P68B1DB1-TableParagraph73"/>
              <w:spacing w:before="108"/>
              <w:ind w:left="85"/>
              <w:jc w:val="both"/>
              <w:rPr>
                <w:bCs/>
              </w:rPr>
            </w:pPr>
            <w:r>
              <w:t xml:space="preserve">Вид на финансовите пасиви </w:t>
            </w:r>
          </w:p>
          <w:p w14:paraId="7FE1D0F0" w14:textId="3ACB2D3D" w:rsidR="00FE5D64" w:rsidRDefault="00E40776">
            <w:pPr>
              <w:pStyle w:val="P68B1DB1-TableParagraph40"/>
              <w:spacing w:before="108"/>
              <w:ind w:left="85"/>
              <w:jc w:val="both"/>
            </w:pPr>
            <w:r>
              <w:t>Избира се измежду следните опции: „Забележка на заемополучателя „, „Регистрирана облигация„, „менителница „, „Вноски на непряко партньорство“, „Други финансови пасиви“.</w:t>
            </w:r>
          </w:p>
        </w:tc>
      </w:tr>
      <w:tr w:rsidR="00FE5D64"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FE5D64" w:rsidRDefault="00E40776">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FE5D64" w:rsidRDefault="00E40776">
            <w:pPr>
              <w:pStyle w:val="P68B1DB1-TableParagraph73"/>
              <w:spacing w:before="108"/>
              <w:ind w:left="85"/>
              <w:jc w:val="both"/>
            </w:pPr>
            <w:r>
              <w:t xml:space="preserve">Ако става въпрос за законодателство на трета държава, договорно признаване </w:t>
            </w:r>
          </w:p>
          <w:p w14:paraId="7FE1D0F6" w14:textId="77777777" w:rsidR="00FE5D64" w:rsidRDefault="00E40776">
            <w:pPr>
              <w:pStyle w:val="P68B1DB1-TableParagraph40"/>
              <w:spacing w:before="108"/>
              <w:ind w:left="85"/>
              <w:jc w:val="both"/>
            </w:pPr>
            <w:r>
              <w:t xml:space="preserve">Определяне на договорни разпоредби за признаване на правомощията за споделяне на загуби в съответствие с член 55 от ДВПБ, или </w:t>
            </w:r>
          </w:p>
          <w:p w14:paraId="7FE1D0F7" w14:textId="77777777" w:rsidR="00FE5D64" w:rsidRDefault="00E40776">
            <w:pPr>
              <w:pStyle w:val="P68B1DB1-TableParagraph40"/>
              <w:spacing w:before="108"/>
              <w:ind w:left="85"/>
              <w:jc w:val="both"/>
            </w:pPr>
            <w:r>
              <w:t>Да, подкрепено от правно становище“ = задължението включва клауза за признаване на споделянето на загуби в съответствие с член 55 от ДВПБ, която е подкрепена от правно становище;</w:t>
            </w:r>
          </w:p>
          <w:p w14:paraId="7FE1D0F8" w14:textId="77777777" w:rsidR="00FE5D64" w:rsidRDefault="00E40776">
            <w:pPr>
              <w:pStyle w:val="P68B1DB1-TableParagraph40"/>
              <w:spacing w:before="108"/>
              <w:ind w:left="85"/>
              <w:jc w:val="both"/>
            </w:pPr>
            <w:r>
              <w:t>„Да, не е подкрепено от правно становище“ = задължението включва клауза за признаване на споделянето на загуби в съответствие с член 55 от ДВПБ, която понастоящем не е подкрепена от правно становище;</w:t>
            </w:r>
          </w:p>
          <w:p w14:paraId="7FE1D0F9" w14:textId="77777777" w:rsidR="00FE5D64" w:rsidRDefault="00E40776">
            <w:pPr>
              <w:pStyle w:val="P68B1DB1-TableParagraph40"/>
              <w:spacing w:before="108"/>
              <w:ind w:left="85"/>
              <w:jc w:val="both"/>
            </w:pPr>
            <w:r>
              <w:t>„Не“ = задължението не включва клауза за признаване на споделянето на загуби;</w:t>
            </w:r>
          </w:p>
          <w:p w14:paraId="7FE1D0FA" w14:textId="07E9B1A6" w:rsidR="00FE5D64" w:rsidRDefault="00E40776">
            <w:pPr>
              <w:pStyle w:val="P68B1DB1-TableParagraph40"/>
              <w:spacing w:before="108"/>
              <w:ind w:left="85"/>
              <w:jc w:val="both"/>
            </w:pPr>
            <w:r>
              <w:t xml:space="preserve">„Не се прилага“,   </w:t>
            </w:r>
          </w:p>
          <w:p w14:paraId="7FE1D0FB" w14:textId="77777777" w:rsidR="00FE5D64" w:rsidRDefault="00E40776">
            <w:pPr>
              <w:pStyle w:val="P68B1DB1-TableParagraph40"/>
              <w:spacing w:before="108"/>
              <w:ind w:left="85"/>
              <w:jc w:val="both"/>
            </w:pPr>
            <w:r>
              <w:t>от предварително определен списък.</w:t>
            </w:r>
          </w:p>
        </w:tc>
      </w:tr>
      <w:tr w:rsidR="00FE5D64"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FE5D64" w:rsidRDefault="00E40776">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FE5D64" w:rsidRDefault="00E40776">
            <w:pPr>
              <w:pStyle w:val="P68B1DB1-TableParagraph73"/>
              <w:spacing w:before="108"/>
              <w:ind w:left="85"/>
              <w:jc w:val="both"/>
              <w:rPr>
                <w:bCs/>
              </w:rPr>
            </w:pPr>
            <w:r>
              <w:t xml:space="preserve">Неизплатена главница  </w:t>
            </w:r>
          </w:p>
          <w:p w14:paraId="7FE1D0FF" w14:textId="66FDB1F5" w:rsidR="00FE5D64" w:rsidRDefault="00E40776">
            <w:pPr>
              <w:pStyle w:val="P68B1DB1-TableParagraph40"/>
              <w:spacing w:before="108"/>
              <w:ind w:left="85"/>
              <w:jc w:val="both"/>
            </w:pPr>
            <w:r>
              <w:t>Неизплатен размер на главницата по задължението.</w:t>
            </w:r>
          </w:p>
        </w:tc>
      </w:tr>
      <w:tr w:rsidR="00FE5D64"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FE5D64" w:rsidRDefault="00E40776">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FE5D64" w:rsidRDefault="00E40776">
            <w:pPr>
              <w:pStyle w:val="P68B1DB1-TableParagraph73"/>
              <w:spacing w:before="108"/>
              <w:ind w:left="85"/>
              <w:jc w:val="both"/>
              <w:rPr>
                <w:bCs/>
              </w:rPr>
            </w:pPr>
            <w:r>
              <w:t xml:space="preserve">Натрупана лихва </w:t>
            </w:r>
          </w:p>
          <w:p w14:paraId="7FE1D103" w14:textId="345D6EBF" w:rsidR="00FE5D64" w:rsidRDefault="00E40776">
            <w:pPr>
              <w:pStyle w:val="P68B1DB1-TableParagraph40"/>
              <w:spacing w:before="108"/>
              <w:ind w:left="85"/>
              <w:jc w:val="both"/>
            </w:pPr>
            <w:r>
              <w:t>Неизплатената начислена лихва по пасива.</w:t>
            </w:r>
          </w:p>
        </w:tc>
      </w:tr>
      <w:tr w:rsidR="00FE5D64"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FE5D64" w:rsidRDefault="00E40776">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FE5D64" w:rsidRDefault="00E40776">
            <w:pPr>
              <w:pStyle w:val="P68B1DB1-TableParagraph73"/>
              <w:spacing w:before="108"/>
              <w:ind w:left="85"/>
              <w:jc w:val="both"/>
              <w:rPr>
                <w:bCs/>
              </w:rPr>
            </w:pPr>
            <w:r>
              <w:t xml:space="preserve">Текущ лихвен процент (%). </w:t>
            </w:r>
          </w:p>
          <w:p w14:paraId="7FE1D107" w14:textId="574366AF" w:rsidR="00FE5D64" w:rsidRDefault="00E40776">
            <w:pPr>
              <w:pStyle w:val="P68B1DB1-TableParagraph40"/>
              <w:spacing w:before="108"/>
              <w:ind w:left="85"/>
              <w:jc w:val="both"/>
            </w:pPr>
            <w:r>
              <w:t xml:space="preserve">Текущо равнище на лихвения процент, приложим към задължението. </w:t>
            </w:r>
          </w:p>
        </w:tc>
      </w:tr>
      <w:tr w:rsidR="00FE5D64"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FE5D64" w:rsidRDefault="00E40776">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FE5D64" w:rsidRDefault="00E40776">
            <w:pPr>
              <w:pStyle w:val="P68B1DB1-TableParagraph73"/>
              <w:spacing w:before="108"/>
              <w:ind w:left="85"/>
              <w:jc w:val="both"/>
              <w:rPr>
                <w:bCs/>
              </w:rPr>
            </w:pPr>
            <w:r>
              <w:t xml:space="preserve">Валута  </w:t>
            </w:r>
          </w:p>
          <w:p w14:paraId="7FE1D10B" w14:textId="4FC71DBE" w:rsidR="00FE5D64" w:rsidRDefault="00E40776">
            <w:pPr>
              <w:pStyle w:val="P68B1DB1-TableParagraph40"/>
              <w:spacing w:before="108"/>
              <w:ind w:left="85"/>
              <w:jc w:val="both"/>
            </w:pPr>
            <w:r>
              <w:t>Валутата на задължението в съответствие с неговия 3-буквен код по ISO 4217.</w:t>
            </w:r>
          </w:p>
        </w:tc>
      </w:tr>
      <w:tr w:rsidR="00FE5D64"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FE5D64" w:rsidRDefault="00E40776">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FE5D64" w:rsidRDefault="00E40776">
            <w:pPr>
              <w:pStyle w:val="P68B1DB1-TableParagraph73"/>
              <w:spacing w:before="108"/>
              <w:ind w:left="85"/>
              <w:jc w:val="both"/>
              <w:rPr>
                <w:bCs/>
              </w:rPr>
            </w:pPr>
            <w:r>
              <w:t xml:space="preserve">Дата на издаване </w:t>
            </w:r>
          </w:p>
          <w:p w14:paraId="7FE1D10F" w14:textId="77777777" w:rsidR="00FE5D64" w:rsidRDefault="00E40776">
            <w:pPr>
              <w:pStyle w:val="P68B1DB1-TableParagraph40"/>
              <w:spacing w:before="108"/>
              <w:ind w:left="85"/>
              <w:jc w:val="both"/>
            </w:pPr>
            <w:r>
              <w:t>Дата на първоначалното издаване на задължението.</w:t>
            </w:r>
          </w:p>
        </w:tc>
      </w:tr>
      <w:tr w:rsidR="00FE5D64"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FE5D64" w:rsidRDefault="00E40776">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FE5D64" w:rsidRDefault="00E40776">
            <w:pPr>
              <w:pStyle w:val="P68B1DB1-TableParagraph73"/>
              <w:spacing w:before="108"/>
              <w:ind w:left="85"/>
              <w:jc w:val="both"/>
              <w:rPr>
                <w:bCs/>
              </w:rPr>
            </w:pPr>
            <w:r>
              <w:t xml:space="preserve">Най-ранна дата на обратно изкупуване  </w:t>
            </w:r>
          </w:p>
          <w:p w14:paraId="7FE1D113" w14:textId="6DCF0327" w:rsidR="00FE5D64" w:rsidRDefault="00E40776">
            <w:pPr>
              <w:pStyle w:val="P68B1DB1-TableParagraph40"/>
              <w:spacing w:before="108"/>
              <w:ind w:left="85"/>
              <w:jc w:val="both"/>
            </w:pPr>
            <w:r>
              <w:t>Ако съществува възможност кредиторът да поиска предсрочно погасяване или условията за предсрочно погасяване на задължението са предвидени в договора, посочете най-ранната дата на настъпване на събитието. Ако предсрочното възстановяване се отнася само до част от задължението (напр. предсрочно погасяване на 50 % от номиналната стойност), задължението се разделя, за да се вземе предвид тази клауза за частично предсрочно погасяване.</w:t>
            </w:r>
          </w:p>
        </w:tc>
      </w:tr>
      <w:tr w:rsidR="00FE5D64"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FE5D64" w:rsidRDefault="00E40776">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FE5D64" w:rsidRDefault="00E40776">
            <w:pPr>
              <w:pStyle w:val="P68B1DB1-TableParagraph73"/>
              <w:spacing w:before="108"/>
              <w:ind w:left="85"/>
              <w:jc w:val="both"/>
              <w:rPr>
                <w:bCs/>
              </w:rPr>
            </w:pPr>
            <w:r>
              <w:t xml:space="preserve"> Законоустановен падеж </w:t>
            </w:r>
          </w:p>
          <w:p w14:paraId="7FE1D117" w14:textId="39B8EDB9" w:rsidR="00FE5D64" w:rsidRDefault="00E40776">
            <w:pPr>
              <w:pStyle w:val="P68B1DB1-TableParagraph40"/>
              <w:spacing w:before="108"/>
              <w:ind w:left="85"/>
              <w:jc w:val="both"/>
            </w:pPr>
            <w:r>
              <w:t>Дата на законния, окончателен матуритет на инструмента. За безсрочните ценни книжа се вписва „2099—01—31“</w:t>
            </w:r>
          </w:p>
        </w:tc>
      </w:tr>
      <w:tr w:rsidR="00FE5D64"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FE5D64" w:rsidRDefault="00E40776">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FE5D64" w:rsidRDefault="00E40776">
            <w:pPr>
              <w:pStyle w:val="P68B1DB1-TableParagraph73"/>
              <w:spacing w:before="108"/>
              <w:ind w:left="85"/>
              <w:jc w:val="both"/>
              <w:rPr>
                <w:bCs/>
              </w:rPr>
            </w:pPr>
            <w:r>
              <w:t xml:space="preserve">Размер на залог, залог или обезпечение </w:t>
            </w:r>
          </w:p>
          <w:p w14:paraId="7FE1D120" w14:textId="7CF01C3B" w:rsidR="00FE5D64" w:rsidRDefault="00E40776">
            <w:pPr>
              <w:pStyle w:val="P68B1DB1-TableParagraph40"/>
              <w:spacing w:before="108"/>
              <w:ind w:left="85"/>
              <w:jc w:val="both"/>
            </w:pPr>
            <w:r>
              <w:t xml:space="preserve">Когато задължението е обезпечено със залог, залог или обезпечение, се предоставя брутната пазарна стойност на последното. В противен случай за необезпечените </w:t>
            </w:r>
            <w:r>
              <w:lastRenderedPageBreak/>
              <w:t>задължения тази категория се отчита като нула. Тази сума ще определи обезпечената и в крайна сметка необезпечената част от всяко обезпечено задължение. За групите обезпечения, които обезпечават множество позиции, се определя общото съотношение на покритие и се прилага пропорционално за всички позиции в реда, обхванати от този пул.</w:t>
            </w:r>
          </w:p>
        </w:tc>
      </w:tr>
      <w:tr w:rsidR="00FE5D64"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FE5D64" w:rsidRDefault="00E40776">
            <w:pPr>
              <w:pStyle w:val="P68B1DB1-Normal31"/>
            </w:pPr>
            <w:r>
              <w:lastRenderedPageBreak/>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FE5D64" w:rsidRDefault="00E40776">
            <w:pPr>
              <w:pStyle w:val="P68B1DB1-TableParagraph73"/>
              <w:spacing w:before="108"/>
              <w:ind w:left="85"/>
              <w:jc w:val="both"/>
              <w:rPr>
                <w:bCs/>
              </w:rPr>
            </w:pPr>
            <w:r>
              <w:t xml:space="preserve">Поръчител </w:t>
            </w:r>
          </w:p>
          <w:p w14:paraId="7FE1D124" w14:textId="216ADC15" w:rsidR="00FE5D64" w:rsidRDefault="00E40776">
            <w:pPr>
              <w:pStyle w:val="P68B1DB1-TableParagraph40"/>
              <w:spacing w:before="108"/>
              <w:ind w:left="85"/>
              <w:jc w:val="both"/>
            </w:pPr>
            <w:r>
              <w:t>Ако за инструмента са предвидени гаранции, посочете подробна идентификация на гаранта (ИКПС, ISO 3166—1 alpha-2 код на държавата за държавата и т.н.). Когато има множество гаранти, докладвайте всички идентификатори, разделени с точка и запетая.</w:t>
            </w:r>
          </w:p>
        </w:tc>
      </w:tr>
      <w:tr w:rsidR="00FE5D64"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FE5D64" w:rsidRDefault="00E40776">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FE5D64" w:rsidRDefault="00E40776">
            <w:pPr>
              <w:pStyle w:val="P68B1DB1-TableParagraph73"/>
              <w:spacing w:before="108"/>
              <w:ind w:left="85"/>
              <w:jc w:val="both"/>
              <w:rPr>
                <w:bCs/>
              </w:rPr>
            </w:pPr>
            <w:r>
              <w:t xml:space="preserve">Сума, отговаряща на условията за допустимост на МИПЗ </w:t>
            </w:r>
          </w:p>
          <w:p w14:paraId="7FE1D130" w14:textId="267C8F59" w:rsidR="00FE5D64" w:rsidRDefault="00E40776">
            <w:pPr>
              <w:pStyle w:val="P68B1DB1-TableParagraph40"/>
              <w:spacing w:before="108"/>
              <w:ind w:left="85"/>
              <w:jc w:val="both"/>
            </w:pPr>
            <w:r>
              <w:t>Размерът на собствените средства и приемливите задължения, отчитани като част от изискването, определено в съответствие с член 45, параграф 1 от Директива 2014/59/ЕС.</w:t>
            </w:r>
          </w:p>
        </w:tc>
      </w:tr>
      <w:tr w:rsidR="00FE5D64"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FE5D64" w:rsidRDefault="00E40776">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FE5D64" w:rsidRDefault="00E40776">
            <w:pPr>
              <w:pStyle w:val="P68B1DB1-TableParagraph73"/>
              <w:spacing w:before="108"/>
              <w:ind w:left="85"/>
              <w:jc w:val="both"/>
              <w:rPr>
                <w:bCs/>
              </w:rPr>
            </w:pPr>
            <w:r>
              <w:t xml:space="preserve">Квалифицирани като собствен капитал </w:t>
            </w:r>
          </w:p>
          <w:p w14:paraId="7FE1D134" w14:textId="3B38CBB9" w:rsidR="00FE5D64" w:rsidRDefault="00E40776">
            <w:pPr>
              <w:pStyle w:val="P68B1DB1-TableParagraph40"/>
              <w:spacing w:before="108"/>
              <w:ind w:left="85"/>
              <w:jc w:val="both"/>
            </w:pPr>
            <w:r>
              <w:t>Посочете дали и на какво равнище инструментът е включен в собствения капитал, заедно с информация относно режима за поетапно прекратяване и споразуменията за запазване на придобитите права. Стойността може да бъде „Не „, „Частично AT1, T1 и T2„, „T2 при поетапно извеждане от употреба „, „заварен T2“, „напълно съответстващ T2 „, „заварен AT1„, „напълно съответстващ AT1 „или „CET1“ от предварително определен списък.</w:t>
            </w:r>
          </w:p>
        </w:tc>
      </w:tr>
      <w:tr w:rsidR="00FE5D64"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FE5D64" w:rsidRDefault="00E40776">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FE5D64" w:rsidRDefault="00E40776">
            <w:pPr>
              <w:pStyle w:val="P68B1DB1-TableParagraph40"/>
              <w:spacing w:before="108"/>
              <w:ind w:left="85"/>
              <w:jc w:val="both"/>
              <w:rPr>
                <w:b/>
                <w:bCs/>
              </w:rPr>
            </w:pPr>
            <w:r>
              <w:t xml:space="preserve"> </w:t>
            </w:r>
            <w:r>
              <w:rPr>
                <w:b/>
              </w:rPr>
              <w:t>Сума, квалифицирана като собствен капитал</w:t>
            </w:r>
          </w:p>
          <w:p w14:paraId="7FE1D138" w14:textId="48ED7147" w:rsidR="00FE5D64" w:rsidRDefault="00E40776">
            <w:pPr>
              <w:pStyle w:val="P68B1DB1-TableParagraph40"/>
              <w:spacing w:before="108"/>
              <w:ind w:left="85"/>
              <w:jc w:val="both"/>
            </w:pPr>
            <w:r>
              <w:t>Размерът на инструмента, който отговаря на условията за собствен капитал.</w:t>
            </w:r>
          </w:p>
        </w:tc>
      </w:tr>
    </w:tbl>
    <w:p w14:paraId="7FE1D13A" w14:textId="77777777" w:rsidR="00FE5D64" w:rsidRDefault="00FE5D64">
      <w:pPr>
        <w:pStyle w:val="Instructionsberschrift2"/>
        <w:ind w:left="357"/>
        <w:rPr>
          <w:rFonts w:ascii="Times New Roman" w:eastAsia="Calibri" w:hAnsi="Times New Roman" w:cs="Times New Roman"/>
          <w:szCs w:val="20"/>
        </w:rPr>
      </w:pPr>
      <w:bookmarkStart w:id="247" w:name="_Toc81454216"/>
    </w:p>
    <w:p w14:paraId="7FE1D13B" w14:textId="0DCB9703" w:rsidR="00FE5D64" w:rsidRDefault="00E40776">
      <w:pPr>
        <w:pStyle w:val="Instructionsberschrift2"/>
        <w:numPr>
          <w:ilvl w:val="1"/>
          <w:numId w:val="49"/>
        </w:numPr>
        <w:spacing w:before="0"/>
        <w:ind w:left="357" w:hanging="357"/>
        <w:rPr>
          <w:rFonts w:ascii="Times New Roman" w:hAnsi="Times New Roman" w:cs="Times New Roman"/>
        </w:rPr>
      </w:pPr>
      <w:bookmarkStart w:id="248" w:name="_Toc208244488"/>
      <w:r>
        <w:rPr>
          <w:rFonts w:ascii="Times New Roman" w:eastAsiaTheme="minorEastAsia" w:hAnsi="Times New Roman" w:cs="Times New Roman"/>
        </w:rPr>
        <w:t xml:space="preserve">Z 15.00 — Деривати </w:t>
      </w:r>
      <w:r>
        <w:rPr>
          <w:rFonts w:ascii="Times New Roman" w:eastAsia="Calibri" w:hAnsi="Times New Roman" w:cs="Times New Roman"/>
          <w:szCs w:val="20"/>
        </w:rPr>
        <w:t>(LIAB-G-5)</w:t>
      </w:r>
      <w:bookmarkEnd w:id="248"/>
    </w:p>
    <w:bookmarkEnd w:id="247"/>
    <w:p w14:paraId="7FE1D13D" w14:textId="77777777" w:rsidR="00FE5D64" w:rsidRDefault="00E40776">
      <w:pPr>
        <w:pStyle w:val="P68B1DB1-Numberedtitlelevel388"/>
      </w:pPr>
      <w:r>
        <w:t>Общи бележки</w:t>
      </w:r>
    </w:p>
    <w:p w14:paraId="7FE1D13E" w14:textId="2F22A34C" w:rsidR="00FE5D64" w:rsidRDefault="00E40776">
      <w:pPr>
        <w:pStyle w:val="P68B1DB1-InstructionsText286"/>
        <w:numPr>
          <w:ilvl w:val="2"/>
          <w:numId w:val="209"/>
        </w:numPr>
        <w:spacing w:before="0"/>
        <w:ind w:left="1276"/>
        <w:rPr>
          <w:rFonts w:eastAsiaTheme="majorEastAsia"/>
        </w:rPr>
      </w:pPr>
      <w:r>
        <w:t xml:space="preserve">За целите на настоящата таблица задълженията, произтичащи от деривати, се докладват по нетираща съвкупност, т.е. всяка нетираща съвкупност, отчетена като отделна позиция в ред. </w:t>
      </w:r>
    </w:p>
    <w:p w14:paraId="7FE1D140" w14:textId="6B5870BD" w:rsidR="00FE5D64" w:rsidRDefault="00E40776">
      <w:pPr>
        <w:pStyle w:val="P68B1DB1-InstructionsText286"/>
        <w:numPr>
          <w:ilvl w:val="2"/>
          <w:numId w:val="209"/>
        </w:numPr>
        <w:spacing w:before="0"/>
        <w:ind w:left="1276"/>
      </w:pPr>
      <w:r>
        <w:t>Отчита се само нетиращите съвкупности/отделните договори за деривати, които водят до нетен пазарен пасив (колона в0120).</w:t>
      </w:r>
    </w:p>
    <w:p w14:paraId="7FE1D142" w14:textId="77777777" w:rsidR="00FE5D64" w:rsidRDefault="00E40776">
      <w:pPr>
        <w:pStyle w:val="P68B1DB1-Numberedtitlelevel388"/>
      </w:pPr>
      <w:r>
        <w:t>Указания относно определени позиции</w:t>
      </w:r>
    </w:p>
    <w:tbl>
      <w:tblPr>
        <w:tblW w:w="9015" w:type="dxa"/>
        <w:tblInd w:w="135" w:type="dxa"/>
        <w:tblLayout w:type="fixed"/>
        <w:tblLook w:val="04A0" w:firstRow="1" w:lastRow="0" w:firstColumn="1" w:lastColumn="0" w:noHBand="0" w:noVBand="1"/>
      </w:tblPr>
      <w:tblGrid>
        <w:gridCol w:w="1183"/>
        <w:gridCol w:w="7832"/>
      </w:tblGrid>
      <w:tr w:rsidR="00FE5D64"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FE5D64" w:rsidRDefault="00E40776">
            <w:pPr>
              <w:pStyle w:val="P68B1DB1-Normal31"/>
            </w:pPr>
            <w:r>
              <w:t xml:space="preserve">Колони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FE5D64" w:rsidRDefault="00E40776">
            <w:pPr>
              <w:pStyle w:val="P68B1DB1-Normal31"/>
            </w:pPr>
            <w:r>
              <w:t xml:space="preserve">Указания </w:t>
            </w:r>
          </w:p>
        </w:tc>
      </w:tr>
      <w:tr w:rsidR="00FE5D64"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FE5D64" w:rsidRDefault="00E40776">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FE5D64" w:rsidRDefault="00E40776">
            <w:pPr>
              <w:pStyle w:val="P68B1DB1-TableParagraph73"/>
              <w:spacing w:before="108"/>
              <w:ind w:left="85"/>
              <w:jc w:val="both"/>
              <w:rPr>
                <w:bCs/>
              </w:rPr>
            </w:pPr>
            <w:r>
              <w:t xml:space="preserve">NO </w:t>
            </w:r>
          </w:p>
          <w:p w14:paraId="7FE1D148" w14:textId="7090CAA7" w:rsidR="00FE5D64" w:rsidRDefault="00E40776">
            <w:pPr>
              <w:pStyle w:val="P68B1DB1-TableParagraph40"/>
              <w:spacing w:before="108"/>
              <w:ind w:left="85"/>
              <w:jc w:val="both"/>
            </w:pPr>
            <w:r>
              <w:t>Уникален номер/първичен ключ за идентифициране на редовите позиции.</w:t>
            </w:r>
          </w:p>
        </w:tc>
      </w:tr>
      <w:tr w:rsidR="00FE5D64"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FE5D64" w:rsidRDefault="00E40776">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FE5D64" w:rsidRDefault="00E40776">
            <w:pPr>
              <w:pStyle w:val="P68B1DB1-TableParagraph73"/>
              <w:spacing w:before="108"/>
              <w:ind w:left="85"/>
              <w:jc w:val="both"/>
              <w:rPr>
                <w:bCs/>
              </w:rPr>
            </w:pPr>
            <w:r>
              <w:t xml:space="preserve">Колона </w:t>
            </w:r>
          </w:p>
          <w:p w14:paraId="7FE1D14C" w14:textId="43946C69" w:rsidR="00FE5D64" w:rsidRDefault="00E40776">
            <w:pPr>
              <w:pStyle w:val="P68B1DB1-TableParagraph40"/>
              <w:spacing w:before="108"/>
              <w:ind w:left="85"/>
              <w:jc w:val="both"/>
            </w:pPr>
            <w:r>
              <w:t>За всяка нетираща съвкупност от предварително определени стойности трябва да се предостави равнение с това с кой от контрагентите класира структурата на пасивите в Z 02.00, за която е бил договорен.</w:t>
            </w:r>
          </w:p>
        </w:tc>
      </w:tr>
      <w:tr w:rsidR="00FE5D64"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FE5D64" w:rsidRDefault="00E40776">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FE5D64" w:rsidRDefault="00E40776">
            <w:pPr>
              <w:pStyle w:val="P68B1DB1-TableParagraph73"/>
              <w:spacing w:before="108"/>
              <w:ind w:left="85"/>
              <w:jc w:val="both"/>
              <w:rPr>
                <w:bCs/>
              </w:rPr>
            </w:pPr>
            <w:r>
              <w:t xml:space="preserve">Ранг при несъстоятелност  </w:t>
            </w:r>
          </w:p>
          <w:p w14:paraId="7FE1D150" w14:textId="00926D41" w:rsidR="00FE5D64" w:rsidRDefault="00E40776">
            <w:pPr>
              <w:pStyle w:val="P68B1DB1-TableParagraph40"/>
              <w:spacing w:before="108"/>
              <w:ind w:left="85"/>
              <w:jc w:val="both"/>
            </w:pPr>
            <w:r>
              <w:t>Рангът при несъстоятелност е един от включените в публикуваната от органа за преструктуриране на тази юрисдикция йерархия при несъстоятелност.</w:t>
            </w:r>
          </w:p>
        </w:tc>
      </w:tr>
      <w:tr w:rsidR="00FE5D64"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FE5D64" w:rsidRDefault="00E40776">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FE5D64" w:rsidRDefault="00E40776">
            <w:pPr>
              <w:pStyle w:val="P68B1DB1-TableParagraph73"/>
              <w:spacing w:before="108"/>
              <w:ind w:left="85"/>
              <w:jc w:val="both"/>
              <w:rPr>
                <w:bCs/>
              </w:rPr>
            </w:pPr>
            <w:r>
              <w:t xml:space="preserve">Идентификационен номер на рамковото споразумение  </w:t>
            </w:r>
          </w:p>
          <w:p w14:paraId="7FE1D154" w14:textId="77777777" w:rsidR="00FE5D64" w:rsidRDefault="00E40776">
            <w:pPr>
              <w:pStyle w:val="P68B1DB1-TableParagraph40"/>
              <w:spacing w:before="108"/>
              <w:ind w:left="85"/>
              <w:jc w:val="both"/>
            </w:pPr>
            <w:r>
              <w:t>Вътрешен идентификатор на рамковото споразумение или на отделния договор.</w:t>
            </w:r>
          </w:p>
        </w:tc>
      </w:tr>
      <w:tr w:rsidR="00FE5D64"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FE5D64" w:rsidRDefault="00E40776">
            <w:pPr>
              <w:pStyle w:val="P68B1DB1-Normal31"/>
            </w:pPr>
            <w:r>
              <w:lastRenderedPageBreak/>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FE5D64" w:rsidRDefault="00E40776">
            <w:pPr>
              <w:pStyle w:val="P68B1DB1-TableParagraph73"/>
              <w:spacing w:before="108"/>
              <w:ind w:left="85"/>
              <w:jc w:val="both"/>
              <w:rPr>
                <w:bCs/>
              </w:rPr>
            </w:pPr>
            <w:r>
              <w:t xml:space="preserve">Вид на рамковото споразумение </w:t>
            </w:r>
          </w:p>
          <w:p w14:paraId="7FE1D158" w14:textId="338F32CE" w:rsidR="00FE5D64" w:rsidRDefault="00E40776">
            <w:pPr>
              <w:pStyle w:val="P68B1DB1-TableParagraph40"/>
              <w:spacing w:before="108"/>
              <w:ind w:left="85"/>
              <w:jc w:val="both"/>
            </w:pPr>
            <w:r>
              <w:t>Посочете рамковото споразумение, било то „ISDA 2002 Master Agreement „, „ISDA 1992 Master Agreement„, „ISDA 1987 Master Agreement „, „ISDA 1986 Master Agreement“, „ISDA 1985 Master Agreement „, „ISDA Master Agreement„, „Друго рамково споразумение „, „Единен договор“ от предварително определен списък.</w:t>
            </w:r>
          </w:p>
        </w:tc>
      </w:tr>
      <w:tr w:rsidR="00FE5D64"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FE5D64" w:rsidRDefault="00E40776">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FE5D64" w:rsidRDefault="00E40776">
            <w:pPr>
              <w:pStyle w:val="P68B1DB1-TableParagraph73"/>
              <w:spacing w:before="108"/>
              <w:ind w:left="85"/>
              <w:jc w:val="both"/>
              <w:rPr>
                <w:bCs/>
              </w:rPr>
            </w:pPr>
            <w:r>
              <w:t xml:space="preserve">Субект, приемащ протокол ISDA  </w:t>
            </w:r>
          </w:p>
          <w:p w14:paraId="7FE1D15C" w14:textId="34C9BF40" w:rsidR="00FE5D64" w:rsidRDefault="00E40776">
            <w:pPr>
              <w:pStyle w:val="P68B1DB1-TableParagraph40"/>
              <w:spacing w:before="108"/>
              <w:ind w:left="85"/>
              <w:jc w:val="both"/>
            </w:pPr>
            <w:r>
              <w:t xml:space="preserve">Посочете дали самият субект е подписал ISDA Universal Stay Protocol, било то „ISDA Universal Protocol „, „ISDA JMP Module„, „BRRD II Omnibus Jurisdictional Module „или „No“ от предварително определен списък. </w:t>
            </w:r>
          </w:p>
        </w:tc>
      </w:tr>
      <w:tr w:rsidR="00FE5D64"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FE5D64" w:rsidRDefault="00E40776">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FE5D64" w:rsidRDefault="00E40776">
            <w:pPr>
              <w:pStyle w:val="P68B1DB1-TableParagraph73"/>
              <w:spacing w:before="108"/>
              <w:ind w:left="85"/>
              <w:jc w:val="both"/>
              <w:rPr>
                <w:bCs/>
              </w:rPr>
            </w:pPr>
            <w:r>
              <w:t xml:space="preserve">Признаване на спирането на преструктурирането  </w:t>
            </w:r>
          </w:p>
          <w:p w14:paraId="7FE1D160" w14:textId="59E963FA" w:rsidR="00FE5D64" w:rsidRDefault="00E40776">
            <w:pPr>
              <w:pStyle w:val="P68B1DB1-TableParagraph40"/>
              <w:spacing w:before="108"/>
              <w:ind w:left="85"/>
              <w:jc w:val="both"/>
            </w:pPr>
            <w:r>
              <w:t>Посочва се дали контрагентът се е придържал към „ISDA Universal Protocol „, „ISDA JMP Module„, „Друго споразумение за признаване на оставането в режим на преструктуриране „или „Без признаване на оставането без решение“ от предварително определен списък.</w:t>
            </w:r>
          </w:p>
        </w:tc>
      </w:tr>
      <w:tr w:rsidR="00FE5D64"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FE5D64" w:rsidRDefault="00E40776">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FE5D64" w:rsidRDefault="00E40776">
            <w:pPr>
              <w:pStyle w:val="P68B1DB1-TableParagraph73"/>
              <w:spacing w:before="108"/>
              <w:ind w:left="85"/>
              <w:jc w:val="both"/>
              <w:rPr>
                <w:bCs/>
              </w:rPr>
            </w:pPr>
            <w:r>
              <w:t xml:space="preserve">Наименование на контрагента </w:t>
            </w:r>
          </w:p>
          <w:p w14:paraId="7FE1D164" w14:textId="222EF1A6" w:rsidR="00FE5D64" w:rsidRDefault="00E40776">
            <w:pPr>
              <w:pStyle w:val="P68B1DB1-TableParagraph40"/>
              <w:spacing w:before="108"/>
              <w:ind w:left="85"/>
              <w:jc w:val="both"/>
            </w:pPr>
            <w:bookmarkStart w:id="249" w:name="_Hlk189839311"/>
            <w:r>
              <w:t>Наименованието на субекта на контрагента.</w:t>
            </w:r>
            <w:bookmarkEnd w:id="249"/>
            <w:r>
              <w:t xml:space="preserve"> В случай на деривати, преминали клиринг на ЦК, се отчита съответният ЦК като контрагент.</w:t>
            </w:r>
          </w:p>
        </w:tc>
      </w:tr>
      <w:tr w:rsidR="00FE5D64"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FE5D64" w:rsidRDefault="00E40776">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FE5D64" w:rsidRDefault="00E40776">
            <w:pPr>
              <w:pStyle w:val="P68B1DB1-TableParagraph73"/>
              <w:spacing w:before="108"/>
              <w:ind w:left="85"/>
              <w:jc w:val="both"/>
              <w:rPr>
                <w:bCs/>
              </w:rPr>
            </w:pPr>
            <w:r>
              <w:t xml:space="preserve">Идентификатор на контрагента </w:t>
            </w:r>
          </w:p>
          <w:p w14:paraId="7FE1D168" w14:textId="7D4036D9" w:rsidR="00FE5D64" w:rsidRDefault="00E40776">
            <w:pPr>
              <w:pStyle w:val="P68B1DB1-TableParagraph40"/>
              <w:spacing w:before="108"/>
              <w:ind w:left="85"/>
              <w:jc w:val="both"/>
            </w:pPr>
            <w:r>
              <w:t xml:space="preserve">Отчита се ИКПС на контрагента. При липса на ИКПС, в случай на банков отчет, използваният в RIAD идентификатор на ЕЦБ на парични финансови институции (ПФИ). При липса на двата идентификатора се докладва вътрешен идентификатор. </w:t>
            </w:r>
          </w:p>
        </w:tc>
      </w:tr>
      <w:tr w:rsidR="00FE5D64"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FE5D64" w:rsidRDefault="00E40776">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FE5D64" w:rsidRDefault="00E40776">
            <w:pPr>
              <w:pStyle w:val="P68B1DB1-TableParagraph73"/>
              <w:spacing w:before="108"/>
              <w:ind w:left="85"/>
              <w:jc w:val="both"/>
              <w:rPr>
                <w:bCs/>
              </w:rPr>
            </w:pPr>
            <w:r>
              <w:t xml:space="preserve">Вид идентификатор </w:t>
            </w:r>
          </w:p>
          <w:p w14:paraId="7FE1D16C" w14:textId="77777777" w:rsidR="00FE5D64" w:rsidRDefault="00E40776">
            <w:pPr>
              <w:pStyle w:val="P68B1DB1-TableParagraph40"/>
              <w:spacing w:before="108"/>
              <w:ind w:left="85"/>
              <w:jc w:val="both"/>
            </w:pPr>
            <w:r>
              <w:t>Избира се измежду следните варианти: „ИКПС „, „Код на ПФИ„или „Вид идентификатор, различен от ИКПС или код на ПФИ“.</w:t>
            </w:r>
          </w:p>
        </w:tc>
      </w:tr>
      <w:tr w:rsidR="00FE5D64"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FE5D64" w:rsidRDefault="00E40776">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FE5D64" w:rsidRDefault="00E40776">
            <w:pPr>
              <w:pStyle w:val="P68B1DB1-TableParagraph73"/>
              <w:spacing w:before="108"/>
              <w:ind w:left="85"/>
              <w:jc w:val="both"/>
              <w:rPr>
                <w:bCs/>
              </w:rPr>
            </w:pPr>
            <w:r>
              <w:t xml:space="preserve">Държава на контрагента  </w:t>
            </w:r>
          </w:p>
          <w:p w14:paraId="7FE1D170" w14:textId="77777777" w:rsidR="00FE5D64" w:rsidRDefault="00E40776">
            <w:pPr>
              <w:pStyle w:val="P68B1DB1-TableParagraph40"/>
              <w:spacing w:before="108"/>
              <w:ind w:left="85"/>
              <w:jc w:val="both"/>
            </w:pPr>
            <w:r>
              <w:t>ISO 3166—1 alpha-2 идентификация на държавата, в която е учреден контрагентът.</w:t>
            </w:r>
          </w:p>
        </w:tc>
      </w:tr>
      <w:tr w:rsidR="00FE5D64"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FE5D64" w:rsidRDefault="00E40776">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FE5D64" w:rsidRDefault="00E40776">
            <w:pPr>
              <w:pStyle w:val="P68B1DB1-TableParagraph73"/>
              <w:spacing w:before="108"/>
              <w:ind w:left="85"/>
              <w:jc w:val="both"/>
              <w:rPr>
                <w:bCs/>
              </w:rPr>
            </w:pPr>
            <w:r>
              <w:t>Вътрешногрупова сделка</w:t>
            </w:r>
          </w:p>
          <w:p w14:paraId="1EA32667" w14:textId="1995F401" w:rsidR="00FE5D64" w:rsidRDefault="00E40776">
            <w:pPr>
              <w:pStyle w:val="P68B1DB1-TableParagraph40"/>
              <w:spacing w:before="108"/>
              <w:ind w:left="85"/>
              <w:jc w:val="both"/>
            </w:pPr>
            <w:r>
              <w:t>Отчитащото се предприятие трябва да посочи дали отчитаната сделка е извършена с контрагент, принадлежащ към счетоводния обхват на консолидацията на крайното образувание майка. Допустимите стойности са „вярно „или „невярно“.</w:t>
            </w:r>
          </w:p>
        </w:tc>
      </w:tr>
      <w:tr w:rsidR="00FE5D64"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FE5D64" w:rsidRDefault="00E40776">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FE5D64" w:rsidRDefault="00E40776">
            <w:pPr>
              <w:pStyle w:val="P68B1DB1-TableParagraph73"/>
              <w:spacing w:before="108"/>
              <w:ind w:left="85"/>
              <w:jc w:val="both"/>
              <w:rPr>
                <w:bCs/>
              </w:rPr>
            </w:pPr>
            <w:r>
              <w:t>Приложимо право на рамковото споразумение/единичен договор</w:t>
            </w:r>
          </w:p>
          <w:p w14:paraId="7FE1D178" w14:textId="69ED3535" w:rsidR="00FE5D64" w:rsidRDefault="00E40776">
            <w:pPr>
              <w:pStyle w:val="P68B1DB1-TableParagraph40"/>
              <w:spacing w:before="108"/>
              <w:ind w:left="85"/>
              <w:jc w:val="both"/>
            </w:pPr>
            <w:r>
              <w:t xml:space="preserve">Кодът ISO 3166—1 alpha-2 на държавата, чието право урежда рамковото споразумение/единичния договор (използвайте кода ISO 3166—2, когато е приложимо правото на административно подразделение, напр. „US-NY“). Ако договорът се урежда от правото на повече от една държава, се докладва държавата, чието право има най-голямо значение за признаването на правомощията за обезценяване и преобразуване.  </w:t>
            </w:r>
          </w:p>
        </w:tc>
      </w:tr>
      <w:tr w:rsidR="00FE5D64"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FE5D64" w:rsidRDefault="00E40776">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FE5D64" w:rsidRDefault="00E40776">
            <w:pPr>
              <w:pStyle w:val="P68B1DB1-TableParagraph73"/>
              <w:spacing w:before="108"/>
              <w:ind w:left="85"/>
              <w:jc w:val="both"/>
              <w:rPr>
                <w:bCs/>
              </w:rPr>
            </w:pPr>
            <w:r>
              <w:t xml:space="preserve">Брой на сделките, обхванати  </w:t>
            </w:r>
          </w:p>
          <w:p w14:paraId="7FE1D17C" w14:textId="77777777" w:rsidR="00FE5D64" w:rsidRDefault="00E40776">
            <w:pPr>
              <w:pStyle w:val="P68B1DB1-TableParagraph40"/>
              <w:spacing w:before="108"/>
              <w:ind w:left="85"/>
              <w:jc w:val="both"/>
            </w:pPr>
            <w:r>
              <w:t>Посочва се броят на отделните договори, които са включени в нетиращата съвкупност от рамкови споразумения.</w:t>
            </w:r>
          </w:p>
        </w:tc>
      </w:tr>
      <w:tr w:rsidR="00FE5D64"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FE5D64" w:rsidRDefault="00E40776">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FE5D64" w:rsidRDefault="00E40776">
            <w:pPr>
              <w:pStyle w:val="P68B1DB1-TableParagraph73"/>
              <w:spacing w:before="108"/>
              <w:ind w:left="85"/>
              <w:jc w:val="both"/>
              <w:rPr>
                <w:bCs/>
              </w:rPr>
            </w:pPr>
            <w:r>
              <w:t xml:space="preserve">Нетна пазарна стойност </w:t>
            </w:r>
          </w:p>
          <w:p w14:paraId="7FE1D180" w14:textId="229346B5" w:rsidR="00FE5D64" w:rsidRDefault="00E40776">
            <w:pPr>
              <w:pStyle w:val="P68B1DB1-TableParagraph40"/>
              <w:spacing w:before="108"/>
              <w:ind w:left="85"/>
              <w:jc w:val="both"/>
            </w:pPr>
            <w:r>
              <w:t xml:space="preserve">Нетната пазарна стойност на дериватните пасиви по договорни нетиращи съвкупности, като се приема, че дериватите са приключени към референтната дата. </w:t>
            </w:r>
          </w:p>
        </w:tc>
      </w:tr>
      <w:tr w:rsidR="00FE5D64"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FE5D64" w:rsidRDefault="00E40776">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FE5D64" w:rsidRDefault="00E40776">
            <w:pPr>
              <w:pStyle w:val="P68B1DB1-TableParagraph73"/>
              <w:spacing w:before="108"/>
              <w:ind w:left="85"/>
              <w:jc w:val="both"/>
              <w:rPr>
                <w:bCs/>
              </w:rPr>
            </w:pPr>
            <w:r>
              <w:t xml:space="preserve">Стойност на предоставеното нетно обезпечение </w:t>
            </w:r>
          </w:p>
          <w:p w14:paraId="7FE1D184" w14:textId="014CEFC4" w:rsidR="00FE5D64" w:rsidRDefault="00E40776">
            <w:pPr>
              <w:pStyle w:val="P68B1DB1-TableParagraph40"/>
              <w:spacing w:before="108"/>
              <w:ind w:left="85"/>
              <w:jc w:val="both"/>
            </w:pPr>
            <w:r>
              <w:t xml:space="preserve">Нетната пазарна стойност на позициите за обезпечение в нетираща съвкупност (т.е. предоставеното обезпечение се намалява с всяко получено обезпечение). Това включва всякакви маржин сметки съгласно споразуменията за нетиране. Отчита се като </w:t>
            </w:r>
            <w:r>
              <w:lastRenderedPageBreak/>
              <w:t>положителна стойност за нетните обезпечения, предоставени на контрагенти.</w:t>
            </w:r>
          </w:p>
        </w:tc>
      </w:tr>
      <w:tr w:rsidR="00FE5D64"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FE5D64" w:rsidRDefault="00E40776">
            <w:pPr>
              <w:pStyle w:val="P68B1DB1-Normal31"/>
            </w:pPr>
            <w:r>
              <w:lastRenderedPageBreak/>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FE5D64" w:rsidRDefault="00E40776">
            <w:pPr>
              <w:pStyle w:val="P68B1DB1-TableParagraph40"/>
              <w:spacing w:before="108"/>
              <w:ind w:left="85"/>
              <w:jc w:val="both"/>
              <w:rPr>
                <w:b/>
                <w:bCs/>
              </w:rPr>
            </w:pPr>
            <w:r>
              <w:t xml:space="preserve"> </w:t>
            </w:r>
            <w:r>
              <w:rPr>
                <w:b/>
              </w:rPr>
              <w:t>Очаквана сума в края на периода</w:t>
            </w:r>
          </w:p>
          <w:p w14:paraId="7FE1D188" w14:textId="63DBB8B6" w:rsidR="00FE5D64" w:rsidRDefault="00E40776">
            <w:pPr>
              <w:pStyle w:val="P68B1DB1-TableParagraph40"/>
              <w:spacing w:before="108"/>
              <w:ind w:left="85"/>
              <w:jc w:val="both"/>
            </w:pPr>
            <w:r>
              <w:t xml:space="preserve">Оценената сума при приключване, покриваща размера на загубите или разходите, направени от контрагентите по деривати, или реализираните от тях печалби, в резултат на замяната или получаването на икономическия еквивалент на съществените условия по прекратените договори и правото на избор на страните във връзка с тези прекратени договори. В някои случаи; оценките, необходими за определяне на тази стойност в съответствие с делегиран регламент (ЕС) 2016/1401, са трудни за отчитане на индивидуална основа. Затова </w:t>
            </w:r>
            <w:r>
              <w:t>вместо нея трябва да се използват заместващи стойности, които могат да се базират на наличните данни, като например пруденциалните изисквания за пазарен риск. Положителната стойност на прогнозната сума при приключване води до увеличение на прогнозната сума при предсрочно прекратяване, докато отрицателният знак би намалил прогнозната сума при предсрочно прекратяване.</w:t>
            </w:r>
          </w:p>
        </w:tc>
      </w:tr>
      <w:tr w:rsidR="00FE5D64"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FE5D64" w:rsidRDefault="00E40776">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FE5D64" w:rsidRDefault="00E40776">
            <w:pPr>
              <w:pStyle w:val="P68B1DB1-TableParagraph40"/>
              <w:spacing w:before="108"/>
              <w:ind w:left="85"/>
              <w:jc w:val="both"/>
              <w:rPr>
                <w:b/>
                <w:bCs/>
              </w:rPr>
            </w:pPr>
            <w:r>
              <w:t xml:space="preserve"> </w:t>
            </w:r>
            <w:r>
              <w:rPr>
                <w:b/>
              </w:rPr>
              <w:t>Очаквана сума за ранно прекратяване</w:t>
            </w:r>
          </w:p>
          <w:p w14:paraId="7FE1D18C" w14:textId="77777777" w:rsidR="00FE5D64" w:rsidRDefault="00E40776">
            <w:pPr>
              <w:pStyle w:val="P68B1DB1-TableParagraph40"/>
              <w:spacing w:before="108"/>
              <w:ind w:left="85"/>
              <w:jc w:val="both"/>
            </w:pPr>
            <w:r>
              <w:t>Във връзка с делегиран регламент (ЕС) 2016/1401 относно оценката на дериватите съгласно член 49, параграф 4 от ДВПБ този размер се определя, както следва:</w:t>
            </w:r>
          </w:p>
        </w:tc>
      </w:tr>
      <w:tr w:rsidR="00FE5D64" w14:paraId="7FE1D190" w14:textId="77777777">
        <w:tc>
          <w:tcPr>
            <w:tcW w:w="1183" w:type="dxa"/>
            <w:vMerge/>
            <w:tcBorders>
              <w:right w:val="single" w:sz="8" w:space="0" w:color="1A171C"/>
            </w:tcBorders>
            <w:vAlign w:val="center"/>
          </w:tcPr>
          <w:p w14:paraId="7FE1D18E" w14:textId="77777777" w:rsidR="00FE5D64" w:rsidRDefault="00FE5D64">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FE5D64" w:rsidRDefault="00E40776">
            <w:pPr>
              <w:pStyle w:val="P68B1DB1-TableParagraph40"/>
              <w:spacing w:before="108"/>
              <w:ind w:left="85"/>
              <w:jc w:val="both"/>
            </w:pPr>
            <w:r>
              <w:t xml:space="preserve"> "Оценителят определя стойността на задълженията, произтичащи от договори за деривати в рамките на сет за неттинг, като сума при предсрочно прекратяване, изчислена като сбор от следните суми: </w:t>
            </w:r>
          </w:p>
        </w:tc>
      </w:tr>
      <w:tr w:rsidR="00FE5D64" w14:paraId="7FE1D193" w14:textId="77777777">
        <w:tc>
          <w:tcPr>
            <w:tcW w:w="1183" w:type="dxa"/>
            <w:vMerge/>
            <w:tcBorders>
              <w:right w:val="single" w:sz="8" w:space="0" w:color="1A171C"/>
            </w:tcBorders>
            <w:vAlign w:val="center"/>
          </w:tcPr>
          <w:p w14:paraId="7FE1D191" w14:textId="77777777" w:rsidR="00FE5D64" w:rsidRDefault="00FE5D64">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FE5D64" w:rsidRDefault="00E40776">
            <w:pPr>
              <w:pStyle w:val="P68B1DB1-TableParagraph40"/>
              <w:spacing w:before="108"/>
              <w:ind w:left="85"/>
              <w:jc w:val="both"/>
            </w:pPr>
            <w:r>
              <w:t xml:space="preserve"> · Неизплатените суми, обезпечения или други суми, дължими на контрагента от институцията в режим на преструктуриране, минус неизплатените суми, обезпечения или други суми, дължими на институцията в режим на преструктуриране от контрагента, на датата на приключване; както и</w:t>
            </w:r>
          </w:p>
        </w:tc>
      </w:tr>
      <w:tr w:rsidR="00FE5D64" w14:paraId="7FE1D196" w14:textId="77777777">
        <w:tc>
          <w:tcPr>
            <w:tcW w:w="1183" w:type="dxa"/>
            <w:vMerge/>
            <w:tcBorders>
              <w:right w:val="single" w:sz="8" w:space="0" w:color="1A171C"/>
            </w:tcBorders>
            <w:vAlign w:val="center"/>
          </w:tcPr>
          <w:p w14:paraId="7FE1D194" w14:textId="77777777" w:rsidR="00FE5D64" w:rsidRDefault="00FE5D64">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FE5D64" w:rsidRDefault="00E40776">
            <w:pPr>
              <w:pStyle w:val="P68B1DB1-TableParagraph40"/>
              <w:spacing w:before="108"/>
              <w:ind w:left="85"/>
              <w:jc w:val="both"/>
            </w:pPr>
            <w:r>
              <w:t xml:space="preserve"> · Сума при приключване, покриваща размера на загубите или разходите, направени от контрагентите по деривати, или реализираните от тях печалби, в резултат на замяната или получаването на икономическия еквивалент на съществените условия по прекратените договори и правото на избор на страните във връзка с тези договори.</w:t>
            </w:r>
          </w:p>
        </w:tc>
      </w:tr>
      <w:tr w:rsidR="00FE5D64" w14:paraId="7FE1D199" w14:textId="77777777">
        <w:tc>
          <w:tcPr>
            <w:tcW w:w="1183" w:type="dxa"/>
            <w:vMerge/>
            <w:tcBorders>
              <w:right w:val="single" w:sz="8" w:space="0" w:color="1A171C"/>
            </w:tcBorders>
            <w:vAlign w:val="center"/>
          </w:tcPr>
          <w:p w14:paraId="7FE1D197" w14:textId="77777777" w:rsidR="00FE5D64" w:rsidRDefault="00FE5D64">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FE5D64" w:rsidRDefault="00E40776">
            <w:pPr>
              <w:pStyle w:val="P68B1DB1-TableParagraph40"/>
              <w:spacing w:before="108"/>
              <w:ind w:left="85"/>
              <w:jc w:val="both"/>
            </w:pPr>
            <w:r>
              <w:t xml:space="preserve"> Поради това очакваната сума при ранно прекратяване трябва да е равна на нетната пазарна стойност (c0120) — Стойност на нетното предоставено обезпечение (c0130) + прогнозната сума на късното напускане (c0140).</w:t>
            </w:r>
          </w:p>
        </w:tc>
      </w:tr>
    </w:tbl>
    <w:p w14:paraId="7FE1D19A" w14:textId="77777777" w:rsidR="00FE5D64" w:rsidRDefault="00FE5D64">
      <w:pPr>
        <w:pStyle w:val="Instructionsberschrift2"/>
        <w:ind w:left="357"/>
        <w:rPr>
          <w:rFonts w:ascii="Times New Roman" w:eastAsia="Calibri" w:hAnsi="Times New Roman" w:cs="Times New Roman"/>
          <w:szCs w:val="20"/>
        </w:rPr>
      </w:pPr>
      <w:bookmarkStart w:id="250" w:name="_Toc81454217"/>
    </w:p>
    <w:p w14:paraId="7FE1D19B" w14:textId="08247010" w:rsidR="00FE5D64" w:rsidRDefault="00E40776">
      <w:pPr>
        <w:pStyle w:val="Instructionsberschrift2"/>
        <w:numPr>
          <w:ilvl w:val="1"/>
          <w:numId w:val="49"/>
        </w:numPr>
        <w:spacing w:before="0"/>
        <w:ind w:left="357" w:hanging="357"/>
        <w:rPr>
          <w:rFonts w:ascii="Times New Roman" w:hAnsi="Times New Roman" w:cs="Times New Roman"/>
        </w:rPr>
      </w:pPr>
      <w:bookmarkStart w:id="251" w:name="_Toc208244489"/>
      <w:r>
        <w:rPr>
          <w:rFonts w:ascii="Times New Roman" w:eastAsiaTheme="minorEastAsia" w:hAnsi="Times New Roman" w:cs="Times New Roman"/>
        </w:rPr>
        <w:t xml:space="preserve">Z 16.00 — Сделки с гарантирано финансиране, с изключение на вътрешногруповите операции </w:t>
      </w:r>
      <w:r>
        <w:rPr>
          <w:rFonts w:ascii="Times New Roman" w:eastAsia="Calibri" w:hAnsi="Times New Roman" w:cs="Times New Roman"/>
          <w:szCs w:val="20"/>
        </w:rPr>
        <w:t>(LIAB-G-6)</w:t>
      </w:r>
      <w:bookmarkEnd w:id="251"/>
    </w:p>
    <w:p w14:paraId="7FE1D19C" w14:textId="07C13721" w:rsidR="00FE5D64" w:rsidRDefault="00E40776">
      <w:pPr>
        <w:pStyle w:val="P68B1DB1-Instructionsberschrift289"/>
        <w:rPr>
          <w:rFonts w:eastAsiaTheme="minorEastAsia"/>
        </w:rPr>
      </w:pPr>
      <w:r>
        <w:t xml:space="preserve"> </w:t>
      </w:r>
      <w:bookmarkEnd w:id="250"/>
    </w:p>
    <w:p w14:paraId="7FE1D19D" w14:textId="77777777" w:rsidR="00FE5D64" w:rsidRDefault="00E40776">
      <w:pPr>
        <w:pStyle w:val="P68B1DB1-Numberedtitlelevel388"/>
      </w:pPr>
      <w:r>
        <w:t>Общи бележки</w:t>
      </w:r>
    </w:p>
    <w:p w14:paraId="7FE1D19E" w14:textId="3901B7DB" w:rsidR="00FE5D64" w:rsidRDefault="00E40776">
      <w:pPr>
        <w:pStyle w:val="P68B1DB1-InstructionsText286"/>
        <w:numPr>
          <w:ilvl w:val="2"/>
          <w:numId w:val="209"/>
        </w:numPr>
        <w:spacing w:before="0"/>
        <w:ind w:left="1276"/>
        <w:rPr>
          <w:rFonts w:eastAsiaTheme="majorEastAsia"/>
        </w:rPr>
      </w:pPr>
      <w:r>
        <w:t xml:space="preserve">Обезпеченото финансиране включва всички механизми за финансиране, които са предмет на предоставяне на обезпечение, залози или залози, с изключение например на ценни книжа, които трябва да се отчитат в Z12.00. </w:t>
      </w:r>
    </w:p>
    <w:p w14:paraId="7FE1D19F" w14:textId="77777777" w:rsidR="00FE5D64" w:rsidRDefault="00E40776">
      <w:pPr>
        <w:pStyle w:val="P68B1DB1-InstructionsText286"/>
        <w:numPr>
          <w:ilvl w:val="2"/>
          <w:numId w:val="209"/>
        </w:numPr>
        <w:spacing w:before="0"/>
        <w:ind w:left="1276"/>
      </w:pPr>
      <w:r>
        <w:t>Типични примери за такива споразумения са споразумения за финансиране от централна банка или споразумения за обратно изкупуване.</w:t>
      </w:r>
    </w:p>
    <w:p w14:paraId="7FE1D1A0" w14:textId="77777777" w:rsidR="00FE5D64" w:rsidRDefault="00E40776">
      <w:pPr>
        <w:pStyle w:val="P68B1DB1-InstructionsText286"/>
        <w:numPr>
          <w:ilvl w:val="2"/>
          <w:numId w:val="209"/>
        </w:numPr>
        <w:spacing w:before="0"/>
        <w:ind w:left="1276"/>
      </w:pPr>
      <w:r>
        <w:t>Докладва се обезпеченото задължение, а не самото обезпечение.</w:t>
      </w:r>
    </w:p>
    <w:p w14:paraId="7FE1D1A1" w14:textId="437B0574" w:rsidR="00FE5D64" w:rsidRDefault="00E40776">
      <w:pPr>
        <w:pStyle w:val="P68B1DB1-InstructionsText286"/>
        <w:numPr>
          <w:ilvl w:val="2"/>
          <w:numId w:val="209"/>
        </w:numPr>
        <w:spacing w:before="0"/>
        <w:ind w:left="1276"/>
      </w:pPr>
      <w:r>
        <w:t xml:space="preserve">За целите на настоящата таблица обезпечените финансови споразумения трябва да се отчитат по нетираща съвкупност, т.е. всяка нетираща съвкупност, отчетена като отделна позиция в ред. Обезпечената част и необезпечената част от една и съща нетираща съвкупност обаче трябва да се отчитат в различни редове, ако се отнасят до различен ранг при несъстоятелност. </w:t>
      </w:r>
    </w:p>
    <w:p w14:paraId="7FE1D1A2" w14:textId="77777777" w:rsidR="00FE5D64" w:rsidRDefault="00E40776">
      <w:pPr>
        <w:pStyle w:val="P68B1DB1-InstructionsText286"/>
        <w:numPr>
          <w:ilvl w:val="2"/>
          <w:numId w:val="209"/>
        </w:numPr>
        <w:spacing w:before="0"/>
        <w:ind w:left="1276"/>
      </w:pPr>
      <w:r>
        <w:lastRenderedPageBreak/>
        <w:t>В това отношение не са приложими прагове за докладване.</w:t>
      </w:r>
    </w:p>
    <w:p w14:paraId="7FE1D1A3" w14:textId="77777777" w:rsidR="00FE5D64" w:rsidRDefault="00E40776">
      <w:pPr>
        <w:pStyle w:val="P68B1DB1-Numberedtitlelevel388"/>
      </w:pPr>
      <w:r>
        <w:t>Указания относно определени позиции</w:t>
      </w:r>
    </w:p>
    <w:tbl>
      <w:tblPr>
        <w:tblW w:w="9015" w:type="dxa"/>
        <w:tblInd w:w="135" w:type="dxa"/>
        <w:tblLayout w:type="fixed"/>
        <w:tblLook w:val="04A0" w:firstRow="1" w:lastRow="0" w:firstColumn="1" w:lastColumn="0" w:noHBand="0" w:noVBand="1"/>
      </w:tblPr>
      <w:tblGrid>
        <w:gridCol w:w="1183"/>
        <w:gridCol w:w="7832"/>
      </w:tblGrid>
      <w:tr w:rsidR="00FE5D64"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FE5D64" w:rsidRDefault="00E40776">
            <w:pPr>
              <w:pStyle w:val="P68B1DB1-Normal31"/>
            </w:pPr>
            <w:r>
              <w:t xml:space="preserve">Колони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FE5D64" w:rsidRDefault="00E40776">
            <w:pPr>
              <w:pStyle w:val="P68B1DB1-Normal31"/>
            </w:pPr>
            <w:r>
              <w:t xml:space="preserve">Указания </w:t>
            </w:r>
          </w:p>
        </w:tc>
      </w:tr>
      <w:tr w:rsidR="00FE5D64"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FE5D64" w:rsidRDefault="00E40776">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FE5D64" w:rsidRDefault="00E40776">
            <w:pPr>
              <w:pStyle w:val="P68B1DB1-TableParagraph40"/>
              <w:spacing w:before="108"/>
              <w:ind w:left="85"/>
              <w:jc w:val="both"/>
              <w:rPr>
                <w:b/>
                <w:bCs/>
              </w:rPr>
            </w:pPr>
            <w:r>
              <w:t xml:space="preserve"> </w:t>
            </w:r>
            <w:r>
              <w:rPr>
                <w:b/>
              </w:rPr>
              <w:t>NO</w:t>
            </w:r>
          </w:p>
          <w:p w14:paraId="7FE1D1A9" w14:textId="7C09A169" w:rsidR="00FE5D64" w:rsidRDefault="00E40776">
            <w:pPr>
              <w:pStyle w:val="P68B1DB1-TableParagraph40"/>
              <w:spacing w:before="108"/>
              <w:ind w:left="85"/>
              <w:jc w:val="both"/>
            </w:pPr>
            <w:r>
              <w:t>Уникален номер/първичен ключ за идентифициране на редовите позиции.</w:t>
            </w:r>
          </w:p>
        </w:tc>
      </w:tr>
      <w:tr w:rsidR="00FE5D64"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FE5D64" w:rsidRDefault="00E40776">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FE5D64" w:rsidRDefault="00E40776">
            <w:pPr>
              <w:pStyle w:val="P68B1DB1-TableParagraph40"/>
              <w:spacing w:before="108"/>
              <w:ind w:left="85"/>
              <w:jc w:val="both"/>
              <w:rPr>
                <w:b/>
                <w:bCs/>
              </w:rPr>
            </w:pPr>
            <w:r>
              <w:t xml:space="preserve"> </w:t>
            </w:r>
            <w:r>
              <w:rPr>
                <w:b/>
              </w:rPr>
              <w:t>Колона</w:t>
            </w:r>
          </w:p>
          <w:p w14:paraId="7FE1D1AD" w14:textId="57B67374" w:rsidR="00FE5D64" w:rsidRDefault="00E40776">
            <w:pPr>
              <w:pStyle w:val="P68B1DB1-TableParagraph40"/>
              <w:spacing w:before="108"/>
              <w:ind w:left="85"/>
              <w:jc w:val="both"/>
            </w:pPr>
            <w:r>
              <w:t>За всяка нетираща съвкупност трябва да се предостави равнение с класа на контрагента в Z02.00, към който се дължи задължението, от предварително определен списък със стойности.</w:t>
            </w:r>
          </w:p>
        </w:tc>
      </w:tr>
      <w:tr w:rsidR="00FE5D64"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FE5D64" w:rsidRDefault="00E40776">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FE5D64" w:rsidRDefault="00E40776">
            <w:pPr>
              <w:pStyle w:val="P68B1DB1-TableParagraph40"/>
              <w:spacing w:before="108"/>
              <w:ind w:left="85"/>
              <w:jc w:val="both"/>
              <w:rPr>
                <w:b/>
                <w:bCs/>
              </w:rPr>
            </w:pPr>
            <w:r>
              <w:t xml:space="preserve"> </w:t>
            </w:r>
            <w:r>
              <w:rPr>
                <w:b/>
              </w:rPr>
              <w:t>Ранг при несъстоятелност</w:t>
            </w:r>
          </w:p>
          <w:p w14:paraId="7FE1D1B1" w14:textId="0D780E4C" w:rsidR="00FE5D64" w:rsidRDefault="00E40776">
            <w:pPr>
              <w:pStyle w:val="P68B1DB1-TableParagraph40"/>
              <w:spacing w:before="108"/>
              <w:ind w:left="85"/>
              <w:jc w:val="both"/>
            </w:pPr>
            <w:r>
              <w:t>Рангът при несъстоятелност е един от включените в публикуваната от органа за преструктуриране на тази юрисдикция йерархия при несъстоятелност.</w:t>
            </w:r>
          </w:p>
        </w:tc>
      </w:tr>
      <w:tr w:rsidR="00FE5D64"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FE5D64" w:rsidRDefault="00E40776">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FE5D64" w:rsidRDefault="00E40776">
            <w:pPr>
              <w:pStyle w:val="P68B1DB1-TableParagraph73"/>
              <w:spacing w:before="108"/>
              <w:ind w:left="85"/>
              <w:jc w:val="both"/>
              <w:rPr>
                <w:bCs/>
              </w:rPr>
            </w:pPr>
            <w:r>
              <w:t xml:space="preserve"> Идентификационен номер на рамковото споразумение </w:t>
            </w:r>
          </w:p>
          <w:p w14:paraId="7FE1D1B5" w14:textId="77777777" w:rsidR="00FE5D64" w:rsidRDefault="00E40776">
            <w:pPr>
              <w:pStyle w:val="P68B1DB1-TableParagraph40"/>
              <w:spacing w:before="108"/>
              <w:ind w:left="85"/>
              <w:jc w:val="both"/>
            </w:pPr>
            <w:r>
              <w:t>Вътрешен идентификатор на рамковото споразумение или на отделния договор.</w:t>
            </w:r>
          </w:p>
        </w:tc>
      </w:tr>
      <w:tr w:rsidR="00FE5D64"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FE5D64" w:rsidRDefault="00E40776">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FE5D64" w:rsidRDefault="00E40776">
            <w:pPr>
              <w:pStyle w:val="P68B1DB1-TableParagraph73"/>
              <w:spacing w:before="108"/>
              <w:ind w:left="85"/>
              <w:jc w:val="both"/>
              <w:rPr>
                <w:bCs/>
              </w:rPr>
            </w:pPr>
            <w:r>
              <w:t xml:space="preserve"> Тип на МА (напр. ГМРА) </w:t>
            </w:r>
          </w:p>
          <w:p w14:paraId="7FE1D1B9" w14:textId="7472E062" w:rsidR="00FE5D64" w:rsidRDefault="00E40776">
            <w:pPr>
              <w:pStyle w:val="P68B1DB1-TableParagraph40"/>
              <w:spacing w:before="108"/>
              <w:ind w:left="85"/>
              <w:jc w:val="both"/>
            </w:pPr>
            <w:r>
              <w:t>Посочете рамковото споразумение или „ICMA 2011 Глобални рамкови споразумения за обратно изкупуване „, „ICMA 2000 Global Master repurchase agreements„, „ICMA 1995 Global Master repurchase agreements „, „ICMA 1992 Global Master repurchase agreements“, „Други глобални рамкови споразумения за обратно изкупуване „или „Единен договор“ от предварително определен списък.</w:t>
            </w:r>
          </w:p>
        </w:tc>
      </w:tr>
      <w:tr w:rsidR="00FE5D64"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FE5D64" w:rsidRDefault="00E40776">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FE5D64" w:rsidRDefault="00E40776">
            <w:pPr>
              <w:pStyle w:val="P68B1DB1-TableParagraph73"/>
              <w:spacing w:before="108"/>
              <w:ind w:left="85"/>
              <w:jc w:val="both"/>
              <w:rPr>
                <w:bCs/>
              </w:rPr>
            </w:pPr>
            <w:bookmarkStart w:id="252" w:name="_Hlk189839338"/>
            <w:r>
              <w:t xml:space="preserve">Наименование на контрагента </w:t>
            </w:r>
          </w:p>
          <w:bookmarkEnd w:id="252"/>
          <w:p w14:paraId="7FE1D1BD" w14:textId="0E71EEA1" w:rsidR="00FE5D64" w:rsidRDefault="00E40776">
            <w:pPr>
              <w:pStyle w:val="P68B1DB1-TableParagraph40"/>
              <w:spacing w:before="108"/>
              <w:ind w:left="85"/>
              <w:jc w:val="both"/>
            </w:pPr>
            <w:r>
              <w:t>Наименованието на субекта на контрагента.</w:t>
            </w:r>
          </w:p>
        </w:tc>
      </w:tr>
      <w:tr w:rsidR="00FE5D64"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FE5D64" w:rsidRDefault="00E40776">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FE5D64" w:rsidRDefault="00E40776">
            <w:pPr>
              <w:pStyle w:val="P68B1DB1-TableParagraph40"/>
              <w:spacing w:before="108"/>
              <w:ind w:left="85"/>
              <w:jc w:val="both"/>
              <w:rPr>
                <w:b/>
                <w:bCs/>
              </w:rPr>
            </w:pPr>
            <w:r>
              <w:t xml:space="preserve"> </w:t>
            </w:r>
            <w:r>
              <w:rPr>
                <w:b/>
              </w:rPr>
              <w:t>Контрагент (ИКПС/ПФИ/местен идентификатор)</w:t>
            </w:r>
          </w:p>
          <w:p w14:paraId="7FE1D1C1" w14:textId="5ADC0AB9" w:rsidR="00FE5D64" w:rsidRDefault="00E40776">
            <w:pPr>
              <w:pStyle w:val="P68B1DB1-TableParagraph40"/>
              <w:spacing w:before="108"/>
              <w:ind w:left="85"/>
              <w:jc w:val="both"/>
            </w:pPr>
            <w:r>
              <w:t>Посочва се ИКПС на кредитора. При липса на ИКПС, в случай на банков отчет, използваният в RIAD идентификатор на ЕЦБ на парични финансови институции (ПФИ). При липса на двата идентификатора се докладва вътрешен идентификатор.</w:t>
            </w:r>
          </w:p>
        </w:tc>
      </w:tr>
      <w:tr w:rsidR="00FE5D64"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FE5D64" w:rsidRDefault="00E40776">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FE5D64" w:rsidRDefault="00E40776">
            <w:pPr>
              <w:pStyle w:val="P68B1DB1-TableParagraph73"/>
              <w:spacing w:before="108"/>
              <w:ind w:left="85"/>
              <w:jc w:val="both"/>
              <w:rPr>
                <w:bCs/>
              </w:rPr>
            </w:pPr>
            <w:r>
              <w:t xml:space="preserve">Вид идентификатор </w:t>
            </w:r>
          </w:p>
          <w:p w14:paraId="7FE1D1C5" w14:textId="77777777" w:rsidR="00FE5D64" w:rsidRDefault="00E40776">
            <w:pPr>
              <w:pStyle w:val="P68B1DB1-TableParagraph40"/>
              <w:spacing w:before="108"/>
              <w:ind w:left="85"/>
              <w:jc w:val="both"/>
            </w:pPr>
            <w:r>
              <w:t>Избира се измежду следните варианти: „ИКПС „, „Код на ПФИ„или „Вид идентификатор, различен от ИКПС или код на ПФИ“.</w:t>
            </w:r>
          </w:p>
        </w:tc>
      </w:tr>
      <w:tr w:rsidR="00FE5D64"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FE5D64" w:rsidRDefault="00E40776">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FE5D64" w:rsidRDefault="00E40776">
            <w:pPr>
              <w:pStyle w:val="P68B1DB1-TableParagraph40"/>
              <w:spacing w:before="108"/>
              <w:ind w:left="85"/>
              <w:jc w:val="both"/>
              <w:rPr>
                <w:b/>
                <w:bCs/>
              </w:rPr>
            </w:pPr>
            <w:r>
              <w:t xml:space="preserve"> </w:t>
            </w:r>
            <w:r>
              <w:rPr>
                <w:b/>
              </w:rPr>
              <w:t>Държава на контрагент 2</w:t>
            </w:r>
          </w:p>
          <w:p w14:paraId="7FE1D1C9" w14:textId="77777777" w:rsidR="00FE5D64" w:rsidRDefault="00E40776">
            <w:pPr>
              <w:pStyle w:val="P68B1DB1-TableParagraph40"/>
              <w:spacing w:before="108"/>
              <w:ind w:left="85"/>
              <w:jc w:val="both"/>
            </w:pPr>
            <w:r>
              <w:t>Наименованието на държавата, в която контрагентът е учреден.</w:t>
            </w:r>
          </w:p>
        </w:tc>
      </w:tr>
      <w:tr w:rsidR="00FE5D64"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FE5D64" w:rsidRDefault="00E40776">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FE5D64" w:rsidRDefault="00E40776">
            <w:pPr>
              <w:pStyle w:val="P68B1DB1-TableParagraph40"/>
              <w:spacing w:before="108"/>
              <w:ind w:left="85"/>
              <w:jc w:val="both"/>
              <w:rPr>
                <w:b/>
                <w:bCs/>
              </w:rPr>
            </w:pPr>
            <w:r>
              <w:t xml:space="preserve"> </w:t>
            </w:r>
            <w:r>
              <w:rPr>
                <w:b/>
              </w:rPr>
              <w:t>Приложимо право на УО/единна сделка</w:t>
            </w:r>
          </w:p>
          <w:p w14:paraId="7FE1D1CD" w14:textId="77777777" w:rsidR="00FE5D64" w:rsidRDefault="00E40776">
            <w:pPr>
              <w:pStyle w:val="P68B1DB1-TableParagraph40"/>
              <w:spacing w:before="108"/>
              <w:ind w:left="85"/>
              <w:jc w:val="both"/>
            </w:pPr>
            <w:r>
              <w:t xml:space="preserve">Името на държавата, чието право урежда УО/единичния договор. Ако договорът се урежда от правото на повече от една държава, се докладва държавата, чието право има най-голямо значение за признаването на правомощията за обезценяване и преобразуване.  </w:t>
            </w:r>
          </w:p>
        </w:tc>
      </w:tr>
      <w:tr w:rsidR="00FE5D64"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FE5D64" w:rsidRDefault="00E40776">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FE5D64" w:rsidRDefault="00E40776">
            <w:pPr>
              <w:pStyle w:val="P68B1DB1-TableParagraph40"/>
              <w:spacing w:before="108"/>
              <w:ind w:left="85"/>
              <w:jc w:val="both"/>
              <w:rPr>
                <w:b/>
                <w:bCs/>
              </w:rPr>
            </w:pPr>
            <w:r>
              <w:t xml:space="preserve"> </w:t>
            </w:r>
            <w:r>
              <w:rPr>
                <w:b/>
              </w:rPr>
              <w:t>Брой на сделките, обхванати</w:t>
            </w:r>
          </w:p>
          <w:p w14:paraId="7FE1D1D1" w14:textId="77777777" w:rsidR="00FE5D64" w:rsidRDefault="00E40776">
            <w:pPr>
              <w:pStyle w:val="P68B1DB1-TableParagraph40"/>
              <w:spacing w:before="108"/>
              <w:ind w:left="85"/>
              <w:jc w:val="both"/>
            </w:pPr>
            <w:r>
              <w:t>Посочва се броят на отделните договори, които са включени в нетиращата съвкупност на УО.</w:t>
            </w:r>
          </w:p>
        </w:tc>
      </w:tr>
      <w:tr w:rsidR="00FE5D64"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FE5D64" w:rsidRDefault="00E40776">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FE5D64" w:rsidRDefault="00E40776">
            <w:pPr>
              <w:pStyle w:val="P68B1DB1-TableParagraph40"/>
              <w:spacing w:before="108"/>
              <w:ind w:left="85"/>
              <w:jc w:val="both"/>
              <w:rPr>
                <w:b/>
                <w:bCs/>
              </w:rPr>
            </w:pPr>
            <w:r>
              <w:t xml:space="preserve"> </w:t>
            </w:r>
            <w:r>
              <w:rPr>
                <w:b/>
              </w:rPr>
              <w:t>Нетен размер на полученото финансиране</w:t>
            </w:r>
          </w:p>
          <w:p w14:paraId="7FE1D1D5" w14:textId="40508D2F" w:rsidR="00FE5D64" w:rsidRDefault="00E40776">
            <w:pPr>
              <w:pStyle w:val="P68B1DB1-TableParagraph40"/>
              <w:spacing w:before="108"/>
              <w:ind w:left="85"/>
              <w:jc w:val="both"/>
            </w:pPr>
            <w:r>
              <w:t>Посочва се нетният размер на финансирането, получено по обезпечени споразумения за финансиране, като се вземат предвид всички сделки, които са предмет на споразумението за нетиране. Следва да се отбележи, че тази сума не включва начислените лихви, докато съответната сума в ред Z02.00—0120.</w:t>
            </w:r>
          </w:p>
        </w:tc>
      </w:tr>
      <w:tr w:rsidR="00FE5D64"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FE5D64" w:rsidRDefault="00E40776">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FE5D64" w:rsidRDefault="00E40776">
            <w:pPr>
              <w:pStyle w:val="P68B1DB1-TableParagraph73"/>
              <w:spacing w:before="108"/>
              <w:ind w:left="85"/>
              <w:jc w:val="both"/>
              <w:rPr>
                <w:bCs/>
              </w:rPr>
            </w:pPr>
            <w:r>
              <w:t xml:space="preserve"> Нетен размер на предоставеното обезпечение  </w:t>
            </w:r>
          </w:p>
          <w:p w14:paraId="7FE1D1D9" w14:textId="6D452434" w:rsidR="00FE5D64" w:rsidRDefault="00E40776">
            <w:pPr>
              <w:pStyle w:val="P68B1DB1-TableParagraph40"/>
              <w:spacing w:before="108"/>
              <w:ind w:left="85"/>
              <w:jc w:val="both"/>
            </w:pPr>
            <w:r>
              <w:t>За всяка нетираща съвкупност се посочва нетната стойност на обезпечението, предоставено за покриване на обезпечените сделки по финансиране, като се вземат предвид всички позиции по обезпечението, разгледани в споразумението за нетиране. Това включва всички обезпечения или маржин, които се разменят.</w:t>
            </w:r>
          </w:p>
        </w:tc>
      </w:tr>
    </w:tbl>
    <w:p w14:paraId="7FE1D1DB" w14:textId="77777777" w:rsidR="00FE5D64" w:rsidRDefault="00FE5D64">
      <w:pPr>
        <w:pStyle w:val="Instructionsberschrift2"/>
        <w:ind w:left="357"/>
        <w:rPr>
          <w:rFonts w:ascii="Times New Roman" w:eastAsia="Calibri" w:hAnsi="Times New Roman" w:cs="Times New Roman"/>
          <w:szCs w:val="20"/>
        </w:rPr>
      </w:pPr>
      <w:bookmarkStart w:id="253" w:name="_Toc81454218"/>
    </w:p>
    <w:p w14:paraId="7FE1D1DC" w14:textId="4F83132F" w:rsidR="00FE5D64" w:rsidRDefault="00E40776">
      <w:pPr>
        <w:pStyle w:val="Instructionsberschrift2"/>
        <w:numPr>
          <w:ilvl w:val="1"/>
          <w:numId w:val="49"/>
        </w:numPr>
        <w:spacing w:before="0"/>
        <w:ind w:left="357" w:hanging="357"/>
        <w:rPr>
          <w:rFonts w:ascii="Times New Roman" w:hAnsi="Times New Roman" w:cs="Times New Roman"/>
        </w:rPr>
      </w:pPr>
      <w:bookmarkStart w:id="254" w:name="_Toc208244490"/>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Други нефинансови пасиви (невключени в други раздели, с изключение на вътрешногруповите) </w:t>
      </w:r>
      <w:r>
        <w:rPr>
          <w:rFonts w:ascii="Times New Roman" w:eastAsia="Calibri" w:hAnsi="Times New Roman" w:cs="Times New Roman"/>
          <w:szCs w:val="20"/>
        </w:rPr>
        <w:t>(LIAB-G-7)</w:t>
      </w:r>
      <w:bookmarkEnd w:id="254"/>
    </w:p>
    <w:bookmarkEnd w:id="253"/>
    <w:p w14:paraId="7FE1D1DD" w14:textId="28BEEC11" w:rsidR="00FE5D64" w:rsidRDefault="00FE5D64">
      <w:pPr>
        <w:pStyle w:val="Instructionsberschrift2"/>
        <w:ind w:left="357"/>
        <w:rPr>
          <w:rFonts w:ascii="Times New Roman" w:eastAsiaTheme="minorEastAsia" w:hAnsi="Times New Roman" w:cs="Times New Roman"/>
          <w:u w:val="none"/>
        </w:rPr>
      </w:pPr>
    </w:p>
    <w:p w14:paraId="7FE1D1DE" w14:textId="77777777" w:rsidR="00FE5D64" w:rsidRDefault="00E40776">
      <w:pPr>
        <w:pStyle w:val="P68B1DB1-Numberedtitlelevel388"/>
      </w:pPr>
      <w:r>
        <w:t>Общи бележки</w:t>
      </w:r>
    </w:p>
    <w:p w14:paraId="7FE1D1DF" w14:textId="6152DD19" w:rsidR="00FE5D64" w:rsidRDefault="00E40776">
      <w:pPr>
        <w:pStyle w:val="P68B1DB1-InstructionsText286"/>
        <w:numPr>
          <w:ilvl w:val="2"/>
          <w:numId w:val="209"/>
        </w:numPr>
        <w:spacing w:before="0"/>
        <w:ind w:left="1276"/>
        <w:rPr>
          <w:rFonts w:eastAsiaTheme="majorEastAsia"/>
        </w:rPr>
      </w:pPr>
      <w:r>
        <w:t>Тази таблица обхваща нефинансови пасиви като провизии, данъчни пасиви и приходи за бъдещи периоди.</w:t>
      </w:r>
    </w:p>
    <w:p w14:paraId="7FE1D1E0" w14:textId="6480C40E" w:rsidR="00FE5D64" w:rsidRDefault="00E40776">
      <w:pPr>
        <w:pStyle w:val="P68B1DB1-InstructionsText286"/>
        <w:numPr>
          <w:ilvl w:val="2"/>
          <w:numId w:val="209"/>
        </w:numPr>
        <w:spacing w:before="0"/>
        <w:ind w:left="1276"/>
      </w:pPr>
      <w:r>
        <w:t>Тези пасиви се групират по вид нефинансов пасив и ранг при несъстоятелност.</w:t>
      </w:r>
    </w:p>
    <w:p w14:paraId="7FE1D1E2" w14:textId="77777777" w:rsidR="00FE5D64" w:rsidRDefault="00E40776">
      <w:pPr>
        <w:pStyle w:val="P68B1DB1-Numberedtitlelevel388"/>
      </w:pPr>
      <w:r>
        <w:t>Указания относно определени позиции</w:t>
      </w:r>
    </w:p>
    <w:tbl>
      <w:tblPr>
        <w:tblW w:w="9015" w:type="dxa"/>
        <w:tblInd w:w="135" w:type="dxa"/>
        <w:tblLayout w:type="fixed"/>
        <w:tblLook w:val="04A0" w:firstRow="1" w:lastRow="0" w:firstColumn="1" w:lastColumn="0" w:noHBand="0" w:noVBand="1"/>
      </w:tblPr>
      <w:tblGrid>
        <w:gridCol w:w="1183"/>
        <w:gridCol w:w="7832"/>
      </w:tblGrid>
      <w:tr w:rsidR="00FE5D64"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FE5D64" w:rsidRDefault="00E40776">
            <w:pPr>
              <w:pStyle w:val="P68B1DB1-Normal31"/>
            </w:pPr>
            <w:r>
              <w:t xml:space="preserve">Колони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FE5D64" w:rsidRDefault="00E40776">
            <w:pPr>
              <w:pStyle w:val="P68B1DB1-Normal31"/>
            </w:pPr>
            <w:r>
              <w:t xml:space="preserve">Указания </w:t>
            </w:r>
          </w:p>
        </w:tc>
      </w:tr>
      <w:tr w:rsidR="00FE5D64"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FE5D64" w:rsidRDefault="00E40776">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FE5D64" w:rsidRDefault="00E40776">
            <w:pPr>
              <w:pStyle w:val="P68B1DB1-TableParagraph73"/>
              <w:spacing w:before="108"/>
              <w:ind w:left="85"/>
              <w:jc w:val="both"/>
              <w:rPr>
                <w:bCs/>
              </w:rPr>
            </w:pPr>
            <w:r>
              <w:t xml:space="preserve"> NO </w:t>
            </w:r>
          </w:p>
          <w:p w14:paraId="7FE1D1E8" w14:textId="5AB7F74C" w:rsidR="00FE5D64" w:rsidRDefault="00E40776">
            <w:pPr>
              <w:pStyle w:val="P68B1DB1-TableParagraph40"/>
              <w:spacing w:before="108"/>
              <w:ind w:left="85"/>
              <w:jc w:val="both"/>
            </w:pPr>
            <w:r>
              <w:t>Уникален номер/първичен ключ за идентифициране на редовите позиции.</w:t>
            </w:r>
          </w:p>
        </w:tc>
      </w:tr>
      <w:tr w:rsidR="00FE5D64"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FE5D64" w:rsidRDefault="00E40776">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FE5D64" w:rsidRDefault="00E40776">
            <w:pPr>
              <w:pStyle w:val="P68B1DB1-TableParagraph73"/>
              <w:spacing w:before="108"/>
              <w:ind w:left="85"/>
              <w:jc w:val="both"/>
              <w:rPr>
                <w:bCs/>
              </w:rPr>
            </w:pPr>
            <w:r>
              <w:t xml:space="preserve"> Ред </w:t>
            </w:r>
          </w:p>
          <w:p w14:paraId="7FE1D1EC" w14:textId="31DF728D" w:rsidR="00FE5D64" w:rsidRDefault="00E40776">
            <w:pPr>
              <w:pStyle w:val="P68B1DB1-TableParagraph40"/>
              <w:spacing w:before="108"/>
              <w:ind w:left="85"/>
              <w:jc w:val="both"/>
            </w:pPr>
            <w:r>
              <w:t>За всеки пасив трябва да се предостави равнение с категориите пасиви на структурата на пасивите в Z02.00 на равнището на падежа от предварително определен списък от стойности.</w:t>
            </w:r>
          </w:p>
        </w:tc>
      </w:tr>
      <w:tr w:rsidR="00FE5D64"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FE5D64" w:rsidRDefault="00E40776">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FE5D64" w:rsidRDefault="00E40776">
            <w:pPr>
              <w:pStyle w:val="P68B1DB1-TableParagraph40"/>
              <w:spacing w:before="108"/>
              <w:ind w:left="85"/>
              <w:jc w:val="both"/>
              <w:rPr>
                <w:b/>
                <w:bCs/>
              </w:rPr>
            </w:pPr>
            <w:r>
              <w:t xml:space="preserve"> </w:t>
            </w:r>
            <w:r>
              <w:rPr>
                <w:b/>
              </w:rPr>
              <w:t>Колона</w:t>
            </w:r>
          </w:p>
          <w:p w14:paraId="7FE1D1F0" w14:textId="2D865C88" w:rsidR="00FE5D64" w:rsidRDefault="00E40776">
            <w:pPr>
              <w:pStyle w:val="P68B1DB1-TableParagraph40"/>
              <w:spacing w:before="108"/>
              <w:ind w:left="85"/>
              <w:jc w:val="both"/>
            </w:pPr>
            <w:r>
              <w:t>За всеки пасив трябва да се предостави равнение с класа на контрагента в Z 02.00, на който се дължи задължението, от предварително определен списък със стойности.</w:t>
            </w:r>
          </w:p>
        </w:tc>
      </w:tr>
      <w:tr w:rsidR="00FE5D64"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FE5D64" w:rsidRDefault="00E40776">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FE5D64" w:rsidRDefault="00E40776">
            <w:pPr>
              <w:pStyle w:val="P68B1DB1-TableParagraph40"/>
              <w:spacing w:before="108"/>
              <w:ind w:left="85"/>
              <w:jc w:val="both"/>
              <w:rPr>
                <w:b/>
                <w:bCs/>
              </w:rPr>
            </w:pPr>
            <w:r>
              <w:t xml:space="preserve"> </w:t>
            </w:r>
            <w:r>
              <w:rPr>
                <w:b/>
              </w:rPr>
              <w:t>Ранг при несъстоятелност</w:t>
            </w:r>
          </w:p>
          <w:p w14:paraId="7FE1D1F4" w14:textId="16989963" w:rsidR="00FE5D64" w:rsidRDefault="00E40776">
            <w:pPr>
              <w:pStyle w:val="P68B1DB1-TableParagraph40"/>
              <w:spacing w:before="108"/>
              <w:ind w:left="85"/>
              <w:jc w:val="both"/>
            </w:pPr>
            <w:r>
              <w:t>Рангът при несъстоятелност е един от включените в публикуваната от органа за преструктуриране на тази юрисдикция йерархия при несъстоятелност.</w:t>
            </w:r>
          </w:p>
        </w:tc>
      </w:tr>
      <w:tr w:rsidR="00FE5D64"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FE5D64" w:rsidRDefault="00E40776">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FE5D64" w:rsidRDefault="00E40776">
            <w:pPr>
              <w:pStyle w:val="P68B1DB1-TableParagraph73"/>
              <w:spacing w:before="108"/>
              <w:ind w:left="85"/>
              <w:jc w:val="both"/>
              <w:rPr>
                <w:bCs/>
              </w:rPr>
            </w:pPr>
            <w:r>
              <w:t xml:space="preserve">Идентификатор на договора </w:t>
            </w:r>
          </w:p>
          <w:p w14:paraId="7FE1D1F8" w14:textId="77777777" w:rsidR="00FE5D64" w:rsidRDefault="00E40776">
            <w:pPr>
              <w:pStyle w:val="P68B1DB1-TableParagraph40"/>
              <w:spacing w:before="108"/>
              <w:ind w:left="85"/>
              <w:jc w:val="both"/>
            </w:pPr>
            <w:r>
              <w:t>Вътрешен идентификационен код на договора като еквивалентен на ISIN за ценни книжа.</w:t>
            </w:r>
          </w:p>
        </w:tc>
      </w:tr>
      <w:tr w:rsidR="00FE5D64"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FE5D64" w:rsidRDefault="00E40776">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FE5D64" w:rsidRDefault="00E40776">
            <w:pPr>
              <w:pStyle w:val="P68B1DB1-TableParagraph73"/>
              <w:spacing w:before="108"/>
              <w:ind w:left="85"/>
              <w:jc w:val="both"/>
              <w:rPr>
                <w:bCs/>
              </w:rPr>
            </w:pPr>
            <w:r>
              <w:t xml:space="preserve"> Идентификатор на контрагента </w:t>
            </w:r>
          </w:p>
          <w:p w14:paraId="7FE1D1FC" w14:textId="3D6CB4CA" w:rsidR="00FE5D64" w:rsidRDefault="00E40776">
            <w:pPr>
              <w:pStyle w:val="P68B1DB1-TableParagraph40"/>
              <w:spacing w:before="108"/>
              <w:ind w:left="85"/>
              <w:jc w:val="both"/>
            </w:pPr>
            <w:r>
              <w:t>Посочва се ИКПС на кредитора. При липса на ИКПС, в случай на банков отчет, използваният в RIAD идентификатор на ЕЦБ на парични финансови институции (ПФИ). При липса на двата идентификатора се докладва вътрешен идентификатор.</w:t>
            </w:r>
          </w:p>
        </w:tc>
      </w:tr>
      <w:tr w:rsidR="00FE5D64"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FE5D64" w:rsidRDefault="00E40776">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FE5D64" w:rsidRDefault="00E40776">
            <w:pPr>
              <w:pStyle w:val="P68B1DB1-TableParagraph73"/>
              <w:spacing w:before="108"/>
              <w:ind w:left="85"/>
              <w:jc w:val="both"/>
              <w:rPr>
                <w:bCs/>
              </w:rPr>
            </w:pPr>
            <w:r>
              <w:t xml:space="preserve">Вид идентификатор </w:t>
            </w:r>
          </w:p>
          <w:p w14:paraId="7FE1D200" w14:textId="77777777" w:rsidR="00FE5D64" w:rsidRDefault="00E40776">
            <w:pPr>
              <w:pStyle w:val="P68B1DB1-TableParagraph40"/>
              <w:spacing w:before="108"/>
              <w:ind w:left="85"/>
              <w:jc w:val="both"/>
            </w:pPr>
            <w:r>
              <w:t>Избира се измежду следните варианти: „ИКПС „, „Код на ПФИ„или „Вид идентификатор, различен от ИКПС или код на ПФИ“.</w:t>
            </w:r>
          </w:p>
        </w:tc>
      </w:tr>
      <w:tr w:rsidR="00FE5D64"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FE5D64" w:rsidRDefault="00E40776">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FE5D64" w:rsidRDefault="00E40776">
            <w:pPr>
              <w:pStyle w:val="P68B1DB1-TableParagraph40"/>
              <w:spacing w:before="108"/>
              <w:ind w:left="85"/>
              <w:jc w:val="both"/>
              <w:rPr>
                <w:b/>
                <w:bCs/>
              </w:rPr>
            </w:pPr>
            <w:r>
              <w:t xml:space="preserve"> </w:t>
            </w:r>
            <w:r>
              <w:rPr>
                <w:b/>
              </w:rPr>
              <w:t>Приложимо право</w:t>
            </w:r>
          </w:p>
          <w:p w14:paraId="7FE1D204" w14:textId="24CB3395" w:rsidR="00FE5D64" w:rsidRDefault="00E40776">
            <w:pPr>
              <w:pStyle w:val="P68B1DB1-TableParagraph40"/>
              <w:spacing w:before="108"/>
              <w:ind w:left="85"/>
              <w:jc w:val="both"/>
            </w:pPr>
            <w:r>
              <w:t xml:space="preserve">Името на държавата, чието право урежда отговорността. Ако договорът се урежда от правото на повече от една държава, се докладва държавата, чието право има най-голямо </w:t>
            </w:r>
            <w:r>
              <w:lastRenderedPageBreak/>
              <w:t xml:space="preserve">значение за признаването на правомощията за обезценяване и преобразуване.  </w:t>
            </w:r>
          </w:p>
        </w:tc>
      </w:tr>
      <w:tr w:rsidR="00FE5D64"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FE5D64" w:rsidRDefault="00E40776">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FE5D64" w:rsidRDefault="00E40776">
            <w:pPr>
              <w:pStyle w:val="P68B1DB1-TableParagraph40"/>
              <w:spacing w:before="108"/>
              <w:ind w:left="85"/>
              <w:jc w:val="both"/>
              <w:rPr>
                <w:b/>
                <w:bCs/>
              </w:rPr>
            </w:pPr>
            <w:r>
              <w:t xml:space="preserve"> </w:t>
            </w:r>
            <w:r>
              <w:rPr>
                <w:b/>
              </w:rPr>
              <w:t>Вид на нефинансовите пасиви</w:t>
            </w:r>
          </w:p>
          <w:p w14:paraId="7FE1D208" w14:textId="234E81AF" w:rsidR="00FE5D64" w:rsidRDefault="00E40776">
            <w:pPr>
              <w:pStyle w:val="P68B1DB1-TableParagraph40"/>
              <w:spacing w:before="108"/>
              <w:ind w:left="85"/>
              <w:jc w:val="both"/>
            </w:pPr>
            <w:r>
              <w:t>Избира се измежду следните варианти:</w:t>
            </w:r>
          </w:p>
          <w:p w14:paraId="7FE1D209" w14:textId="1B19E45B" w:rsidR="00FE5D64" w:rsidRDefault="00E40776">
            <w:pPr>
              <w:pStyle w:val="P68B1DB1-TableParagraph40"/>
              <w:numPr>
                <w:ilvl w:val="0"/>
                <w:numId w:val="269"/>
              </w:numPr>
              <w:spacing w:before="108"/>
              <w:jc w:val="both"/>
            </w:pPr>
            <w:r>
              <w:t>Фонд за покриване на общи банкови рискове</w:t>
            </w:r>
          </w:p>
          <w:p w14:paraId="7FE1D20A" w14:textId="5F4C425A" w:rsidR="00FE5D64" w:rsidRDefault="00E40776">
            <w:pPr>
              <w:pStyle w:val="P68B1DB1-TableParagraph40"/>
              <w:numPr>
                <w:ilvl w:val="0"/>
                <w:numId w:val="269"/>
              </w:numPr>
              <w:spacing w:before="108"/>
              <w:jc w:val="both"/>
            </w:pPr>
            <w:r>
              <w:t>Пенсии и други задължения за изплащане на дефинирани доходи след напускане</w:t>
            </w:r>
          </w:p>
          <w:p w14:paraId="7FE1D20B" w14:textId="3AEADF9D" w:rsidR="00FE5D64" w:rsidRDefault="00E40776">
            <w:pPr>
              <w:pStyle w:val="P68B1DB1-TableParagraph40"/>
              <w:numPr>
                <w:ilvl w:val="0"/>
                <w:numId w:val="269"/>
              </w:numPr>
              <w:spacing w:before="108"/>
              <w:jc w:val="both"/>
            </w:pPr>
            <w:r>
              <w:t>Доходи на наети лица. Различни от пенсии и други задължения за изплащане на дефинирани доходи след напускане</w:t>
            </w:r>
          </w:p>
          <w:p w14:paraId="7FE1D20C" w14:textId="66AEA5AF" w:rsidR="00FE5D64" w:rsidRDefault="00E40776">
            <w:pPr>
              <w:pStyle w:val="P68B1DB1-TableParagraph40"/>
              <w:numPr>
                <w:ilvl w:val="0"/>
                <w:numId w:val="269"/>
              </w:numPr>
              <w:spacing w:before="108"/>
              <w:jc w:val="both"/>
            </w:pPr>
            <w:r>
              <w:t>Преструктуриране</w:t>
            </w:r>
          </w:p>
          <w:p w14:paraId="7FE1D20D" w14:textId="72D6FCB9" w:rsidR="00FE5D64" w:rsidRDefault="00E40776">
            <w:pPr>
              <w:pStyle w:val="P68B1DB1-TableParagraph40"/>
              <w:numPr>
                <w:ilvl w:val="0"/>
                <w:numId w:val="269"/>
              </w:numPr>
              <w:spacing w:before="108"/>
              <w:jc w:val="both"/>
            </w:pPr>
            <w:r>
              <w:t>Неуредени правни въпроси и данъчни съдебни спорове</w:t>
            </w:r>
          </w:p>
          <w:p w14:paraId="7FE1D20E" w14:textId="6A9A65DF" w:rsidR="00FE5D64" w:rsidRDefault="00E40776">
            <w:pPr>
              <w:pStyle w:val="P68B1DB1-TableParagraph40"/>
              <w:numPr>
                <w:ilvl w:val="0"/>
                <w:numId w:val="269"/>
              </w:numPr>
              <w:spacing w:before="108"/>
              <w:jc w:val="both"/>
            </w:pPr>
            <w:r>
              <w:t>Задбалансови експозиции към кредитен риск</w:t>
            </w:r>
          </w:p>
          <w:p w14:paraId="7FE1D20F" w14:textId="69731D97" w:rsidR="00FE5D64" w:rsidRDefault="00E40776">
            <w:pPr>
              <w:pStyle w:val="P68B1DB1-TableParagraph40"/>
              <w:numPr>
                <w:ilvl w:val="0"/>
                <w:numId w:val="269"/>
              </w:numPr>
              <w:spacing w:before="108"/>
              <w:jc w:val="both"/>
            </w:pPr>
            <w:r>
              <w:t>Различни от доходи на наети лица, преструктуриране, неуредени правни въпроси и данъчни производства, задбалансови позиции, изложени на кредитен риск</w:t>
            </w:r>
          </w:p>
          <w:p w14:paraId="7FE1D210" w14:textId="00431AB4" w:rsidR="00FE5D64" w:rsidRDefault="00E40776">
            <w:pPr>
              <w:pStyle w:val="P68B1DB1-TableParagraph40"/>
              <w:numPr>
                <w:ilvl w:val="0"/>
                <w:numId w:val="269"/>
              </w:numPr>
              <w:spacing w:before="108"/>
              <w:jc w:val="both"/>
            </w:pPr>
            <w:r>
              <w:t>Данъчни пасиви</w:t>
            </w:r>
          </w:p>
          <w:p w14:paraId="7FE1D211" w14:textId="29640DA2" w:rsidR="00FE5D64" w:rsidRDefault="00E40776">
            <w:pPr>
              <w:pStyle w:val="P68B1DB1-TableParagraph40"/>
              <w:numPr>
                <w:ilvl w:val="0"/>
                <w:numId w:val="269"/>
              </w:numPr>
              <w:spacing w:before="108"/>
              <w:jc w:val="both"/>
            </w:pPr>
            <w:r>
              <w:t>Приходи за бъдещи периоди</w:t>
            </w:r>
          </w:p>
          <w:p w14:paraId="7FE1D212" w14:textId="7E6BDA10" w:rsidR="00FE5D64" w:rsidRDefault="00E40776">
            <w:pPr>
              <w:pStyle w:val="P68B1DB1-TableParagraph40"/>
              <w:numPr>
                <w:ilvl w:val="0"/>
                <w:numId w:val="269"/>
              </w:numPr>
              <w:spacing w:before="108"/>
              <w:jc w:val="both"/>
            </w:pPr>
            <w:r>
              <w:t>Пасиви, различни от финансови пасиви, провизии, данъчни пасиви, приходи за бъдещи периоди</w:t>
            </w:r>
          </w:p>
        </w:tc>
      </w:tr>
      <w:tr w:rsidR="00FE5D64"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FE5D64" w:rsidRDefault="00E40776">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FE5D64" w:rsidRDefault="00E40776">
            <w:pPr>
              <w:pStyle w:val="P68B1DB1-TableParagraph40"/>
              <w:spacing w:before="108"/>
              <w:ind w:left="85"/>
              <w:jc w:val="both"/>
              <w:rPr>
                <w:b/>
                <w:bCs/>
              </w:rPr>
            </w:pPr>
            <w:r>
              <w:t xml:space="preserve"> </w:t>
            </w:r>
            <w:r>
              <w:rPr>
                <w:b/>
              </w:rPr>
              <w:t>Неизплатена сума</w:t>
            </w:r>
          </w:p>
          <w:p w14:paraId="7FE1D216" w14:textId="41D11E8B" w:rsidR="00FE5D64" w:rsidRDefault="00E40776">
            <w:pPr>
              <w:pStyle w:val="P68B1DB1-TableParagraph40"/>
              <w:spacing w:before="108"/>
              <w:ind w:left="85"/>
              <w:jc w:val="both"/>
            </w:pPr>
            <w:r>
              <w:t>Неизплатената сума на задължението.</w:t>
            </w:r>
          </w:p>
        </w:tc>
      </w:tr>
      <w:tr w:rsidR="00FE5D64"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FE5D64" w:rsidRDefault="00E40776">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FE5D64" w:rsidRDefault="00E40776">
            <w:pPr>
              <w:pStyle w:val="P68B1DB1-TableParagraph73"/>
              <w:spacing w:before="108"/>
              <w:ind w:left="85"/>
              <w:jc w:val="both"/>
              <w:rPr>
                <w:bCs/>
              </w:rPr>
            </w:pPr>
            <w:r>
              <w:t xml:space="preserve">Валута  </w:t>
            </w:r>
          </w:p>
          <w:p w14:paraId="7FE1D21A" w14:textId="0E8D9FF4" w:rsidR="00FE5D64" w:rsidRDefault="00E40776">
            <w:pPr>
              <w:pStyle w:val="P68B1DB1-TableParagraph40"/>
              <w:spacing w:before="108"/>
              <w:ind w:left="85"/>
              <w:jc w:val="both"/>
            </w:pPr>
            <w:r>
              <w:t>Валутата на задължението се емитира в съответствие с неговия 3-буквен код по ISO 4217.</w:t>
            </w:r>
          </w:p>
        </w:tc>
      </w:tr>
      <w:tr w:rsidR="00FE5D64"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FE5D64" w:rsidRDefault="00E40776">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FE5D64" w:rsidRDefault="00E40776">
            <w:pPr>
              <w:pStyle w:val="P68B1DB1-TableParagraph73"/>
              <w:spacing w:before="108"/>
              <w:ind w:left="85"/>
              <w:jc w:val="both"/>
              <w:rPr>
                <w:bCs/>
              </w:rPr>
            </w:pPr>
            <w:r>
              <w:t xml:space="preserve"> Дата на признаване </w:t>
            </w:r>
          </w:p>
          <w:p w14:paraId="7FE1D21E" w14:textId="6A3E04DE" w:rsidR="00FE5D64" w:rsidRDefault="00E40776">
            <w:pPr>
              <w:pStyle w:val="P68B1DB1-TableParagraph40"/>
              <w:spacing w:before="108"/>
              <w:ind w:left="85"/>
              <w:jc w:val="both"/>
            </w:pPr>
            <w:r>
              <w:t>Дата, на която задължението е било признато във финансовите отчети съгласно приложимите счетоводни стандарти.</w:t>
            </w:r>
          </w:p>
        </w:tc>
      </w:tr>
      <w:tr w:rsidR="00FE5D64"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FE5D64" w:rsidRDefault="00E40776">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FE5D64" w:rsidRDefault="00E40776">
            <w:pPr>
              <w:pStyle w:val="P68B1DB1-TableParagraph73"/>
              <w:spacing w:before="108"/>
              <w:ind w:left="85"/>
              <w:jc w:val="both"/>
              <w:rPr>
                <w:bCs/>
              </w:rPr>
            </w:pPr>
            <w:r>
              <w:t xml:space="preserve">Дата на зрелостта </w:t>
            </w:r>
          </w:p>
          <w:p w14:paraId="7FE1D222" w14:textId="41BB691A" w:rsidR="00FE5D64" w:rsidRDefault="00E40776">
            <w:pPr>
              <w:pStyle w:val="P68B1DB1-TableParagraph40"/>
              <w:spacing w:before="108"/>
              <w:ind w:left="85"/>
              <w:jc w:val="both"/>
            </w:pPr>
            <w:r>
              <w:t>Дата на законния краен срок до падежа на пасива. За безсрочните задължения се вписва „2099—01—31“</w:t>
            </w:r>
          </w:p>
        </w:tc>
      </w:tr>
      <w:tr w:rsidR="00FE5D64"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FE5D64" w:rsidRDefault="00E40776">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FE5D64" w:rsidRDefault="00E40776">
            <w:pPr>
              <w:pStyle w:val="P68B1DB1-TableParagraph40"/>
              <w:spacing w:before="108"/>
              <w:ind w:left="85"/>
              <w:jc w:val="both"/>
              <w:rPr>
                <w:b/>
                <w:bCs/>
              </w:rPr>
            </w:pPr>
            <w:r>
              <w:t xml:space="preserve"> </w:t>
            </w:r>
            <w:r>
              <w:rPr>
                <w:b/>
              </w:rPr>
              <w:t>Квалифицирани като собствени средства</w:t>
            </w:r>
          </w:p>
          <w:p w14:paraId="7FE1D226" w14:textId="3E6ABC96" w:rsidR="00FE5D64" w:rsidRDefault="00E40776">
            <w:pPr>
              <w:pStyle w:val="P68B1DB1-TableParagraph40"/>
              <w:spacing w:before="108"/>
              <w:ind w:left="85"/>
              <w:jc w:val="both"/>
            </w:pPr>
            <w:r>
              <w:t xml:space="preserve">Посочете дали и на какво равнище инструментът е включен в собствения капитал, заедно с информация относно режима за поетапно прекратяване и споразуменията за запазване на придобитите права. Стойността може да бъде „Не „, „Частично AT1, T1 и T2„, „T2 при поетапно извеждане от употреба „, „заварен T2“, „напълно съответстващ T2 „, „заварен AT1„, „напълно съответстващ AT1 „или „CET1“ от предварително определен списък. </w:t>
            </w:r>
          </w:p>
          <w:p w14:paraId="7FE1D227" w14:textId="4662C12C" w:rsidR="00FE5D64" w:rsidRDefault="00E40776">
            <w:pPr>
              <w:pStyle w:val="P68B1DB1-TableParagraph40"/>
              <w:spacing w:before="108"/>
              <w:ind w:left="85"/>
              <w:jc w:val="both"/>
            </w:pPr>
            <w:r>
              <w:t xml:space="preserve"> В списъка с опции терминът „поетапно прекратяване“ се отнася за периода от 5 години преди падежа на даден инструмент Т2, през който има само пропорционално признаване въз основа на оставащия срок до падежа. „Унаследяване „се отнася до всяка преходна мярка, приложима за инструмент Т2, без да се включва „постепенното премахване“. По време на това „заварено положение“ признаването може да бъде пълно или частично.</w:t>
            </w:r>
          </w:p>
        </w:tc>
      </w:tr>
      <w:tr w:rsidR="00FE5D64" w14:paraId="7FE1D22C" w14:textId="77777777">
        <w:tc>
          <w:tcPr>
            <w:tcW w:w="1183" w:type="dxa"/>
            <w:tcBorders>
              <w:top w:val="nil"/>
              <w:left w:val="nil"/>
              <w:bottom w:val="single" w:sz="8" w:space="0" w:color="1A171C"/>
              <w:right w:val="single" w:sz="8" w:space="0" w:color="1A171C"/>
            </w:tcBorders>
            <w:vAlign w:val="center"/>
          </w:tcPr>
          <w:p w14:paraId="7FE1D229" w14:textId="77777777" w:rsidR="00FE5D64" w:rsidRDefault="00E40776">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FE5D64" w:rsidRDefault="00E40776">
            <w:pPr>
              <w:pStyle w:val="P68B1DB1-TableParagraph40"/>
              <w:spacing w:before="108"/>
              <w:ind w:left="85"/>
              <w:jc w:val="both"/>
              <w:rPr>
                <w:b/>
                <w:bCs/>
              </w:rPr>
            </w:pPr>
            <w:r>
              <w:t xml:space="preserve"> </w:t>
            </w:r>
            <w:r>
              <w:rPr>
                <w:b/>
              </w:rPr>
              <w:t>Сума, квалифицирана като собствен капитал</w:t>
            </w:r>
          </w:p>
          <w:p w14:paraId="7FE1D22B" w14:textId="01A9A811" w:rsidR="00FE5D64" w:rsidRDefault="00E40776">
            <w:pPr>
              <w:pStyle w:val="P68B1DB1-TableParagraph40"/>
              <w:spacing w:before="108"/>
              <w:ind w:left="85"/>
              <w:jc w:val="both"/>
            </w:pPr>
            <w:r>
              <w:t>Размерът на инструмента, който отговаря на условията за собствен капитал.</w:t>
            </w:r>
          </w:p>
        </w:tc>
      </w:tr>
    </w:tbl>
    <w:p w14:paraId="7FE1D22D" w14:textId="01F1CEAB" w:rsidR="00FE5D64" w:rsidRDefault="00FE5D64">
      <w:pPr>
        <w:pStyle w:val="body"/>
        <w:rPr>
          <w:rFonts w:ascii="Times New Roman" w:hAnsi="Times New Roman" w:cs="Times New Roman"/>
          <w:sz w:val="20"/>
          <w:szCs w:val="20"/>
        </w:rPr>
      </w:pPr>
    </w:p>
    <w:p w14:paraId="349218F7" w14:textId="77777777" w:rsidR="00FE5D64" w:rsidRDefault="00E40776">
      <w:pPr>
        <w:pStyle w:val="P68B1DB1-Normal19"/>
        <w:spacing w:after="200" w:line="276" w:lineRule="auto"/>
      </w:pPr>
      <w:r>
        <w:lastRenderedPageBreak/>
        <w:br w:type="page"/>
      </w:r>
    </w:p>
    <w:p w14:paraId="42DED9B4" w14:textId="77777777" w:rsidR="00FE5D64" w:rsidRDefault="00FE5D64">
      <w:pPr>
        <w:pStyle w:val="Instructionsberschrift2"/>
        <w:ind w:left="357"/>
        <w:rPr>
          <w:rFonts w:ascii="Times New Roman" w:eastAsia="Calibri" w:hAnsi="Times New Roman" w:cs="Times New Roman"/>
          <w:szCs w:val="20"/>
        </w:rPr>
      </w:pPr>
    </w:p>
    <w:p w14:paraId="4BD624F8" w14:textId="77777777" w:rsidR="00FE5D64" w:rsidRDefault="00FE5D64">
      <w:pPr>
        <w:spacing w:after="200" w:line="276" w:lineRule="auto"/>
        <w:rPr>
          <w:rFonts w:ascii="Times New Roman" w:hAnsi="Times New Roman" w:cs="Times New Roman"/>
          <w:sz w:val="20"/>
          <w:szCs w:val="20"/>
        </w:rPr>
      </w:pPr>
    </w:p>
    <w:p w14:paraId="715529B0" w14:textId="64A141F4" w:rsidR="00FE5D64" w:rsidRDefault="00E40776">
      <w:pPr>
        <w:pStyle w:val="P68B1DB1-Instructionsberschrift284"/>
        <w:numPr>
          <w:ilvl w:val="1"/>
          <w:numId w:val="49"/>
        </w:numPr>
        <w:spacing w:before="0"/>
        <w:ind w:left="357" w:hanging="357"/>
      </w:pPr>
      <w:bookmarkStart w:id="255" w:name="_Toc192248856"/>
      <w:bookmarkStart w:id="256" w:name="_Toc208244491"/>
      <w:r>
        <w:t>Приложение I — Списък на ИФП, които да се използват за Z 09.01 — c0050</w:t>
      </w:r>
      <w:bookmarkEnd w:id="255"/>
      <w:bookmarkEnd w:id="256"/>
    </w:p>
    <w:p w14:paraId="31681B73" w14:textId="51FEAE08" w:rsidR="00FE5D64" w:rsidRDefault="00FE5D64">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FE5D64"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FE5D64" w:rsidRDefault="00E40776">
            <w:pPr>
              <w:pStyle w:val="P68B1DB1-Normal90"/>
            </w:pPr>
            <w:r>
              <w:t>Вписване в падащия списък на ИФП</w:t>
            </w:r>
          </w:p>
        </w:tc>
      </w:tr>
      <w:tr w:rsidR="00FE5D64" w14:paraId="09736821" w14:textId="77777777">
        <w:trPr>
          <w:trHeight w:val="300"/>
        </w:trPr>
        <w:tc>
          <w:tcPr>
            <w:tcW w:w="9072" w:type="dxa"/>
            <w:tcBorders>
              <w:top w:val="nil"/>
              <w:left w:val="nil"/>
              <w:bottom w:val="nil"/>
              <w:right w:val="nil"/>
            </w:tcBorders>
            <w:noWrap/>
            <w:vAlign w:val="bottom"/>
            <w:hideMark/>
          </w:tcPr>
          <w:p w14:paraId="65FBD6FC" w14:textId="77777777" w:rsidR="00FE5D64" w:rsidRDefault="00E40776">
            <w:pPr>
              <w:pStyle w:val="P68B1DB1-Normal91"/>
            </w:pPr>
            <w:bookmarkStart w:id="257" w:name="RANGE!A3:A168"/>
            <w:r>
              <w:t>Служба за клиринг в Атина (ACO)</w:t>
            </w:r>
            <w:bookmarkEnd w:id="257"/>
          </w:p>
        </w:tc>
      </w:tr>
      <w:tr w:rsidR="00FE5D64" w14:paraId="447EB604" w14:textId="77777777">
        <w:trPr>
          <w:trHeight w:val="300"/>
        </w:trPr>
        <w:tc>
          <w:tcPr>
            <w:tcW w:w="9072" w:type="dxa"/>
            <w:tcBorders>
              <w:top w:val="nil"/>
              <w:left w:val="nil"/>
              <w:bottom w:val="nil"/>
              <w:right w:val="nil"/>
            </w:tcBorders>
            <w:noWrap/>
            <w:vAlign w:val="bottom"/>
            <w:hideMark/>
          </w:tcPr>
          <w:p w14:paraId="2B6E60A7" w14:textId="77777777" w:rsidR="00FE5D64" w:rsidRDefault="00E40776">
            <w:pPr>
              <w:pStyle w:val="P68B1DB1-Normal91"/>
            </w:pPr>
            <w:r>
              <w:t>ATHEX (Атинска фондова борса)</w:t>
            </w:r>
          </w:p>
        </w:tc>
      </w:tr>
      <w:tr w:rsidR="00FE5D64" w14:paraId="0DF5C441" w14:textId="77777777">
        <w:trPr>
          <w:trHeight w:val="300"/>
        </w:trPr>
        <w:tc>
          <w:tcPr>
            <w:tcW w:w="9072" w:type="dxa"/>
            <w:tcBorders>
              <w:top w:val="nil"/>
              <w:left w:val="nil"/>
              <w:bottom w:val="nil"/>
              <w:right w:val="nil"/>
            </w:tcBorders>
            <w:noWrap/>
            <w:vAlign w:val="bottom"/>
            <w:hideMark/>
          </w:tcPr>
          <w:p w14:paraId="4C199F01" w14:textId="77777777" w:rsidR="00FE5D64" w:rsidRDefault="00E40776">
            <w:pPr>
              <w:pStyle w:val="P68B1DB1-Normal91"/>
            </w:pPr>
            <w:r>
              <w:t>ATHEX CSD</w:t>
            </w:r>
          </w:p>
        </w:tc>
      </w:tr>
      <w:tr w:rsidR="00FE5D64" w14:paraId="6C8DFF2B" w14:textId="77777777">
        <w:trPr>
          <w:trHeight w:val="300"/>
        </w:trPr>
        <w:tc>
          <w:tcPr>
            <w:tcW w:w="9072" w:type="dxa"/>
            <w:tcBorders>
              <w:top w:val="nil"/>
              <w:left w:val="nil"/>
              <w:bottom w:val="nil"/>
              <w:right w:val="nil"/>
            </w:tcBorders>
            <w:noWrap/>
            <w:vAlign w:val="bottom"/>
            <w:hideMark/>
          </w:tcPr>
          <w:p w14:paraId="2876B1C1" w14:textId="77777777" w:rsidR="00FE5D64" w:rsidRDefault="00E40776">
            <w:pPr>
              <w:pStyle w:val="P68B1DB1-Normal91"/>
            </w:pPr>
            <w:r>
              <w:t>ATHEXClear SA</w:t>
            </w:r>
          </w:p>
        </w:tc>
      </w:tr>
      <w:tr w:rsidR="00FE5D64" w14:paraId="24CE5F78" w14:textId="77777777">
        <w:trPr>
          <w:trHeight w:val="300"/>
        </w:trPr>
        <w:tc>
          <w:tcPr>
            <w:tcW w:w="9072" w:type="dxa"/>
            <w:tcBorders>
              <w:top w:val="nil"/>
              <w:left w:val="nil"/>
              <w:bottom w:val="nil"/>
              <w:right w:val="nil"/>
            </w:tcBorders>
            <w:noWrap/>
            <w:vAlign w:val="bottom"/>
            <w:hideMark/>
          </w:tcPr>
          <w:p w14:paraId="1E830E75" w14:textId="77777777" w:rsidR="00FE5D64" w:rsidRDefault="00E40776">
            <w:pPr>
              <w:pStyle w:val="P68B1DB1-Normal91"/>
            </w:pPr>
            <w:r>
              <w:t>Клирингова къща за КАХ</w:t>
            </w:r>
          </w:p>
        </w:tc>
      </w:tr>
      <w:tr w:rsidR="00FE5D64" w14:paraId="2920AE45" w14:textId="77777777">
        <w:trPr>
          <w:trHeight w:val="300"/>
        </w:trPr>
        <w:tc>
          <w:tcPr>
            <w:tcW w:w="9072" w:type="dxa"/>
            <w:tcBorders>
              <w:top w:val="nil"/>
              <w:left w:val="nil"/>
              <w:bottom w:val="nil"/>
              <w:right w:val="nil"/>
            </w:tcBorders>
            <w:noWrap/>
            <w:vAlign w:val="bottom"/>
            <w:hideMark/>
          </w:tcPr>
          <w:p w14:paraId="1C314494" w14:textId="77777777" w:rsidR="00FE5D64" w:rsidRDefault="00E40776">
            <w:pPr>
              <w:pStyle w:val="P68B1DB1-Normal91"/>
            </w:pPr>
            <w:r>
              <w:t>Автоматизирана клирингова система за сетълмент (ACSS)</w:t>
            </w:r>
          </w:p>
        </w:tc>
      </w:tr>
      <w:tr w:rsidR="00FE5D64" w14:paraId="1DB8A80A" w14:textId="77777777">
        <w:trPr>
          <w:trHeight w:val="300"/>
        </w:trPr>
        <w:tc>
          <w:tcPr>
            <w:tcW w:w="9072" w:type="dxa"/>
            <w:tcBorders>
              <w:top w:val="nil"/>
              <w:left w:val="nil"/>
              <w:bottom w:val="nil"/>
              <w:right w:val="nil"/>
            </w:tcBorders>
            <w:noWrap/>
            <w:vAlign w:val="bottom"/>
            <w:hideMark/>
          </w:tcPr>
          <w:p w14:paraId="65CA5200" w14:textId="77777777" w:rsidR="00FE5D64" w:rsidRDefault="00E40776">
            <w:pPr>
              <w:pStyle w:val="P68B1DB1-Normal91"/>
            </w:pPr>
            <w:r>
              <w:t>BACS (Автоматизирани клирингови услуги на банкери)</w:t>
            </w:r>
          </w:p>
        </w:tc>
      </w:tr>
      <w:tr w:rsidR="00FE5D64" w14:paraId="0C931590" w14:textId="77777777">
        <w:trPr>
          <w:trHeight w:val="300"/>
        </w:trPr>
        <w:tc>
          <w:tcPr>
            <w:tcW w:w="9072" w:type="dxa"/>
            <w:tcBorders>
              <w:top w:val="nil"/>
              <w:left w:val="nil"/>
              <w:bottom w:val="nil"/>
              <w:right w:val="nil"/>
            </w:tcBorders>
            <w:noWrap/>
            <w:vAlign w:val="bottom"/>
            <w:hideMark/>
          </w:tcPr>
          <w:p w14:paraId="50133989" w14:textId="77777777" w:rsidR="00FE5D64" w:rsidRDefault="00E40776">
            <w:pPr>
              <w:pStyle w:val="P68B1DB1-Normal91"/>
            </w:pPr>
            <w:r>
              <w:t>Bankgirot (Bankgirocentralen BGC AB)</w:t>
            </w:r>
          </w:p>
        </w:tc>
      </w:tr>
      <w:tr w:rsidR="00FE5D64" w14:paraId="2F8CAEE4" w14:textId="77777777">
        <w:trPr>
          <w:trHeight w:val="300"/>
        </w:trPr>
        <w:tc>
          <w:tcPr>
            <w:tcW w:w="9072" w:type="dxa"/>
            <w:tcBorders>
              <w:top w:val="nil"/>
              <w:left w:val="nil"/>
              <w:bottom w:val="nil"/>
              <w:right w:val="nil"/>
            </w:tcBorders>
            <w:noWrap/>
            <w:vAlign w:val="bottom"/>
            <w:hideMark/>
          </w:tcPr>
          <w:p w14:paraId="01AEF229" w14:textId="77777777" w:rsidR="00FE5D64" w:rsidRDefault="00E40776">
            <w:pPr>
              <w:pStyle w:val="P68B1DB1-Normal91"/>
            </w:pPr>
            <w:r>
              <w:t>BI-COMP</w:t>
            </w:r>
          </w:p>
        </w:tc>
      </w:tr>
      <w:tr w:rsidR="00FE5D64" w14:paraId="7736D7E4" w14:textId="77777777">
        <w:trPr>
          <w:trHeight w:val="300"/>
        </w:trPr>
        <w:tc>
          <w:tcPr>
            <w:tcW w:w="9072" w:type="dxa"/>
            <w:tcBorders>
              <w:top w:val="nil"/>
              <w:left w:val="nil"/>
              <w:bottom w:val="nil"/>
              <w:right w:val="nil"/>
            </w:tcBorders>
            <w:noWrap/>
            <w:vAlign w:val="bottom"/>
            <w:hideMark/>
          </w:tcPr>
          <w:p w14:paraId="431E29D0" w14:textId="77777777" w:rsidR="00FE5D64" w:rsidRDefault="00E40776">
            <w:pPr>
              <w:pStyle w:val="P68B1DB1-Normal91"/>
            </w:pPr>
            <w:r>
              <w:t>Bisera (Банкова интегрирана система за електронни плащания)</w:t>
            </w:r>
          </w:p>
        </w:tc>
      </w:tr>
      <w:tr w:rsidR="00FE5D64" w14:paraId="7AE977D3" w14:textId="77777777">
        <w:trPr>
          <w:trHeight w:val="300"/>
        </w:trPr>
        <w:tc>
          <w:tcPr>
            <w:tcW w:w="9072" w:type="dxa"/>
            <w:tcBorders>
              <w:top w:val="nil"/>
              <w:left w:val="nil"/>
              <w:bottom w:val="nil"/>
              <w:right w:val="nil"/>
            </w:tcBorders>
            <w:noWrap/>
            <w:vAlign w:val="bottom"/>
            <w:hideMark/>
          </w:tcPr>
          <w:p w14:paraId="0E054309" w14:textId="77777777" w:rsidR="00FE5D64" w:rsidRDefault="00E40776">
            <w:pPr>
              <w:pStyle w:val="P68B1DB1-Normal91"/>
            </w:pPr>
            <w:r>
              <w:t>Bloomberg Trade Repository Limited</w:t>
            </w:r>
          </w:p>
        </w:tc>
      </w:tr>
      <w:tr w:rsidR="00FE5D64" w14:paraId="3DEFBBB0" w14:textId="77777777">
        <w:trPr>
          <w:trHeight w:val="300"/>
        </w:trPr>
        <w:tc>
          <w:tcPr>
            <w:tcW w:w="9072" w:type="dxa"/>
            <w:tcBorders>
              <w:top w:val="nil"/>
              <w:left w:val="nil"/>
              <w:bottom w:val="nil"/>
              <w:right w:val="nil"/>
            </w:tcBorders>
            <w:noWrap/>
            <w:vAlign w:val="bottom"/>
            <w:hideMark/>
          </w:tcPr>
          <w:p w14:paraId="69A6C566" w14:textId="77777777" w:rsidR="00FE5D64" w:rsidRDefault="00E40776">
            <w:pPr>
              <w:pStyle w:val="P68B1DB1-Normal91"/>
            </w:pPr>
            <w:r>
              <w:t>BME</w:t>
            </w:r>
          </w:p>
        </w:tc>
      </w:tr>
      <w:tr w:rsidR="00FE5D64" w14:paraId="6C4EE14D" w14:textId="77777777">
        <w:trPr>
          <w:trHeight w:val="300"/>
        </w:trPr>
        <w:tc>
          <w:tcPr>
            <w:tcW w:w="9072" w:type="dxa"/>
            <w:tcBorders>
              <w:top w:val="nil"/>
              <w:left w:val="nil"/>
              <w:bottom w:val="nil"/>
              <w:right w:val="nil"/>
            </w:tcBorders>
            <w:noWrap/>
            <w:vAlign w:val="bottom"/>
            <w:hideMark/>
          </w:tcPr>
          <w:p w14:paraId="31001C6A" w14:textId="77777777" w:rsidR="00FE5D64" w:rsidRDefault="00E40776">
            <w:pPr>
              <w:pStyle w:val="P68B1DB1-Normal91"/>
            </w:pPr>
            <w:r>
              <w:t>Клиринг на BME</w:t>
            </w:r>
          </w:p>
        </w:tc>
      </w:tr>
      <w:tr w:rsidR="00FE5D64" w14:paraId="3ADECE08" w14:textId="77777777">
        <w:trPr>
          <w:trHeight w:val="300"/>
        </w:trPr>
        <w:tc>
          <w:tcPr>
            <w:tcW w:w="9072" w:type="dxa"/>
            <w:tcBorders>
              <w:top w:val="nil"/>
              <w:left w:val="nil"/>
              <w:bottom w:val="nil"/>
              <w:right w:val="nil"/>
            </w:tcBorders>
            <w:noWrap/>
            <w:vAlign w:val="bottom"/>
            <w:hideMark/>
          </w:tcPr>
          <w:p w14:paraId="29263C2A" w14:textId="77777777" w:rsidR="00FE5D64" w:rsidRDefault="00E40776">
            <w:pPr>
              <w:pStyle w:val="P68B1DB1-Normal91"/>
            </w:pPr>
            <w:r>
              <w:t>Bogs (Bank of Greece Settlement System) (Банка на Гърция за сетълмент на ценни книжа)</w:t>
            </w:r>
          </w:p>
        </w:tc>
      </w:tr>
      <w:tr w:rsidR="00FE5D64" w14:paraId="6CCCB9AC" w14:textId="77777777">
        <w:trPr>
          <w:trHeight w:val="300"/>
        </w:trPr>
        <w:tc>
          <w:tcPr>
            <w:tcW w:w="9072" w:type="dxa"/>
            <w:tcBorders>
              <w:top w:val="nil"/>
              <w:left w:val="nil"/>
              <w:bottom w:val="nil"/>
              <w:right w:val="nil"/>
            </w:tcBorders>
            <w:noWrap/>
            <w:vAlign w:val="bottom"/>
            <w:hideMark/>
          </w:tcPr>
          <w:p w14:paraId="1092DA48" w14:textId="77777777" w:rsidR="00FE5D64" w:rsidRDefault="00E40776">
            <w:pPr>
              <w:pStyle w:val="P68B1DB1-Normal91"/>
            </w:pPr>
            <w:r>
              <w:t>BOJ-NET</w:t>
            </w:r>
          </w:p>
        </w:tc>
      </w:tr>
      <w:tr w:rsidR="00FE5D64" w14:paraId="4CEE7A6B" w14:textId="77777777">
        <w:trPr>
          <w:trHeight w:val="300"/>
        </w:trPr>
        <w:tc>
          <w:tcPr>
            <w:tcW w:w="9072" w:type="dxa"/>
            <w:tcBorders>
              <w:top w:val="nil"/>
              <w:left w:val="nil"/>
              <w:bottom w:val="nil"/>
              <w:right w:val="nil"/>
            </w:tcBorders>
            <w:noWrap/>
            <w:vAlign w:val="bottom"/>
            <w:hideMark/>
          </w:tcPr>
          <w:p w14:paraId="04FBDA33" w14:textId="77777777" w:rsidR="00FE5D64" w:rsidRDefault="00E40776">
            <w:pPr>
              <w:pStyle w:val="P68B1DB1-Normal91"/>
            </w:pPr>
            <w:r>
              <w:t>BondSpot S.A.</w:t>
            </w:r>
          </w:p>
        </w:tc>
      </w:tr>
      <w:tr w:rsidR="00FE5D64" w14:paraId="3B8A9B67" w14:textId="77777777">
        <w:trPr>
          <w:trHeight w:val="300"/>
        </w:trPr>
        <w:tc>
          <w:tcPr>
            <w:tcW w:w="9072" w:type="dxa"/>
            <w:tcBorders>
              <w:top w:val="nil"/>
              <w:left w:val="nil"/>
              <w:bottom w:val="nil"/>
              <w:right w:val="nil"/>
            </w:tcBorders>
            <w:noWrap/>
            <w:vAlign w:val="bottom"/>
            <w:hideMark/>
          </w:tcPr>
          <w:p w14:paraId="73DB34EF" w14:textId="77777777" w:rsidR="00FE5D64" w:rsidRDefault="00E40776">
            <w:pPr>
              <w:pStyle w:val="P68B1DB1-Normal91"/>
            </w:pPr>
            <w:r>
              <w:t>БОРИКА</w:t>
            </w:r>
          </w:p>
        </w:tc>
      </w:tr>
      <w:tr w:rsidR="00FE5D64" w14:paraId="5E8D43A2" w14:textId="77777777">
        <w:trPr>
          <w:trHeight w:val="300"/>
        </w:trPr>
        <w:tc>
          <w:tcPr>
            <w:tcW w:w="9072" w:type="dxa"/>
            <w:tcBorders>
              <w:top w:val="nil"/>
              <w:left w:val="nil"/>
              <w:bottom w:val="nil"/>
              <w:right w:val="nil"/>
            </w:tcBorders>
            <w:noWrap/>
            <w:vAlign w:val="bottom"/>
            <w:hideMark/>
          </w:tcPr>
          <w:p w14:paraId="4F788B85" w14:textId="77777777" w:rsidR="00FE5D64" w:rsidRDefault="00E40776">
            <w:pPr>
              <w:pStyle w:val="P68B1DB1-Normal91"/>
            </w:pPr>
            <w:r>
              <w:t>Borsa Italiana SpA</w:t>
            </w:r>
          </w:p>
        </w:tc>
      </w:tr>
      <w:tr w:rsidR="00FE5D64" w14:paraId="0034826C" w14:textId="77777777">
        <w:trPr>
          <w:trHeight w:val="300"/>
        </w:trPr>
        <w:tc>
          <w:tcPr>
            <w:tcW w:w="9072" w:type="dxa"/>
            <w:tcBorders>
              <w:top w:val="nil"/>
              <w:left w:val="nil"/>
              <w:bottom w:val="nil"/>
              <w:right w:val="nil"/>
            </w:tcBorders>
            <w:noWrap/>
            <w:vAlign w:val="bottom"/>
            <w:hideMark/>
          </w:tcPr>
          <w:p w14:paraId="6C688147" w14:textId="77777777" w:rsidR="00FE5D64" w:rsidRDefault="00E40776">
            <w:pPr>
              <w:pStyle w:val="P68B1DB1-Normal91"/>
            </w:pPr>
            <w:r>
              <w:t>Bratislava Stock Exchange (Братиславска фондова борса)</w:t>
            </w:r>
          </w:p>
        </w:tc>
      </w:tr>
      <w:tr w:rsidR="00FE5D64" w14:paraId="2ACAB3C1" w14:textId="77777777">
        <w:trPr>
          <w:trHeight w:val="300"/>
        </w:trPr>
        <w:tc>
          <w:tcPr>
            <w:tcW w:w="9072" w:type="dxa"/>
            <w:tcBorders>
              <w:top w:val="nil"/>
              <w:left w:val="nil"/>
              <w:bottom w:val="nil"/>
              <w:right w:val="nil"/>
            </w:tcBorders>
            <w:noWrap/>
            <w:vAlign w:val="bottom"/>
            <w:hideMark/>
          </w:tcPr>
          <w:p w14:paraId="797C25FF" w14:textId="77777777" w:rsidR="00FE5D64" w:rsidRDefault="00E40776">
            <w:pPr>
              <w:pStyle w:val="P68B1DB1-Normal91"/>
            </w:pPr>
            <w:r>
              <w:t>Будапещенска фондова борса</w:t>
            </w:r>
          </w:p>
        </w:tc>
      </w:tr>
      <w:tr w:rsidR="00FE5D64" w14:paraId="7928BB77" w14:textId="77777777">
        <w:trPr>
          <w:trHeight w:val="300"/>
        </w:trPr>
        <w:tc>
          <w:tcPr>
            <w:tcW w:w="9072" w:type="dxa"/>
            <w:tcBorders>
              <w:top w:val="nil"/>
              <w:left w:val="nil"/>
              <w:bottom w:val="nil"/>
              <w:right w:val="nil"/>
            </w:tcBorders>
            <w:noWrap/>
            <w:vAlign w:val="bottom"/>
            <w:hideMark/>
          </w:tcPr>
          <w:p w14:paraId="3D5ECE9A" w14:textId="77777777" w:rsidR="00FE5D64" w:rsidRDefault="00E40776">
            <w:pPr>
              <w:pStyle w:val="P68B1DB1-Normal91"/>
            </w:pPr>
            <w:r>
              <w:t>Българска фондова борса</w:t>
            </w:r>
          </w:p>
        </w:tc>
      </w:tr>
      <w:tr w:rsidR="00FE5D64" w14:paraId="3ED0C0E7" w14:textId="77777777">
        <w:trPr>
          <w:trHeight w:val="300"/>
        </w:trPr>
        <w:tc>
          <w:tcPr>
            <w:tcW w:w="9072" w:type="dxa"/>
            <w:tcBorders>
              <w:top w:val="nil"/>
              <w:left w:val="nil"/>
              <w:bottom w:val="nil"/>
              <w:right w:val="nil"/>
            </w:tcBorders>
            <w:noWrap/>
            <w:vAlign w:val="bottom"/>
            <w:hideMark/>
          </w:tcPr>
          <w:p w14:paraId="2AACB60C" w14:textId="77777777" w:rsidR="00FE5D64" w:rsidRDefault="00E40776">
            <w:pPr>
              <w:pStyle w:val="P68B1DB1-Normal91"/>
            </w:pPr>
            <w:r>
              <w:t>Bursa de Valori Bucaresti</w:t>
            </w:r>
          </w:p>
        </w:tc>
      </w:tr>
      <w:tr w:rsidR="00FE5D64" w14:paraId="358B0CBB" w14:textId="77777777">
        <w:trPr>
          <w:trHeight w:val="300"/>
        </w:trPr>
        <w:tc>
          <w:tcPr>
            <w:tcW w:w="9072" w:type="dxa"/>
            <w:tcBorders>
              <w:top w:val="nil"/>
              <w:left w:val="nil"/>
              <w:bottom w:val="nil"/>
              <w:right w:val="nil"/>
            </w:tcBorders>
            <w:noWrap/>
            <w:vAlign w:val="bottom"/>
            <w:hideMark/>
          </w:tcPr>
          <w:p w14:paraId="69852FE3" w14:textId="77777777" w:rsidR="00FE5D64" w:rsidRDefault="00E40776">
            <w:pPr>
              <w:pStyle w:val="P68B1DB1-Normal91"/>
            </w:pPr>
            <w:r>
              <w:t>Burza cenných papírť Praha, a.s. (Прага, фондова борса)</w:t>
            </w:r>
          </w:p>
        </w:tc>
      </w:tr>
      <w:tr w:rsidR="00FE5D64" w14:paraId="2BEFFD1A" w14:textId="77777777">
        <w:trPr>
          <w:trHeight w:val="300"/>
        </w:trPr>
        <w:tc>
          <w:tcPr>
            <w:tcW w:w="9072" w:type="dxa"/>
            <w:tcBorders>
              <w:top w:val="nil"/>
              <w:left w:val="nil"/>
              <w:bottom w:val="nil"/>
              <w:right w:val="nil"/>
            </w:tcBorders>
            <w:noWrap/>
            <w:vAlign w:val="bottom"/>
            <w:hideMark/>
          </w:tcPr>
          <w:p w14:paraId="32741FAD" w14:textId="77777777" w:rsidR="00FE5D64" w:rsidRDefault="00E40776">
            <w:pPr>
              <w:pStyle w:val="P68B1DB1-Normal91"/>
            </w:pPr>
            <w:r>
              <w:t>Канадски депозитар на ценни книжа (CDS)</w:t>
            </w:r>
          </w:p>
        </w:tc>
      </w:tr>
      <w:tr w:rsidR="00FE5D64" w14:paraId="588D9A6E" w14:textId="77777777">
        <w:trPr>
          <w:trHeight w:val="300"/>
        </w:trPr>
        <w:tc>
          <w:tcPr>
            <w:tcW w:w="9072" w:type="dxa"/>
            <w:tcBorders>
              <w:top w:val="nil"/>
              <w:left w:val="nil"/>
              <w:bottom w:val="nil"/>
              <w:right w:val="nil"/>
            </w:tcBorders>
            <w:noWrap/>
            <w:vAlign w:val="bottom"/>
            <w:hideMark/>
          </w:tcPr>
          <w:p w14:paraId="30CD8C56" w14:textId="77777777" w:rsidR="00FE5D64" w:rsidRDefault="00E40776">
            <w:pPr>
              <w:pStyle w:val="P68B1DB1-Normal91"/>
            </w:pPr>
            <w:r>
              <w:t>Canadian Derivatives Clearing Corporation (Канадска клирингова корпорация за деривати)</w:t>
            </w:r>
          </w:p>
        </w:tc>
      </w:tr>
      <w:tr w:rsidR="00FE5D64" w14:paraId="47A4B165" w14:textId="77777777">
        <w:trPr>
          <w:trHeight w:val="300"/>
        </w:trPr>
        <w:tc>
          <w:tcPr>
            <w:tcW w:w="9072" w:type="dxa"/>
            <w:tcBorders>
              <w:top w:val="nil"/>
              <w:left w:val="nil"/>
              <w:bottom w:val="nil"/>
              <w:right w:val="nil"/>
            </w:tcBorders>
            <w:noWrap/>
            <w:vAlign w:val="bottom"/>
          </w:tcPr>
          <w:p w14:paraId="4B6A49F9" w14:textId="77777777" w:rsidR="00FE5D64" w:rsidRDefault="00E40776">
            <w:pPr>
              <w:pStyle w:val="P68B1DB1-Normal91"/>
            </w:pPr>
            <w:r>
              <w:t>Cboe Clear Europe</w:t>
            </w:r>
          </w:p>
        </w:tc>
      </w:tr>
      <w:tr w:rsidR="00FE5D64" w14:paraId="00F4E07D" w14:textId="77777777">
        <w:trPr>
          <w:trHeight w:val="300"/>
        </w:trPr>
        <w:tc>
          <w:tcPr>
            <w:tcW w:w="9072" w:type="dxa"/>
            <w:tcBorders>
              <w:top w:val="nil"/>
              <w:left w:val="nil"/>
              <w:bottom w:val="nil"/>
              <w:right w:val="nil"/>
            </w:tcBorders>
            <w:noWrap/>
            <w:vAlign w:val="bottom"/>
            <w:hideMark/>
          </w:tcPr>
          <w:p w14:paraId="143644AA" w14:textId="77777777" w:rsidR="00FE5D64" w:rsidRDefault="00E40776">
            <w:pPr>
              <w:pStyle w:val="P68B1DB1-Normal91"/>
            </w:pPr>
            <w:r>
              <w:t>CCP Австрия</w:t>
            </w:r>
          </w:p>
        </w:tc>
      </w:tr>
      <w:tr w:rsidR="00FE5D64" w14:paraId="49668E14" w14:textId="77777777">
        <w:trPr>
          <w:trHeight w:val="300"/>
        </w:trPr>
        <w:tc>
          <w:tcPr>
            <w:tcW w:w="9072" w:type="dxa"/>
            <w:tcBorders>
              <w:top w:val="nil"/>
              <w:left w:val="nil"/>
              <w:bottom w:val="nil"/>
              <w:right w:val="nil"/>
            </w:tcBorders>
            <w:noWrap/>
            <w:vAlign w:val="bottom"/>
            <w:hideMark/>
          </w:tcPr>
          <w:p w14:paraId="4D54CDC3" w14:textId="77777777" w:rsidR="00FE5D64" w:rsidRDefault="00E40776">
            <w:pPr>
              <w:pStyle w:val="P68B1DB1-Normal91"/>
            </w:pPr>
            <w:r>
              <w:t>CEC/UCV</w:t>
            </w:r>
          </w:p>
        </w:tc>
      </w:tr>
      <w:tr w:rsidR="00FE5D64" w14:paraId="13CEB735" w14:textId="77777777">
        <w:trPr>
          <w:trHeight w:val="300"/>
        </w:trPr>
        <w:tc>
          <w:tcPr>
            <w:tcW w:w="9072" w:type="dxa"/>
            <w:tcBorders>
              <w:top w:val="nil"/>
              <w:left w:val="nil"/>
              <w:bottom w:val="nil"/>
              <w:right w:val="nil"/>
            </w:tcBorders>
            <w:noWrap/>
            <w:vAlign w:val="bottom"/>
            <w:hideMark/>
          </w:tcPr>
          <w:p w14:paraId="7E656B34" w14:textId="77777777" w:rsidR="00FE5D64" w:rsidRDefault="00E40776">
            <w:pPr>
              <w:pStyle w:val="P68B1DB1-Normal91"/>
            </w:pPr>
            <w:r>
              <w:t>CEESEG AG (Wiener Borse)</w:t>
            </w:r>
          </w:p>
        </w:tc>
      </w:tr>
      <w:tr w:rsidR="00FE5D64" w14:paraId="38BBF453" w14:textId="77777777">
        <w:trPr>
          <w:trHeight w:val="300"/>
        </w:trPr>
        <w:tc>
          <w:tcPr>
            <w:tcW w:w="9072" w:type="dxa"/>
            <w:tcBorders>
              <w:top w:val="nil"/>
              <w:left w:val="nil"/>
              <w:bottom w:val="nil"/>
              <w:right w:val="nil"/>
            </w:tcBorders>
            <w:noWrap/>
            <w:vAlign w:val="bottom"/>
            <w:hideMark/>
          </w:tcPr>
          <w:p w14:paraId="7C5735E8" w14:textId="77777777" w:rsidR="00FE5D64" w:rsidRDefault="00E40776">
            <w:pPr>
              <w:pStyle w:val="P68B1DB1-Normal91"/>
            </w:pPr>
            <w:r>
              <w:t>Централен депозитар — клирингово дружество</w:t>
            </w:r>
          </w:p>
        </w:tc>
      </w:tr>
      <w:tr w:rsidR="00FE5D64" w14:paraId="100E6E04" w14:textId="77777777">
        <w:trPr>
          <w:trHeight w:val="300"/>
        </w:trPr>
        <w:tc>
          <w:tcPr>
            <w:tcW w:w="9072" w:type="dxa"/>
            <w:tcBorders>
              <w:top w:val="nil"/>
              <w:left w:val="nil"/>
              <w:bottom w:val="nil"/>
              <w:right w:val="nil"/>
            </w:tcBorders>
            <w:noWrap/>
            <w:vAlign w:val="bottom"/>
            <w:hideMark/>
          </w:tcPr>
          <w:p w14:paraId="1D98F57D" w14:textId="77777777" w:rsidR="00FE5D64" w:rsidRDefault="00E40776">
            <w:pPr>
              <w:pStyle w:val="P68B1DB1-Normal91"/>
            </w:pPr>
            <w:r>
              <w:t>Централен депозитар АД</w:t>
            </w:r>
          </w:p>
        </w:tc>
      </w:tr>
      <w:tr w:rsidR="00FE5D64" w14:paraId="3E41A5D7" w14:textId="77777777">
        <w:trPr>
          <w:trHeight w:val="300"/>
        </w:trPr>
        <w:tc>
          <w:tcPr>
            <w:tcW w:w="9072" w:type="dxa"/>
            <w:tcBorders>
              <w:top w:val="nil"/>
              <w:left w:val="nil"/>
              <w:bottom w:val="nil"/>
              <w:right w:val="nil"/>
            </w:tcBorders>
            <w:noWrap/>
            <w:vAlign w:val="bottom"/>
            <w:hideMark/>
          </w:tcPr>
          <w:p w14:paraId="149F4C5F" w14:textId="77777777" w:rsidR="00FE5D64" w:rsidRDefault="00E40776">
            <w:pPr>
              <w:pStyle w:val="P68B1DB1-Normal91"/>
            </w:pPr>
            <w:r>
              <w:t>Централен депозитар и централен регистър</w:t>
            </w:r>
          </w:p>
        </w:tc>
      </w:tr>
      <w:tr w:rsidR="00FE5D64" w14:paraId="1B4CF3CD" w14:textId="77777777">
        <w:trPr>
          <w:trHeight w:val="300"/>
        </w:trPr>
        <w:tc>
          <w:tcPr>
            <w:tcW w:w="9072" w:type="dxa"/>
            <w:tcBorders>
              <w:top w:val="nil"/>
              <w:left w:val="nil"/>
              <w:bottom w:val="nil"/>
              <w:right w:val="nil"/>
            </w:tcBorders>
            <w:noWrap/>
            <w:vAlign w:val="bottom"/>
            <w:hideMark/>
          </w:tcPr>
          <w:p w14:paraId="7783EDF6" w14:textId="77777777" w:rsidR="00FE5D64" w:rsidRDefault="00E40776">
            <w:pPr>
              <w:pStyle w:val="P68B1DB1-Normal91"/>
            </w:pPr>
            <w:r>
              <w:t>Centralna klirinško depotna družba (KDD)</w:t>
            </w:r>
          </w:p>
        </w:tc>
      </w:tr>
      <w:tr w:rsidR="00FE5D64" w14:paraId="7812614A" w14:textId="77777777">
        <w:trPr>
          <w:trHeight w:val="300"/>
        </w:trPr>
        <w:tc>
          <w:tcPr>
            <w:tcW w:w="9072" w:type="dxa"/>
            <w:tcBorders>
              <w:top w:val="nil"/>
              <w:left w:val="nil"/>
              <w:bottom w:val="nil"/>
              <w:right w:val="nil"/>
            </w:tcBorders>
            <w:noWrap/>
            <w:vAlign w:val="bottom"/>
            <w:hideMark/>
          </w:tcPr>
          <w:p w14:paraId="7231B5A5" w14:textId="77777777" w:rsidR="00FE5D64" w:rsidRDefault="00E40776">
            <w:pPr>
              <w:pStyle w:val="P68B1DB1-Normal91"/>
            </w:pPr>
            <w:r>
              <w:t>Centrální depozitár cenných papíru SR a.s. (CDCP)/Централен депозитар на ценни книжа Прага</w:t>
            </w:r>
          </w:p>
        </w:tc>
      </w:tr>
      <w:tr w:rsidR="00FE5D64" w14:paraId="3DFD9976" w14:textId="77777777">
        <w:trPr>
          <w:trHeight w:val="300"/>
        </w:trPr>
        <w:tc>
          <w:tcPr>
            <w:tcW w:w="9072" w:type="dxa"/>
            <w:tcBorders>
              <w:top w:val="nil"/>
              <w:left w:val="nil"/>
              <w:bottom w:val="nil"/>
              <w:right w:val="nil"/>
            </w:tcBorders>
            <w:noWrap/>
            <w:vAlign w:val="bottom"/>
            <w:hideMark/>
          </w:tcPr>
          <w:p w14:paraId="742B58E1" w14:textId="77777777" w:rsidR="00FE5D64" w:rsidRDefault="00E40776">
            <w:pPr>
              <w:pStyle w:val="P68B1DB1-Normal91"/>
            </w:pPr>
            <w:r>
              <w:t>Centrálny Depositár cenných Papierov (CDCP) SR</w:t>
            </w:r>
          </w:p>
        </w:tc>
      </w:tr>
      <w:tr w:rsidR="00FE5D64" w14:paraId="0C3666C6" w14:textId="77777777">
        <w:trPr>
          <w:trHeight w:val="300"/>
        </w:trPr>
        <w:tc>
          <w:tcPr>
            <w:tcW w:w="9072" w:type="dxa"/>
            <w:tcBorders>
              <w:top w:val="nil"/>
              <w:left w:val="nil"/>
              <w:bottom w:val="nil"/>
              <w:right w:val="nil"/>
            </w:tcBorders>
            <w:noWrap/>
            <w:vAlign w:val="bottom"/>
            <w:hideMark/>
          </w:tcPr>
          <w:p w14:paraId="44F52918" w14:textId="77777777" w:rsidR="00FE5D64" w:rsidRDefault="00E40776">
            <w:pPr>
              <w:pStyle w:val="P68B1DB1-Normal91"/>
            </w:pPr>
            <w:r>
              <w:t>CENTROlink</w:t>
            </w:r>
          </w:p>
        </w:tc>
      </w:tr>
      <w:tr w:rsidR="00FE5D64" w14:paraId="1BAAD6F5" w14:textId="77777777">
        <w:trPr>
          <w:trHeight w:val="300"/>
        </w:trPr>
        <w:tc>
          <w:tcPr>
            <w:tcW w:w="9072" w:type="dxa"/>
            <w:tcBorders>
              <w:top w:val="nil"/>
              <w:left w:val="nil"/>
              <w:bottom w:val="nil"/>
              <w:right w:val="nil"/>
            </w:tcBorders>
            <w:noWrap/>
            <w:vAlign w:val="bottom"/>
            <w:hideMark/>
          </w:tcPr>
          <w:p w14:paraId="1E11605F" w14:textId="77777777" w:rsidR="00FE5D64" w:rsidRDefault="00E40776">
            <w:pPr>
              <w:pStyle w:val="P68B1DB1-Normal91"/>
            </w:pPr>
            <w:r>
              <w:t>Certis (Czech Express Real Time Interbank Gross Settlement System)</w:t>
            </w:r>
          </w:p>
        </w:tc>
      </w:tr>
      <w:tr w:rsidR="00FE5D64" w14:paraId="58D71B59" w14:textId="77777777">
        <w:trPr>
          <w:trHeight w:val="300"/>
        </w:trPr>
        <w:tc>
          <w:tcPr>
            <w:tcW w:w="9072" w:type="dxa"/>
            <w:tcBorders>
              <w:top w:val="nil"/>
              <w:left w:val="nil"/>
              <w:bottom w:val="nil"/>
              <w:right w:val="nil"/>
            </w:tcBorders>
            <w:noWrap/>
            <w:vAlign w:val="bottom"/>
            <w:hideMark/>
          </w:tcPr>
          <w:p w14:paraId="0405428F" w14:textId="77777777" w:rsidR="00FE5D64" w:rsidRDefault="00E40776">
            <w:pPr>
              <w:pStyle w:val="P68B1DB1-Normal91"/>
            </w:pPr>
            <w:r>
              <w:t>Система за автоматизирано плащане от клиринговата къща (Chlearing House Automated Payment System)</w:t>
            </w:r>
          </w:p>
        </w:tc>
      </w:tr>
      <w:tr w:rsidR="00FE5D64" w14:paraId="0F052492" w14:textId="77777777">
        <w:trPr>
          <w:trHeight w:val="300"/>
        </w:trPr>
        <w:tc>
          <w:tcPr>
            <w:tcW w:w="9072" w:type="dxa"/>
            <w:tcBorders>
              <w:top w:val="nil"/>
              <w:left w:val="nil"/>
              <w:bottom w:val="nil"/>
              <w:right w:val="nil"/>
            </w:tcBorders>
            <w:noWrap/>
            <w:vAlign w:val="bottom"/>
            <w:hideMark/>
          </w:tcPr>
          <w:p w14:paraId="4F411666" w14:textId="77777777" w:rsidR="00FE5D64" w:rsidRDefault="00E40776">
            <w:pPr>
              <w:pStyle w:val="P68B1DB1-Normal91"/>
            </w:pPr>
            <w:r>
              <w:t>Чек „Credit Clearing System Ltd“</w:t>
            </w:r>
          </w:p>
        </w:tc>
      </w:tr>
      <w:tr w:rsidR="00FE5D64" w14:paraId="0979B652" w14:textId="77777777">
        <w:trPr>
          <w:trHeight w:val="300"/>
        </w:trPr>
        <w:tc>
          <w:tcPr>
            <w:tcW w:w="9072" w:type="dxa"/>
            <w:tcBorders>
              <w:top w:val="nil"/>
              <w:left w:val="nil"/>
              <w:bottom w:val="nil"/>
              <w:right w:val="nil"/>
            </w:tcBorders>
            <w:noWrap/>
            <w:vAlign w:val="bottom"/>
            <w:hideMark/>
          </w:tcPr>
          <w:p w14:paraId="53589C87" w14:textId="77777777" w:rsidR="00FE5D64" w:rsidRDefault="00E40776">
            <w:pPr>
              <w:pStyle w:val="P68B1DB1-Normal91"/>
            </w:pPr>
            <w:r>
              <w:lastRenderedPageBreak/>
              <w:t>ЧИПС</w:t>
            </w:r>
          </w:p>
        </w:tc>
      </w:tr>
      <w:tr w:rsidR="00FE5D64" w14:paraId="3FA985BC" w14:textId="77777777">
        <w:trPr>
          <w:trHeight w:val="300"/>
        </w:trPr>
        <w:tc>
          <w:tcPr>
            <w:tcW w:w="9072" w:type="dxa"/>
            <w:tcBorders>
              <w:top w:val="nil"/>
              <w:left w:val="nil"/>
              <w:bottom w:val="nil"/>
              <w:right w:val="nil"/>
            </w:tcBorders>
            <w:noWrap/>
            <w:vAlign w:val="bottom"/>
            <w:hideMark/>
          </w:tcPr>
          <w:p w14:paraId="1D542203" w14:textId="77777777" w:rsidR="00FE5D64" w:rsidRDefault="00E40776">
            <w:pPr>
              <w:pStyle w:val="P68B1DB1-Normal91"/>
            </w:pPr>
            <w:r>
              <w:t>Клирингова услуга в Австрия (CSA)</w:t>
            </w:r>
          </w:p>
        </w:tc>
      </w:tr>
      <w:tr w:rsidR="00FE5D64" w14:paraId="6FFF162D" w14:textId="77777777">
        <w:trPr>
          <w:trHeight w:val="300"/>
        </w:trPr>
        <w:tc>
          <w:tcPr>
            <w:tcW w:w="9072" w:type="dxa"/>
            <w:tcBorders>
              <w:top w:val="nil"/>
              <w:left w:val="nil"/>
              <w:bottom w:val="nil"/>
              <w:right w:val="nil"/>
            </w:tcBorders>
            <w:noWrap/>
            <w:vAlign w:val="bottom"/>
            <w:hideMark/>
          </w:tcPr>
          <w:p w14:paraId="657C636C" w14:textId="77777777" w:rsidR="00FE5D64" w:rsidRDefault="00E40776">
            <w:pPr>
              <w:pStyle w:val="P68B1DB1-Normal91"/>
            </w:pPr>
            <w:r>
              <w:t>Клирингово обслужване на международно равнище (CSI)</w:t>
            </w:r>
          </w:p>
        </w:tc>
      </w:tr>
      <w:tr w:rsidR="00FE5D64" w14:paraId="086AA89E" w14:textId="77777777">
        <w:trPr>
          <w:trHeight w:val="300"/>
        </w:trPr>
        <w:tc>
          <w:tcPr>
            <w:tcW w:w="9072" w:type="dxa"/>
            <w:tcBorders>
              <w:top w:val="nil"/>
              <w:left w:val="nil"/>
              <w:bottom w:val="nil"/>
              <w:right w:val="nil"/>
            </w:tcBorders>
            <w:noWrap/>
            <w:vAlign w:val="bottom"/>
            <w:hideMark/>
          </w:tcPr>
          <w:p w14:paraId="2802A46D" w14:textId="77777777" w:rsidR="00FE5D64" w:rsidRDefault="00E40776">
            <w:pPr>
              <w:pStyle w:val="P68B1DB1-Normal91"/>
            </w:pPr>
            <w:r>
              <w:t>Clearstream Banking AG</w:t>
            </w:r>
          </w:p>
        </w:tc>
      </w:tr>
      <w:tr w:rsidR="00FE5D64" w14:paraId="0E099AF5" w14:textId="77777777">
        <w:trPr>
          <w:trHeight w:val="300"/>
        </w:trPr>
        <w:tc>
          <w:tcPr>
            <w:tcW w:w="9072" w:type="dxa"/>
            <w:tcBorders>
              <w:top w:val="nil"/>
              <w:left w:val="nil"/>
              <w:bottom w:val="nil"/>
              <w:right w:val="nil"/>
            </w:tcBorders>
            <w:noWrap/>
            <w:vAlign w:val="bottom"/>
            <w:hideMark/>
          </w:tcPr>
          <w:p w14:paraId="7ED35FA8" w14:textId="77777777" w:rsidR="00FE5D64" w:rsidRDefault="00E40776">
            <w:pPr>
              <w:pStyle w:val="P68B1DB1-Normal91"/>
            </w:pPr>
            <w:r>
              <w:t>Clearstream Banking Luxembourg</w:t>
            </w:r>
          </w:p>
        </w:tc>
      </w:tr>
      <w:tr w:rsidR="00FE5D64" w14:paraId="55359EE8" w14:textId="77777777">
        <w:trPr>
          <w:trHeight w:val="300"/>
        </w:trPr>
        <w:tc>
          <w:tcPr>
            <w:tcW w:w="9072" w:type="dxa"/>
            <w:tcBorders>
              <w:top w:val="nil"/>
              <w:left w:val="nil"/>
              <w:bottom w:val="nil"/>
              <w:right w:val="nil"/>
            </w:tcBorders>
            <w:noWrap/>
            <w:vAlign w:val="bottom"/>
            <w:hideMark/>
          </w:tcPr>
          <w:p w14:paraId="218A6446" w14:textId="77777777" w:rsidR="00FE5D64" w:rsidRDefault="00E40776">
            <w:pPr>
              <w:pStyle w:val="P68B1DB1-Normal91"/>
            </w:pPr>
            <w:r>
              <w:t>ПРАВНА СЛУЖБА НА СЪВЕТА</w:t>
            </w:r>
          </w:p>
        </w:tc>
      </w:tr>
      <w:tr w:rsidR="00FE5D64" w14:paraId="6A82B717" w14:textId="77777777">
        <w:trPr>
          <w:trHeight w:val="300"/>
        </w:trPr>
        <w:tc>
          <w:tcPr>
            <w:tcW w:w="9072" w:type="dxa"/>
            <w:tcBorders>
              <w:top w:val="nil"/>
              <w:left w:val="nil"/>
              <w:bottom w:val="nil"/>
              <w:right w:val="nil"/>
            </w:tcBorders>
            <w:noWrap/>
            <w:vAlign w:val="bottom"/>
            <w:hideMark/>
          </w:tcPr>
          <w:p w14:paraId="051DFD15" w14:textId="77777777" w:rsidR="00FE5D64" w:rsidRDefault="00E40776">
            <w:pPr>
              <w:pStyle w:val="P68B1DB1-Normal91"/>
            </w:pPr>
            <w:r>
              <w:t>CME Trade Repository Ltd (CME TR)</w:t>
            </w:r>
          </w:p>
        </w:tc>
      </w:tr>
      <w:tr w:rsidR="00FE5D64" w14:paraId="06831526" w14:textId="77777777">
        <w:trPr>
          <w:trHeight w:val="300"/>
        </w:trPr>
        <w:tc>
          <w:tcPr>
            <w:tcW w:w="9072" w:type="dxa"/>
            <w:tcBorders>
              <w:top w:val="nil"/>
              <w:left w:val="nil"/>
              <w:bottom w:val="nil"/>
              <w:right w:val="nil"/>
            </w:tcBorders>
            <w:noWrap/>
            <w:vAlign w:val="bottom"/>
            <w:hideMark/>
          </w:tcPr>
          <w:p w14:paraId="33B6CA7E" w14:textId="77777777" w:rsidR="00FE5D64" w:rsidRDefault="00E40776">
            <w:pPr>
              <w:pStyle w:val="P68B1DB1-Normal91"/>
            </w:pPr>
            <w:r>
              <w:t>Кипърска клирингова къща</w:t>
            </w:r>
          </w:p>
        </w:tc>
      </w:tr>
      <w:tr w:rsidR="00FE5D64" w14:paraId="3BB1F880" w14:textId="77777777">
        <w:trPr>
          <w:trHeight w:val="300"/>
        </w:trPr>
        <w:tc>
          <w:tcPr>
            <w:tcW w:w="9072" w:type="dxa"/>
            <w:tcBorders>
              <w:top w:val="nil"/>
              <w:left w:val="nil"/>
              <w:bottom w:val="nil"/>
              <w:right w:val="nil"/>
            </w:tcBorders>
            <w:noWrap/>
            <w:vAlign w:val="bottom"/>
            <w:hideMark/>
          </w:tcPr>
          <w:p w14:paraId="6DCF1051" w14:textId="77777777" w:rsidR="00FE5D64" w:rsidRDefault="00E40776">
            <w:pPr>
              <w:pStyle w:val="P68B1DB1-Normal91"/>
            </w:pPr>
            <w:r>
              <w:t>Cyprus Stock Exchange (Кипърска фондова борса)</w:t>
            </w:r>
          </w:p>
        </w:tc>
      </w:tr>
      <w:tr w:rsidR="00FE5D64" w14:paraId="7F6A962C" w14:textId="77777777">
        <w:trPr>
          <w:trHeight w:val="300"/>
        </w:trPr>
        <w:tc>
          <w:tcPr>
            <w:tcW w:w="9072" w:type="dxa"/>
            <w:tcBorders>
              <w:top w:val="nil"/>
              <w:left w:val="nil"/>
              <w:bottom w:val="nil"/>
              <w:right w:val="nil"/>
            </w:tcBorders>
            <w:noWrap/>
            <w:vAlign w:val="bottom"/>
            <w:hideMark/>
          </w:tcPr>
          <w:p w14:paraId="359710C1" w14:textId="77777777" w:rsidR="00FE5D64" w:rsidRDefault="00E40776">
            <w:pPr>
              <w:pStyle w:val="P68B1DB1-Normal91"/>
            </w:pPr>
            <w:r>
              <w:t>Обмен на данни</w:t>
            </w:r>
          </w:p>
        </w:tc>
      </w:tr>
      <w:tr w:rsidR="00FE5D64" w14:paraId="0118AB34" w14:textId="77777777">
        <w:trPr>
          <w:trHeight w:val="300"/>
        </w:trPr>
        <w:tc>
          <w:tcPr>
            <w:tcW w:w="9072" w:type="dxa"/>
            <w:tcBorders>
              <w:top w:val="nil"/>
              <w:left w:val="nil"/>
              <w:bottom w:val="nil"/>
              <w:right w:val="nil"/>
            </w:tcBorders>
            <w:noWrap/>
            <w:vAlign w:val="bottom"/>
            <w:hideMark/>
          </w:tcPr>
          <w:p w14:paraId="371022ED" w14:textId="77777777" w:rsidR="00FE5D64" w:rsidRDefault="00E40776">
            <w:pPr>
              <w:pStyle w:val="P68B1DB1-Normal91"/>
            </w:pPr>
            <w:r>
              <w:t>Depozitarul Central S.A.</w:t>
            </w:r>
          </w:p>
        </w:tc>
      </w:tr>
      <w:tr w:rsidR="00FE5D64" w14:paraId="2356D6E7" w14:textId="77777777">
        <w:trPr>
          <w:trHeight w:val="300"/>
        </w:trPr>
        <w:tc>
          <w:tcPr>
            <w:tcW w:w="9072" w:type="dxa"/>
            <w:tcBorders>
              <w:top w:val="nil"/>
              <w:left w:val="nil"/>
              <w:bottom w:val="nil"/>
              <w:right w:val="nil"/>
            </w:tcBorders>
            <w:noWrap/>
            <w:vAlign w:val="bottom"/>
            <w:hideMark/>
          </w:tcPr>
          <w:p w14:paraId="2A6C99D9" w14:textId="77777777" w:rsidR="00FE5D64" w:rsidRDefault="00E40776">
            <w:pPr>
              <w:pStyle w:val="P68B1DB1-Normal91"/>
            </w:pPr>
            <w:r>
              <w:t>Deutsche Börse AG</w:t>
            </w:r>
          </w:p>
        </w:tc>
      </w:tr>
      <w:tr w:rsidR="00FE5D64" w14:paraId="086E410F" w14:textId="77777777">
        <w:trPr>
          <w:trHeight w:val="300"/>
        </w:trPr>
        <w:tc>
          <w:tcPr>
            <w:tcW w:w="9072" w:type="dxa"/>
            <w:tcBorders>
              <w:top w:val="nil"/>
              <w:left w:val="nil"/>
              <w:bottom w:val="nil"/>
              <w:right w:val="nil"/>
            </w:tcBorders>
            <w:noWrap/>
            <w:vAlign w:val="bottom"/>
            <w:hideMark/>
          </w:tcPr>
          <w:p w14:paraId="557F1C51" w14:textId="77777777" w:rsidR="00FE5D64" w:rsidRDefault="00E40776">
            <w:pPr>
              <w:pStyle w:val="P68B1DB1-Normal91"/>
            </w:pPr>
            <w:r>
              <w:t>Dias (Interbanking Systems S.A.)</w:t>
            </w:r>
          </w:p>
        </w:tc>
      </w:tr>
      <w:tr w:rsidR="00FE5D64" w14:paraId="2ADBEB7D" w14:textId="77777777">
        <w:trPr>
          <w:trHeight w:val="300"/>
        </w:trPr>
        <w:tc>
          <w:tcPr>
            <w:tcW w:w="9072" w:type="dxa"/>
            <w:tcBorders>
              <w:top w:val="nil"/>
              <w:left w:val="nil"/>
              <w:bottom w:val="nil"/>
              <w:right w:val="nil"/>
            </w:tcBorders>
            <w:noWrap/>
            <w:vAlign w:val="bottom"/>
            <w:hideMark/>
          </w:tcPr>
          <w:p w14:paraId="08C28E5B" w14:textId="77777777" w:rsidR="00FE5D64" w:rsidRDefault="00E40776">
            <w:pPr>
              <w:pStyle w:val="P68B1DB1-Normal91"/>
            </w:pPr>
            <w:r>
              <w:t>ДКП (Депозиторско доверително дружество)</w:t>
            </w:r>
          </w:p>
        </w:tc>
      </w:tr>
      <w:tr w:rsidR="00FE5D64" w14:paraId="797F9EF8" w14:textId="77777777">
        <w:trPr>
          <w:trHeight w:val="300"/>
        </w:trPr>
        <w:tc>
          <w:tcPr>
            <w:tcW w:w="9072" w:type="dxa"/>
            <w:tcBorders>
              <w:top w:val="nil"/>
              <w:left w:val="nil"/>
              <w:bottom w:val="nil"/>
              <w:right w:val="nil"/>
            </w:tcBorders>
            <w:noWrap/>
            <w:vAlign w:val="bottom"/>
            <w:hideMark/>
          </w:tcPr>
          <w:p w14:paraId="51E5D740" w14:textId="77777777" w:rsidR="00FE5D64" w:rsidRDefault="00E40776">
            <w:pPr>
              <w:pStyle w:val="P68B1DB1-Normal91"/>
            </w:pPr>
            <w:r>
              <w:t>DTCC Derivatives Repository Plc</w:t>
            </w:r>
          </w:p>
        </w:tc>
      </w:tr>
      <w:tr w:rsidR="00FE5D64" w14:paraId="6ADFC287" w14:textId="77777777">
        <w:trPr>
          <w:trHeight w:val="300"/>
        </w:trPr>
        <w:tc>
          <w:tcPr>
            <w:tcW w:w="9072" w:type="dxa"/>
            <w:tcBorders>
              <w:top w:val="nil"/>
              <w:left w:val="nil"/>
              <w:bottom w:val="nil"/>
              <w:right w:val="nil"/>
            </w:tcBorders>
            <w:noWrap/>
            <w:vAlign w:val="bottom"/>
            <w:hideMark/>
          </w:tcPr>
          <w:p w14:paraId="30027F70" w14:textId="77777777" w:rsidR="00FE5D64" w:rsidRDefault="00E40776">
            <w:pPr>
              <w:pStyle w:val="P68B1DB1-Normal91"/>
            </w:pPr>
            <w:r>
              <w:t>Електронна система за клиринг (EKS)</w:t>
            </w:r>
          </w:p>
        </w:tc>
      </w:tr>
      <w:tr w:rsidR="00FE5D64" w14:paraId="3C13C365" w14:textId="77777777">
        <w:trPr>
          <w:trHeight w:val="300"/>
        </w:trPr>
        <w:tc>
          <w:tcPr>
            <w:tcW w:w="9072" w:type="dxa"/>
            <w:tcBorders>
              <w:top w:val="nil"/>
              <w:left w:val="nil"/>
              <w:bottom w:val="nil"/>
              <w:right w:val="nil"/>
            </w:tcBorders>
            <w:noWrap/>
            <w:vAlign w:val="bottom"/>
            <w:hideMark/>
          </w:tcPr>
          <w:p w14:paraId="2536A2E4" w14:textId="77777777" w:rsidR="00FE5D64" w:rsidRDefault="00E40776">
            <w:pPr>
              <w:pStyle w:val="P68B1DB1-Normal91"/>
            </w:pPr>
            <w:r>
              <w:t>ЕЛИКСИР</w:t>
            </w:r>
          </w:p>
        </w:tc>
      </w:tr>
      <w:tr w:rsidR="00FE5D64" w14:paraId="59490FEF" w14:textId="77777777">
        <w:trPr>
          <w:trHeight w:val="300"/>
        </w:trPr>
        <w:tc>
          <w:tcPr>
            <w:tcW w:w="9072" w:type="dxa"/>
            <w:tcBorders>
              <w:top w:val="nil"/>
              <w:left w:val="nil"/>
              <w:bottom w:val="nil"/>
              <w:right w:val="nil"/>
            </w:tcBorders>
            <w:noWrap/>
            <w:vAlign w:val="bottom"/>
            <w:hideMark/>
          </w:tcPr>
          <w:p w14:paraId="5D3BC6DE" w14:textId="77777777" w:rsidR="00FE5D64" w:rsidRDefault="00E40776">
            <w:pPr>
              <w:pStyle w:val="P68B1DB1-Normal91"/>
            </w:pPr>
            <w:r>
              <w:t>Еквени</w:t>
            </w:r>
          </w:p>
        </w:tc>
      </w:tr>
      <w:tr w:rsidR="00FE5D64" w14:paraId="7151AAFC" w14:textId="77777777">
        <w:trPr>
          <w:trHeight w:val="300"/>
        </w:trPr>
        <w:tc>
          <w:tcPr>
            <w:tcW w:w="9072" w:type="dxa"/>
            <w:tcBorders>
              <w:top w:val="nil"/>
              <w:left w:val="nil"/>
              <w:bottom w:val="nil"/>
              <w:right w:val="nil"/>
            </w:tcBorders>
            <w:noWrap/>
            <w:vAlign w:val="bottom"/>
            <w:hideMark/>
          </w:tcPr>
          <w:p w14:paraId="62F52322" w14:textId="77777777" w:rsidR="00FE5D64" w:rsidRDefault="00E40776">
            <w:pPr>
              <w:pStyle w:val="P68B1DB1-Normal91"/>
            </w:pPr>
            <w:r>
              <w:t>Eurex Clearing AG</w:t>
            </w:r>
          </w:p>
        </w:tc>
      </w:tr>
      <w:tr w:rsidR="00FE5D64" w14:paraId="20047EE0" w14:textId="77777777">
        <w:trPr>
          <w:trHeight w:val="300"/>
        </w:trPr>
        <w:tc>
          <w:tcPr>
            <w:tcW w:w="9072" w:type="dxa"/>
            <w:tcBorders>
              <w:top w:val="nil"/>
              <w:left w:val="nil"/>
              <w:bottom w:val="nil"/>
              <w:right w:val="nil"/>
            </w:tcBorders>
            <w:noWrap/>
            <w:vAlign w:val="bottom"/>
            <w:hideMark/>
          </w:tcPr>
          <w:p w14:paraId="65198B5E" w14:textId="77777777" w:rsidR="00FE5D64" w:rsidRDefault="00E40776">
            <w:pPr>
              <w:pStyle w:val="P68B1DB1-Normal91"/>
            </w:pPr>
            <w:r>
              <w:t>ЕВРО 1</w:t>
            </w:r>
          </w:p>
        </w:tc>
      </w:tr>
      <w:tr w:rsidR="00FE5D64" w14:paraId="51532B57" w14:textId="77777777">
        <w:trPr>
          <w:trHeight w:val="300"/>
        </w:trPr>
        <w:tc>
          <w:tcPr>
            <w:tcW w:w="9072" w:type="dxa"/>
            <w:tcBorders>
              <w:top w:val="nil"/>
              <w:left w:val="nil"/>
              <w:bottom w:val="nil"/>
              <w:right w:val="nil"/>
            </w:tcBorders>
            <w:noWrap/>
            <w:vAlign w:val="bottom"/>
            <w:hideMark/>
          </w:tcPr>
          <w:p w14:paraId="6784162A" w14:textId="77777777" w:rsidR="00FE5D64" w:rsidRDefault="00E40776">
            <w:pPr>
              <w:pStyle w:val="P68B1DB1-Normal91"/>
            </w:pPr>
            <w:r>
              <w:t>Euroclear Bank</w:t>
            </w:r>
          </w:p>
        </w:tc>
      </w:tr>
      <w:tr w:rsidR="00FE5D64" w14:paraId="1FED107A" w14:textId="77777777">
        <w:trPr>
          <w:trHeight w:val="300"/>
        </w:trPr>
        <w:tc>
          <w:tcPr>
            <w:tcW w:w="9072" w:type="dxa"/>
            <w:tcBorders>
              <w:top w:val="nil"/>
              <w:left w:val="nil"/>
              <w:bottom w:val="nil"/>
              <w:right w:val="nil"/>
            </w:tcBorders>
            <w:noWrap/>
            <w:vAlign w:val="bottom"/>
            <w:hideMark/>
          </w:tcPr>
          <w:p w14:paraId="7EB27986" w14:textId="77777777" w:rsidR="00FE5D64" w:rsidRDefault="00E40776">
            <w:pPr>
              <w:pStyle w:val="P68B1DB1-Normal91"/>
            </w:pPr>
            <w:r>
              <w:t>Euroclear Belgium (ESES)</w:t>
            </w:r>
          </w:p>
        </w:tc>
      </w:tr>
      <w:tr w:rsidR="00FE5D64" w14:paraId="19126F92" w14:textId="77777777">
        <w:trPr>
          <w:trHeight w:val="300"/>
        </w:trPr>
        <w:tc>
          <w:tcPr>
            <w:tcW w:w="9072" w:type="dxa"/>
            <w:tcBorders>
              <w:top w:val="nil"/>
              <w:left w:val="nil"/>
              <w:bottom w:val="nil"/>
              <w:right w:val="nil"/>
            </w:tcBorders>
            <w:noWrap/>
            <w:vAlign w:val="bottom"/>
            <w:hideMark/>
          </w:tcPr>
          <w:p w14:paraId="649DE977" w14:textId="77777777" w:rsidR="00FE5D64" w:rsidRDefault="00E40776">
            <w:pPr>
              <w:pStyle w:val="P68B1DB1-Normal91"/>
            </w:pPr>
            <w:r>
              <w:t>Euroclear Финландия</w:t>
            </w:r>
          </w:p>
        </w:tc>
      </w:tr>
      <w:tr w:rsidR="00FE5D64" w14:paraId="37A9A6E1" w14:textId="77777777">
        <w:trPr>
          <w:trHeight w:val="300"/>
        </w:trPr>
        <w:tc>
          <w:tcPr>
            <w:tcW w:w="9072" w:type="dxa"/>
            <w:tcBorders>
              <w:top w:val="nil"/>
              <w:left w:val="nil"/>
              <w:bottom w:val="nil"/>
              <w:right w:val="nil"/>
            </w:tcBorders>
            <w:noWrap/>
            <w:vAlign w:val="bottom"/>
            <w:hideMark/>
          </w:tcPr>
          <w:p w14:paraId="734EF8BF" w14:textId="77777777" w:rsidR="00FE5D64" w:rsidRDefault="00E40776">
            <w:pPr>
              <w:pStyle w:val="P68B1DB1-Normal91"/>
            </w:pPr>
            <w:r>
              <w:t>Euroclear France (ESES)</w:t>
            </w:r>
          </w:p>
        </w:tc>
      </w:tr>
      <w:tr w:rsidR="00FE5D64" w14:paraId="33F2EFD1" w14:textId="77777777">
        <w:trPr>
          <w:trHeight w:val="300"/>
        </w:trPr>
        <w:tc>
          <w:tcPr>
            <w:tcW w:w="9072" w:type="dxa"/>
            <w:tcBorders>
              <w:top w:val="nil"/>
              <w:left w:val="nil"/>
              <w:bottom w:val="nil"/>
              <w:right w:val="nil"/>
            </w:tcBorders>
            <w:noWrap/>
            <w:vAlign w:val="bottom"/>
            <w:hideMark/>
          </w:tcPr>
          <w:p w14:paraId="0273EA5F" w14:textId="77777777" w:rsidR="00FE5D64" w:rsidRDefault="00E40776">
            <w:pPr>
              <w:pStyle w:val="P68B1DB1-Normal91"/>
            </w:pPr>
            <w:r>
              <w:t>Euroclear Netherlands (ESES)</w:t>
            </w:r>
          </w:p>
        </w:tc>
      </w:tr>
      <w:tr w:rsidR="00FE5D64" w14:paraId="7B056DB0" w14:textId="77777777">
        <w:trPr>
          <w:trHeight w:val="300"/>
        </w:trPr>
        <w:tc>
          <w:tcPr>
            <w:tcW w:w="9072" w:type="dxa"/>
            <w:tcBorders>
              <w:top w:val="nil"/>
              <w:left w:val="nil"/>
              <w:bottom w:val="nil"/>
              <w:right w:val="nil"/>
            </w:tcBorders>
            <w:noWrap/>
            <w:vAlign w:val="bottom"/>
            <w:hideMark/>
          </w:tcPr>
          <w:p w14:paraId="09E6EC57" w14:textId="77777777" w:rsidR="00FE5D64" w:rsidRDefault="00E40776">
            <w:pPr>
              <w:pStyle w:val="P68B1DB1-Normal91"/>
            </w:pPr>
            <w:r>
              <w:t>Euroclear Sweden AB (VPC systemet)</w:t>
            </w:r>
          </w:p>
        </w:tc>
      </w:tr>
      <w:tr w:rsidR="00FE5D64" w14:paraId="3D614022" w14:textId="77777777">
        <w:trPr>
          <w:trHeight w:val="300"/>
        </w:trPr>
        <w:tc>
          <w:tcPr>
            <w:tcW w:w="9072" w:type="dxa"/>
            <w:tcBorders>
              <w:top w:val="nil"/>
              <w:left w:val="nil"/>
              <w:bottom w:val="nil"/>
              <w:right w:val="nil"/>
            </w:tcBorders>
            <w:noWrap/>
            <w:vAlign w:val="bottom"/>
            <w:hideMark/>
          </w:tcPr>
          <w:p w14:paraId="1A4DFFF6" w14:textId="77777777" w:rsidR="00FE5D64" w:rsidRDefault="00E40776">
            <w:pPr>
              <w:pStyle w:val="P68B1DB1-Normal91"/>
            </w:pPr>
            <w:r>
              <w:t>Euroclear UK the Ireland Limited (EUI) (CREST)</w:t>
            </w:r>
          </w:p>
        </w:tc>
      </w:tr>
      <w:tr w:rsidR="00FE5D64" w14:paraId="55B08F89" w14:textId="77777777">
        <w:trPr>
          <w:trHeight w:val="300"/>
        </w:trPr>
        <w:tc>
          <w:tcPr>
            <w:tcW w:w="9072" w:type="dxa"/>
            <w:tcBorders>
              <w:top w:val="nil"/>
              <w:left w:val="nil"/>
              <w:bottom w:val="nil"/>
              <w:right w:val="nil"/>
            </w:tcBorders>
            <w:noWrap/>
            <w:vAlign w:val="bottom"/>
            <w:hideMark/>
          </w:tcPr>
          <w:p w14:paraId="56E621EE" w14:textId="77777777" w:rsidR="00FE5D64" w:rsidRDefault="00E40776">
            <w:pPr>
              <w:pStyle w:val="P68B1DB1-Normal91"/>
            </w:pPr>
            <w:r>
              <w:t>Euronext Amsterdam Cash Market</w:t>
            </w:r>
          </w:p>
        </w:tc>
      </w:tr>
      <w:tr w:rsidR="00FE5D64" w14:paraId="08BE70B5" w14:textId="77777777">
        <w:trPr>
          <w:trHeight w:val="300"/>
        </w:trPr>
        <w:tc>
          <w:tcPr>
            <w:tcW w:w="9072" w:type="dxa"/>
            <w:tcBorders>
              <w:top w:val="nil"/>
              <w:left w:val="nil"/>
              <w:bottom w:val="nil"/>
              <w:right w:val="nil"/>
            </w:tcBorders>
            <w:noWrap/>
            <w:vAlign w:val="bottom"/>
            <w:hideMark/>
          </w:tcPr>
          <w:p w14:paraId="717F6012" w14:textId="77777777" w:rsidR="00FE5D64" w:rsidRDefault="00E40776">
            <w:pPr>
              <w:pStyle w:val="P68B1DB1-Normal91"/>
            </w:pPr>
            <w:r>
              <w:t>Euronext Brussels SA</w:t>
            </w:r>
          </w:p>
          <w:p w14:paraId="3E95828F" w14:textId="77777777" w:rsidR="00FE5D64" w:rsidRDefault="00E40776">
            <w:pPr>
              <w:rPr>
                <w:rFonts w:eastAsia="Times New Roman" w:cs="Calibri"/>
                <w:color w:val="000000"/>
                <w:sz w:val="18"/>
                <w:szCs w:val="18"/>
              </w:rPr>
            </w:pPr>
            <w:r>
              <w:rPr>
                <w:rFonts w:eastAsia="Times New Roman" w:cs="Calibri"/>
                <w:color w:val="000000"/>
                <w:sz w:val="18"/>
                <w:szCs w:val="18"/>
              </w:rPr>
              <w:t>Клиринг Euronext</w:t>
            </w:r>
            <w:r>
              <w:rPr>
                <w:rStyle w:val="FootnoteReference"/>
                <w:rFonts w:eastAsia="Times New Roman" w:cs="Calibri"/>
                <w:color w:val="000000"/>
                <w:sz w:val="18"/>
              </w:rPr>
              <w:footnoteReference w:id="37"/>
            </w:r>
          </w:p>
        </w:tc>
      </w:tr>
      <w:tr w:rsidR="00FE5D64" w14:paraId="6A3A4767" w14:textId="77777777">
        <w:trPr>
          <w:trHeight w:val="300"/>
        </w:trPr>
        <w:tc>
          <w:tcPr>
            <w:tcW w:w="9072" w:type="dxa"/>
            <w:tcBorders>
              <w:top w:val="nil"/>
              <w:left w:val="nil"/>
              <w:bottom w:val="nil"/>
              <w:right w:val="nil"/>
            </w:tcBorders>
            <w:noWrap/>
            <w:vAlign w:val="bottom"/>
            <w:hideMark/>
          </w:tcPr>
          <w:p w14:paraId="0CF6918B" w14:textId="77777777" w:rsidR="00FE5D64" w:rsidRDefault="00E40776">
            <w:pPr>
              <w:pStyle w:val="P68B1DB1-Normal91"/>
            </w:pPr>
            <w:r>
              <w:t>Euronext Lisbon SA</w:t>
            </w:r>
          </w:p>
        </w:tc>
      </w:tr>
      <w:tr w:rsidR="00FE5D64" w14:paraId="1114BA7C" w14:textId="77777777">
        <w:trPr>
          <w:trHeight w:val="300"/>
        </w:trPr>
        <w:tc>
          <w:tcPr>
            <w:tcW w:w="9072" w:type="dxa"/>
            <w:tcBorders>
              <w:top w:val="nil"/>
              <w:left w:val="nil"/>
              <w:bottom w:val="nil"/>
              <w:right w:val="nil"/>
            </w:tcBorders>
            <w:noWrap/>
            <w:vAlign w:val="bottom"/>
            <w:hideMark/>
          </w:tcPr>
          <w:p w14:paraId="58D22650" w14:textId="77777777" w:rsidR="00FE5D64" w:rsidRDefault="00E40776">
            <w:pPr>
              <w:pStyle w:val="P68B1DB1-Normal91"/>
            </w:pPr>
            <w:r>
              <w:t>Европейска ККП NV</w:t>
            </w:r>
          </w:p>
        </w:tc>
      </w:tr>
      <w:tr w:rsidR="00FE5D64" w14:paraId="1758B1C2" w14:textId="77777777">
        <w:trPr>
          <w:trHeight w:val="300"/>
        </w:trPr>
        <w:tc>
          <w:tcPr>
            <w:tcW w:w="9072" w:type="dxa"/>
            <w:tcBorders>
              <w:top w:val="nil"/>
              <w:left w:val="nil"/>
              <w:bottom w:val="nil"/>
              <w:right w:val="nil"/>
            </w:tcBorders>
            <w:noWrap/>
            <w:vAlign w:val="bottom"/>
            <w:hideMark/>
          </w:tcPr>
          <w:p w14:paraId="6342DE58" w14:textId="77777777" w:rsidR="00FE5D64" w:rsidRDefault="00E40776">
            <w:pPr>
              <w:pStyle w:val="P68B1DB1-Normal91"/>
            </w:pPr>
            <w:r>
              <w:t>Европейски клиринг на стоки (ECC)</w:t>
            </w:r>
          </w:p>
        </w:tc>
      </w:tr>
      <w:tr w:rsidR="00FE5D64" w14:paraId="0DDA2A90" w14:textId="77777777">
        <w:trPr>
          <w:trHeight w:val="300"/>
        </w:trPr>
        <w:tc>
          <w:tcPr>
            <w:tcW w:w="9072" w:type="dxa"/>
            <w:tcBorders>
              <w:top w:val="nil"/>
              <w:left w:val="nil"/>
              <w:bottom w:val="nil"/>
              <w:right w:val="nil"/>
            </w:tcBorders>
            <w:noWrap/>
            <w:vAlign w:val="bottom"/>
            <w:hideMark/>
          </w:tcPr>
          <w:p w14:paraId="40A82682" w14:textId="77777777" w:rsidR="00FE5D64" w:rsidRDefault="00E40776">
            <w:pPr>
              <w:pStyle w:val="P68B1DB1-Normal91"/>
            </w:pPr>
            <w:r>
              <w:t>Експресна Elixir</w:t>
            </w:r>
          </w:p>
        </w:tc>
      </w:tr>
      <w:tr w:rsidR="00FE5D64" w14:paraId="542DFF49" w14:textId="77777777">
        <w:trPr>
          <w:trHeight w:val="300"/>
        </w:trPr>
        <w:tc>
          <w:tcPr>
            <w:tcW w:w="9072" w:type="dxa"/>
            <w:tcBorders>
              <w:top w:val="nil"/>
              <w:left w:val="nil"/>
              <w:bottom w:val="nil"/>
              <w:right w:val="nil"/>
            </w:tcBorders>
            <w:noWrap/>
            <w:vAlign w:val="bottom"/>
            <w:hideMark/>
          </w:tcPr>
          <w:p w14:paraId="059F87EB" w14:textId="77777777" w:rsidR="00FE5D64" w:rsidRDefault="00E40776">
            <w:pPr>
              <w:pStyle w:val="P68B1DB1-Normal91"/>
            </w:pPr>
            <w:r>
              <w:t>Услуга за по-бързи плащания (FPS)</w:t>
            </w:r>
          </w:p>
        </w:tc>
      </w:tr>
      <w:tr w:rsidR="00FE5D64" w14:paraId="4CFAE77A" w14:textId="77777777">
        <w:trPr>
          <w:trHeight w:val="300"/>
        </w:trPr>
        <w:tc>
          <w:tcPr>
            <w:tcW w:w="9072" w:type="dxa"/>
            <w:tcBorders>
              <w:top w:val="nil"/>
              <w:left w:val="nil"/>
              <w:bottom w:val="nil"/>
              <w:right w:val="nil"/>
            </w:tcBorders>
            <w:noWrap/>
            <w:vAlign w:val="bottom"/>
            <w:hideMark/>
          </w:tcPr>
          <w:p w14:paraId="03A78736" w14:textId="77777777" w:rsidR="00FE5D64" w:rsidRDefault="00E40776">
            <w:pPr>
              <w:pStyle w:val="P68B1DB1-Normal91"/>
            </w:pPr>
            <w:r>
              <w:t>Услуги на FedACH</w:t>
            </w:r>
          </w:p>
        </w:tc>
      </w:tr>
      <w:tr w:rsidR="00FE5D64" w14:paraId="1A8E545B" w14:textId="77777777">
        <w:trPr>
          <w:trHeight w:val="300"/>
        </w:trPr>
        <w:tc>
          <w:tcPr>
            <w:tcW w:w="9072" w:type="dxa"/>
            <w:tcBorders>
              <w:top w:val="nil"/>
              <w:left w:val="nil"/>
              <w:bottom w:val="nil"/>
              <w:right w:val="nil"/>
            </w:tcBorders>
            <w:noWrap/>
            <w:vAlign w:val="bottom"/>
            <w:hideMark/>
          </w:tcPr>
          <w:p w14:paraId="508F0A63" w14:textId="77777777" w:rsidR="00FE5D64" w:rsidRDefault="00E40776">
            <w:pPr>
              <w:pStyle w:val="P68B1DB1-Normal91"/>
            </w:pPr>
            <w:r>
              <w:t>Fedwire Funds Service</w:t>
            </w:r>
          </w:p>
        </w:tc>
      </w:tr>
      <w:tr w:rsidR="00FE5D64" w14:paraId="7603EDE5" w14:textId="77777777">
        <w:trPr>
          <w:trHeight w:val="300"/>
        </w:trPr>
        <w:tc>
          <w:tcPr>
            <w:tcW w:w="9072" w:type="dxa"/>
            <w:tcBorders>
              <w:top w:val="nil"/>
              <w:left w:val="nil"/>
              <w:bottom w:val="nil"/>
              <w:right w:val="nil"/>
            </w:tcBorders>
            <w:noWrap/>
            <w:vAlign w:val="bottom"/>
            <w:hideMark/>
          </w:tcPr>
          <w:p w14:paraId="6146D91C" w14:textId="77777777" w:rsidR="00FE5D64" w:rsidRDefault="00E40776">
            <w:pPr>
              <w:pStyle w:val="P68B1DB1-Normal91"/>
            </w:pPr>
            <w:r>
              <w:t>Услуги по ценни книжа на Fedwire</w:t>
            </w:r>
          </w:p>
        </w:tc>
      </w:tr>
      <w:tr w:rsidR="00FE5D64" w14:paraId="638B9492" w14:textId="77777777">
        <w:trPr>
          <w:trHeight w:val="300"/>
        </w:trPr>
        <w:tc>
          <w:tcPr>
            <w:tcW w:w="9072" w:type="dxa"/>
            <w:tcBorders>
              <w:top w:val="nil"/>
              <w:left w:val="nil"/>
              <w:bottom w:val="nil"/>
              <w:right w:val="nil"/>
            </w:tcBorders>
            <w:noWrap/>
            <w:vAlign w:val="bottom"/>
            <w:hideMark/>
          </w:tcPr>
          <w:p w14:paraId="0FCA6B85" w14:textId="77777777" w:rsidR="00FE5D64" w:rsidRDefault="00E40776">
            <w:pPr>
              <w:pStyle w:val="P68B1DB1-Normal91"/>
            </w:pPr>
            <w:r>
              <w:t>Клирингов корп с фиксиран доход (FICC)</w:t>
            </w:r>
          </w:p>
        </w:tc>
      </w:tr>
      <w:tr w:rsidR="00FE5D64" w14:paraId="4384BE65" w14:textId="77777777">
        <w:trPr>
          <w:trHeight w:val="300"/>
        </w:trPr>
        <w:tc>
          <w:tcPr>
            <w:tcW w:w="9072" w:type="dxa"/>
            <w:tcBorders>
              <w:top w:val="nil"/>
              <w:left w:val="nil"/>
              <w:bottom w:val="nil"/>
              <w:right w:val="nil"/>
            </w:tcBorders>
            <w:noWrap/>
            <w:vAlign w:val="bottom"/>
            <w:hideMark/>
          </w:tcPr>
          <w:p w14:paraId="7CCF9B46" w14:textId="77777777" w:rsidR="00FE5D64" w:rsidRDefault="00E40776">
            <w:pPr>
              <w:pStyle w:val="P68B1DB1-Normal91"/>
            </w:pPr>
            <w:r>
              <w:t>Gielda Papierow Wartosciowych w Warszawie (Варшавска фондова борса)</w:t>
            </w:r>
          </w:p>
        </w:tc>
      </w:tr>
      <w:tr w:rsidR="00FE5D64" w14:paraId="62CB1AB6" w14:textId="77777777">
        <w:trPr>
          <w:trHeight w:val="300"/>
        </w:trPr>
        <w:tc>
          <w:tcPr>
            <w:tcW w:w="9072" w:type="dxa"/>
            <w:tcBorders>
              <w:top w:val="nil"/>
              <w:left w:val="nil"/>
              <w:bottom w:val="nil"/>
              <w:right w:val="nil"/>
            </w:tcBorders>
            <w:noWrap/>
            <w:vAlign w:val="bottom"/>
            <w:hideMark/>
          </w:tcPr>
          <w:p w14:paraId="56890D2B" w14:textId="77777777" w:rsidR="00FE5D64" w:rsidRDefault="00E40776">
            <w:pPr>
              <w:pStyle w:val="P68B1DB1-Normal91"/>
            </w:pPr>
            <w:r>
              <w:t>Депозитар на държавни ценни книжа (GSD)</w:t>
            </w:r>
          </w:p>
        </w:tc>
      </w:tr>
      <w:tr w:rsidR="00FE5D64" w14:paraId="5B41050C" w14:textId="77777777">
        <w:trPr>
          <w:trHeight w:val="300"/>
        </w:trPr>
        <w:tc>
          <w:tcPr>
            <w:tcW w:w="9072" w:type="dxa"/>
            <w:tcBorders>
              <w:top w:val="nil"/>
              <w:left w:val="nil"/>
              <w:bottom w:val="nil"/>
              <w:right w:val="nil"/>
            </w:tcBorders>
            <w:noWrap/>
            <w:vAlign w:val="bottom"/>
            <w:hideMark/>
          </w:tcPr>
          <w:p w14:paraId="24CCAE22" w14:textId="77777777" w:rsidR="00FE5D64" w:rsidRDefault="00E40776">
            <w:pPr>
              <w:pStyle w:val="P68B1DB1-Normal91"/>
            </w:pPr>
            <w:r>
              <w:t>HSVP (RTGS)</w:t>
            </w:r>
          </w:p>
        </w:tc>
      </w:tr>
      <w:tr w:rsidR="00FE5D64" w14:paraId="013849A1" w14:textId="77777777">
        <w:trPr>
          <w:trHeight w:val="300"/>
        </w:trPr>
        <w:tc>
          <w:tcPr>
            <w:tcW w:w="9072" w:type="dxa"/>
            <w:tcBorders>
              <w:top w:val="nil"/>
              <w:left w:val="nil"/>
              <w:bottom w:val="nil"/>
              <w:right w:val="nil"/>
            </w:tcBorders>
            <w:noWrap/>
            <w:vAlign w:val="bottom"/>
            <w:hideMark/>
          </w:tcPr>
          <w:p w14:paraId="686B8E20" w14:textId="77777777" w:rsidR="00FE5D64" w:rsidRDefault="00E40776">
            <w:pPr>
              <w:pStyle w:val="P68B1DB1-Normal91"/>
            </w:pPr>
            <w:r>
              <w:t>Iberclear</w:t>
            </w:r>
          </w:p>
        </w:tc>
      </w:tr>
      <w:tr w:rsidR="00FE5D64" w14:paraId="69A745A4" w14:textId="77777777">
        <w:trPr>
          <w:trHeight w:val="300"/>
        </w:trPr>
        <w:tc>
          <w:tcPr>
            <w:tcW w:w="9072" w:type="dxa"/>
            <w:tcBorders>
              <w:top w:val="nil"/>
              <w:left w:val="nil"/>
              <w:bottom w:val="nil"/>
              <w:right w:val="nil"/>
            </w:tcBorders>
            <w:noWrap/>
            <w:vAlign w:val="bottom"/>
            <w:hideMark/>
          </w:tcPr>
          <w:p w14:paraId="676D5D75" w14:textId="77777777" w:rsidR="00FE5D64" w:rsidRDefault="00E40776">
            <w:pPr>
              <w:pStyle w:val="P68B1DB1-Normal91"/>
            </w:pPr>
            <w:r>
              <w:t>Лед (ice Clear)</w:t>
            </w:r>
          </w:p>
        </w:tc>
      </w:tr>
      <w:tr w:rsidR="00FE5D64" w14:paraId="780088CD" w14:textId="77777777">
        <w:trPr>
          <w:trHeight w:val="300"/>
        </w:trPr>
        <w:tc>
          <w:tcPr>
            <w:tcW w:w="9072" w:type="dxa"/>
            <w:tcBorders>
              <w:top w:val="nil"/>
              <w:left w:val="nil"/>
              <w:bottom w:val="nil"/>
              <w:right w:val="nil"/>
            </w:tcBorders>
            <w:noWrap/>
            <w:vAlign w:val="bottom"/>
            <w:hideMark/>
          </w:tcPr>
          <w:p w14:paraId="51279EB6" w14:textId="77777777" w:rsidR="00FE5D64" w:rsidRDefault="00E40776">
            <w:pPr>
              <w:pStyle w:val="P68B1DB1-Normal91"/>
            </w:pPr>
            <w:r>
              <w:lastRenderedPageBreak/>
              <w:t>Ice Clear Europe Limited</w:t>
            </w:r>
          </w:p>
        </w:tc>
      </w:tr>
      <w:tr w:rsidR="00FE5D64" w14:paraId="0A625316" w14:textId="77777777">
        <w:trPr>
          <w:trHeight w:val="300"/>
        </w:trPr>
        <w:tc>
          <w:tcPr>
            <w:tcW w:w="9072" w:type="dxa"/>
            <w:tcBorders>
              <w:top w:val="nil"/>
              <w:left w:val="nil"/>
              <w:bottom w:val="nil"/>
              <w:right w:val="nil"/>
            </w:tcBorders>
            <w:noWrap/>
            <w:vAlign w:val="bottom"/>
            <w:hideMark/>
          </w:tcPr>
          <w:p w14:paraId="478D14C3" w14:textId="77777777" w:rsidR="00FE5D64" w:rsidRDefault="00E40776">
            <w:pPr>
              <w:pStyle w:val="P68B1DB1-Normal91"/>
            </w:pPr>
            <w:r>
              <w:t>Ice Clear Нидерландия</w:t>
            </w:r>
          </w:p>
        </w:tc>
      </w:tr>
      <w:tr w:rsidR="00FE5D64" w14:paraId="7BA736BC" w14:textId="77777777">
        <w:trPr>
          <w:trHeight w:val="300"/>
        </w:trPr>
        <w:tc>
          <w:tcPr>
            <w:tcW w:w="9072" w:type="dxa"/>
            <w:tcBorders>
              <w:top w:val="nil"/>
              <w:left w:val="nil"/>
              <w:bottom w:val="nil"/>
              <w:right w:val="nil"/>
            </w:tcBorders>
            <w:noWrap/>
            <w:vAlign w:val="bottom"/>
            <w:hideMark/>
          </w:tcPr>
          <w:p w14:paraId="791A2916" w14:textId="77777777" w:rsidR="00FE5D64" w:rsidRDefault="00E40776">
            <w:pPr>
              <w:pStyle w:val="P68B1DB1-Normal91"/>
            </w:pPr>
            <w:r>
              <w:t>Ice Trade Vault Europe Limited (ICE TVEL)</w:t>
            </w:r>
          </w:p>
        </w:tc>
      </w:tr>
      <w:tr w:rsidR="00FE5D64" w14:paraId="6A1792FC" w14:textId="77777777">
        <w:trPr>
          <w:trHeight w:val="300"/>
        </w:trPr>
        <w:tc>
          <w:tcPr>
            <w:tcW w:w="9072" w:type="dxa"/>
            <w:tcBorders>
              <w:top w:val="nil"/>
              <w:left w:val="nil"/>
              <w:bottom w:val="nil"/>
              <w:right w:val="nil"/>
            </w:tcBorders>
            <w:noWrap/>
            <w:vAlign w:val="bottom"/>
            <w:hideMark/>
          </w:tcPr>
          <w:p w14:paraId="58EBD357" w14:textId="77777777" w:rsidR="00FE5D64" w:rsidRDefault="00E40776">
            <w:pPr>
              <w:pStyle w:val="P68B1DB1-Normal91"/>
            </w:pPr>
            <w:r>
              <w:t>ID2S/RSS</w:t>
            </w:r>
          </w:p>
        </w:tc>
      </w:tr>
      <w:tr w:rsidR="00FE5D64" w14:paraId="23EF91EB" w14:textId="77777777">
        <w:trPr>
          <w:trHeight w:val="300"/>
        </w:trPr>
        <w:tc>
          <w:tcPr>
            <w:tcW w:w="9072" w:type="dxa"/>
            <w:tcBorders>
              <w:top w:val="nil"/>
              <w:left w:val="nil"/>
              <w:bottom w:val="nil"/>
              <w:right w:val="nil"/>
            </w:tcBorders>
            <w:noWrap/>
            <w:vAlign w:val="bottom"/>
            <w:hideMark/>
          </w:tcPr>
          <w:p w14:paraId="256EBA58" w14:textId="77777777" w:rsidR="00FE5D64" w:rsidRDefault="00E40776">
            <w:pPr>
              <w:pStyle w:val="P68B1DB1-Normal91"/>
            </w:pPr>
            <w:r>
              <w:t>Междубанкова система за клиринг (ICS)</w:t>
            </w:r>
          </w:p>
        </w:tc>
      </w:tr>
      <w:tr w:rsidR="00FE5D64" w14:paraId="61201BD5" w14:textId="77777777">
        <w:trPr>
          <w:trHeight w:val="300"/>
        </w:trPr>
        <w:tc>
          <w:tcPr>
            <w:tcW w:w="9072" w:type="dxa"/>
            <w:tcBorders>
              <w:top w:val="nil"/>
              <w:left w:val="nil"/>
              <w:bottom w:val="nil"/>
              <w:right w:val="nil"/>
            </w:tcBorders>
            <w:noWrap/>
            <w:vAlign w:val="bottom"/>
            <w:hideMark/>
          </w:tcPr>
          <w:p w14:paraId="38BDB6F1" w14:textId="77777777" w:rsidR="00FE5D64" w:rsidRDefault="00E40776">
            <w:pPr>
              <w:pStyle w:val="P68B1DB1-Normal91"/>
            </w:pPr>
            <w:r>
              <w:t>INTERBOLSA</w:t>
            </w:r>
          </w:p>
        </w:tc>
      </w:tr>
      <w:tr w:rsidR="00FE5D64" w14:paraId="3D13BEFD" w14:textId="77777777">
        <w:trPr>
          <w:trHeight w:val="300"/>
        </w:trPr>
        <w:tc>
          <w:tcPr>
            <w:tcW w:w="9072" w:type="dxa"/>
            <w:tcBorders>
              <w:top w:val="nil"/>
              <w:left w:val="nil"/>
              <w:bottom w:val="nil"/>
              <w:right w:val="nil"/>
            </w:tcBorders>
            <w:noWrap/>
            <w:vAlign w:val="bottom"/>
            <w:hideMark/>
          </w:tcPr>
          <w:p w14:paraId="27D8A3E1" w14:textId="77777777" w:rsidR="00FE5D64" w:rsidRDefault="00E40776">
            <w:pPr>
              <w:pStyle w:val="P68B1DB1-Normal91"/>
            </w:pPr>
            <w:r>
              <w:t>Вътрешен клиринг</w:t>
            </w:r>
          </w:p>
        </w:tc>
      </w:tr>
      <w:tr w:rsidR="00FE5D64" w14:paraId="4CA95B12" w14:textId="77777777">
        <w:trPr>
          <w:trHeight w:val="300"/>
        </w:trPr>
        <w:tc>
          <w:tcPr>
            <w:tcW w:w="9072" w:type="dxa"/>
            <w:tcBorders>
              <w:top w:val="nil"/>
              <w:left w:val="nil"/>
              <w:bottom w:val="nil"/>
              <w:right w:val="nil"/>
            </w:tcBorders>
            <w:noWrap/>
            <w:vAlign w:val="bottom"/>
            <w:hideMark/>
          </w:tcPr>
          <w:p w14:paraId="3992B7FE" w14:textId="77777777" w:rsidR="00FE5D64" w:rsidRDefault="00E40776">
            <w:pPr>
              <w:pStyle w:val="P68B1DB1-Normal91"/>
            </w:pPr>
            <w:r>
              <w:t>IRGiT Izba Rozliczeniowa Giełd Towarowych S.A (Клирингова къща за стоки)</w:t>
            </w:r>
          </w:p>
        </w:tc>
      </w:tr>
      <w:tr w:rsidR="00FE5D64" w14:paraId="5F42EC4B" w14:textId="77777777">
        <w:trPr>
          <w:trHeight w:val="300"/>
        </w:trPr>
        <w:tc>
          <w:tcPr>
            <w:tcW w:w="9072" w:type="dxa"/>
            <w:tcBorders>
              <w:top w:val="nil"/>
              <w:left w:val="nil"/>
              <w:bottom w:val="nil"/>
              <w:right w:val="nil"/>
            </w:tcBorders>
            <w:noWrap/>
            <w:vAlign w:val="bottom"/>
            <w:hideMark/>
          </w:tcPr>
          <w:p w14:paraId="1817AC8A" w14:textId="77777777" w:rsidR="00FE5D64" w:rsidRDefault="00E40776">
            <w:pPr>
              <w:pStyle w:val="P68B1DB1-Normal91"/>
            </w:pPr>
            <w:r>
              <w:t>Irish Paper Clearing Company (IPCC) (Ирландско дружество за клиринг на хартия (IPCC)</w:t>
            </w:r>
          </w:p>
        </w:tc>
      </w:tr>
      <w:tr w:rsidR="00FE5D64" w14:paraId="503DCAED" w14:textId="77777777">
        <w:trPr>
          <w:trHeight w:val="300"/>
        </w:trPr>
        <w:tc>
          <w:tcPr>
            <w:tcW w:w="9072" w:type="dxa"/>
            <w:tcBorders>
              <w:top w:val="nil"/>
              <w:left w:val="nil"/>
              <w:bottom w:val="nil"/>
              <w:right w:val="nil"/>
            </w:tcBorders>
            <w:noWrap/>
            <w:vAlign w:val="bottom"/>
            <w:hideMark/>
          </w:tcPr>
          <w:p w14:paraId="256FE1FF" w14:textId="77777777" w:rsidR="00FE5D64" w:rsidRDefault="00E40776">
            <w:pPr>
              <w:pStyle w:val="P68B1DB1-Normal91"/>
            </w:pPr>
            <w:r>
              <w:t>Irish Stock Exchange Ltd</w:t>
            </w:r>
          </w:p>
        </w:tc>
      </w:tr>
      <w:tr w:rsidR="00FE5D64" w14:paraId="01B9E362" w14:textId="77777777">
        <w:trPr>
          <w:trHeight w:val="300"/>
        </w:trPr>
        <w:tc>
          <w:tcPr>
            <w:tcW w:w="9072" w:type="dxa"/>
            <w:tcBorders>
              <w:top w:val="nil"/>
              <w:left w:val="nil"/>
              <w:bottom w:val="nil"/>
              <w:right w:val="nil"/>
            </w:tcBorders>
            <w:noWrap/>
            <w:vAlign w:val="bottom"/>
            <w:hideMark/>
          </w:tcPr>
          <w:p w14:paraId="6D9ED763" w14:textId="77777777" w:rsidR="00FE5D64" w:rsidRDefault="00E40776">
            <w:pPr>
              <w:pStyle w:val="P68B1DB1-Normal91"/>
            </w:pPr>
            <w:r>
              <w:t>Японска корпорация за клиринг на ценни книжа</w:t>
            </w:r>
          </w:p>
        </w:tc>
      </w:tr>
      <w:tr w:rsidR="00FE5D64" w14:paraId="7B5B6AA0" w14:textId="77777777">
        <w:trPr>
          <w:trHeight w:val="300"/>
        </w:trPr>
        <w:tc>
          <w:tcPr>
            <w:tcW w:w="9072" w:type="dxa"/>
            <w:tcBorders>
              <w:top w:val="nil"/>
              <w:left w:val="nil"/>
              <w:bottom w:val="nil"/>
              <w:right w:val="nil"/>
            </w:tcBorders>
            <w:noWrap/>
            <w:vAlign w:val="bottom"/>
            <w:hideMark/>
          </w:tcPr>
          <w:p w14:paraId="5354E82A" w14:textId="77777777" w:rsidR="00FE5D64" w:rsidRDefault="00E40776">
            <w:pPr>
              <w:pStyle w:val="P68B1DB1-Normal91"/>
            </w:pPr>
            <w:r>
              <w:t>JASDEC</w:t>
            </w:r>
          </w:p>
        </w:tc>
      </w:tr>
      <w:tr w:rsidR="00FE5D64" w14:paraId="5F2E7C68" w14:textId="77777777">
        <w:trPr>
          <w:trHeight w:val="300"/>
        </w:trPr>
        <w:tc>
          <w:tcPr>
            <w:tcW w:w="9072" w:type="dxa"/>
            <w:tcBorders>
              <w:top w:val="nil"/>
              <w:left w:val="nil"/>
              <w:bottom w:val="nil"/>
              <w:right w:val="nil"/>
            </w:tcBorders>
            <w:noWrap/>
            <w:vAlign w:val="bottom"/>
            <w:hideMark/>
          </w:tcPr>
          <w:p w14:paraId="7D166505" w14:textId="77777777" w:rsidR="00FE5D64" w:rsidRDefault="00E40776">
            <w:pPr>
              <w:pStyle w:val="P68B1DB1-Normal91"/>
            </w:pPr>
            <w:r>
              <w:t>JASDEC DVP</w:t>
            </w:r>
          </w:p>
        </w:tc>
      </w:tr>
      <w:tr w:rsidR="00FE5D64" w14:paraId="4048BA0D" w14:textId="77777777">
        <w:trPr>
          <w:trHeight w:val="300"/>
        </w:trPr>
        <w:tc>
          <w:tcPr>
            <w:tcW w:w="9072" w:type="dxa"/>
            <w:tcBorders>
              <w:top w:val="nil"/>
              <w:left w:val="nil"/>
              <w:bottom w:val="nil"/>
              <w:right w:val="nil"/>
            </w:tcBorders>
            <w:noWrap/>
            <w:vAlign w:val="bottom"/>
            <w:hideMark/>
          </w:tcPr>
          <w:p w14:paraId="15678AE9" w14:textId="77777777" w:rsidR="00FE5D64" w:rsidRDefault="00E40776">
            <w:pPr>
              <w:pStyle w:val="P68B1DB1-Normal91"/>
            </w:pPr>
            <w:r>
              <w:t>СКК</w:t>
            </w:r>
          </w:p>
        </w:tc>
      </w:tr>
      <w:tr w:rsidR="00FE5D64" w14:paraId="12A3C713" w14:textId="77777777">
        <w:trPr>
          <w:trHeight w:val="300"/>
        </w:trPr>
        <w:tc>
          <w:tcPr>
            <w:tcW w:w="9072" w:type="dxa"/>
            <w:tcBorders>
              <w:top w:val="nil"/>
              <w:left w:val="nil"/>
              <w:bottom w:val="nil"/>
              <w:right w:val="nil"/>
            </w:tcBorders>
            <w:noWrap/>
            <w:vAlign w:val="bottom"/>
            <w:hideMark/>
          </w:tcPr>
          <w:p w14:paraId="41166169" w14:textId="77777777" w:rsidR="00FE5D64" w:rsidRDefault="00E40776">
            <w:pPr>
              <w:pStyle w:val="P68B1DB1-Normal91"/>
            </w:pPr>
            <w:r>
              <w:t>KDPW S.A.</w:t>
            </w:r>
          </w:p>
        </w:tc>
      </w:tr>
      <w:tr w:rsidR="00FE5D64" w14:paraId="43817C1E" w14:textId="77777777">
        <w:trPr>
          <w:trHeight w:val="300"/>
        </w:trPr>
        <w:tc>
          <w:tcPr>
            <w:tcW w:w="9072" w:type="dxa"/>
            <w:tcBorders>
              <w:top w:val="nil"/>
              <w:left w:val="nil"/>
              <w:bottom w:val="nil"/>
              <w:right w:val="nil"/>
            </w:tcBorders>
            <w:noWrap/>
            <w:vAlign w:val="bottom"/>
            <w:hideMark/>
          </w:tcPr>
          <w:p w14:paraId="3018D3C8" w14:textId="77777777" w:rsidR="00FE5D64" w:rsidRDefault="00E40776">
            <w:pPr>
              <w:pStyle w:val="P68B1DB1-Normal91"/>
            </w:pPr>
            <w:r>
              <w:t>KDPW_CCP S.A.</w:t>
            </w:r>
          </w:p>
        </w:tc>
      </w:tr>
      <w:tr w:rsidR="00FE5D64" w14:paraId="21912EC4" w14:textId="77777777">
        <w:trPr>
          <w:trHeight w:val="300"/>
        </w:trPr>
        <w:tc>
          <w:tcPr>
            <w:tcW w:w="9072" w:type="dxa"/>
            <w:tcBorders>
              <w:top w:val="nil"/>
              <w:left w:val="nil"/>
              <w:bottom w:val="nil"/>
              <w:right w:val="nil"/>
            </w:tcBorders>
            <w:noWrap/>
            <w:vAlign w:val="bottom"/>
            <w:hideMark/>
          </w:tcPr>
          <w:p w14:paraId="59836A48" w14:textId="77777777" w:rsidR="00FE5D64" w:rsidRDefault="00E40776">
            <w:pPr>
              <w:pStyle w:val="P68B1DB1-Normal91"/>
            </w:pPr>
            <w:r>
              <w:t>KDPW-TR</w:t>
            </w:r>
          </w:p>
        </w:tc>
      </w:tr>
      <w:tr w:rsidR="00FE5D64" w14:paraId="14480A4D" w14:textId="77777777">
        <w:trPr>
          <w:trHeight w:val="300"/>
        </w:trPr>
        <w:tc>
          <w:tcPr>
            <w:tcW w:w="9072" w:type="dxa"/>
            <w:tcBorders>
              <w:top w:val="nil"/>
              <w:left w:val="nil"/>
              <w:bottom w:val="nil"/>
              <w:right w:val="nil"/>
            </w:tcBorders>
            <w:noWrap/>
            <w:vAlign w:val="bottom"/>
            <w:hideMark/>
          </w:tcPr>
          <w:p w14:paraId="59BBCA2D" w14:textId="77777777" w:rsidR="00FE5D64" w:rsidRDefault="00E40776">
            <w:pPr>
              <w:pStyle w:val="P68B1DB1-Normal91"/>
            </w:pPr>
            <w:r>
              <w:t>KELER CCP</w:t>
            </w:r>
          </w:p>
        </w:tc>
      </w:tr>
      <w:tr w:rsidR="00FE5D64" w14:paraId="1D005B0E" w14:textId="77777777">
        <w:trPr>
          <w:trHeight w:val="300"/>
        </w:trPr>
        <w:tc>
          <w:tcPr>
            <w:tcW w:w="9072" w:type="dxa"/>
            <w:tcBorders>
              <w:top w:val="nil"/>
              <w:left w:val="nil"/>
              <w:bottom w:val="nil"/>
              <w:right w:val="nil"/>
            </w:tcBorders>
            <w:noWrap/>
            <w:vAlign w:val="bottom"/>
            <w:hideMark/>
          </w:tcPr>
          <w:p w14:paraId="2ABFD94E" w14:textId="77777777" w:rsidR="00FE5D64" w:rsidRDefault="00E40776">
            <w:pPr>
              <w:pStyle w:val="P68B1DB1-Normal91"/>
            </w:pPr>
            <w:r>
              <w:t>KELER CSD</w:t>
            </w:r>
          </w:p>
        </w:tc>
      </w:tr>
      <w:tr w:rsidR="00FE5D64" w14:paraId="13D5C039" w14:textId="77777777">
        <w:trPr>
          <w:trHeight w:val="300"/>
        </w:trPr>
        <w:tc>
          <w:tcPr>
            <w:tcW w:w="9072" w:type="dxa"/>
            <w:tcBorders>
              <w:top w:val="nil"/>
              <w:left w:val="nil"/>
              <w:bottom w:val="nil"/>
              <w:right w:val="nil"/>
            </w:tcBorders>
            <w:noWrap/>
            <w:vAlign w:val="bottom"/>
            <w:hideMark/>
          </w:tcPr>
          <w:p w14:paraId="31B1FA22" w14:textId="77777777" w:rsidR="00FE5D64" w:rsidRDefault="00E40776">
            <w:pPr>
              <w:pStyle w:val="P68B1DB1-Normal91"/>
            </w:pPr>
            <w:r>
              <w:t>КРОНОС</w:t>
            </w:r>
          </w:p>
        </w:tc>
      </w:tr>
      <w:tr w:rsidR="00FE5D64" w14:paraId="3B7ED824" w14:textId="77777777">
        <w:trPr>
          <w:trHeight w:val="300"/>
        </w:trPr>
        <w:tc>
          <w:tcPr>
            <w:tcW w:w="9072" w:type="dxa"/>
            <w:tcBorders>
              <w:top w:val="nil"/>
              <w:left w:val="nil"/>
              <w:bottom w:val="nil"/>
              <w:right w:val="nil"/>
            </w:tcBorders>
            <w:noWrap/>
            <w:vAlign w:val="bottom"/>
            <w:hideMark/>
          </w:tcPr>
          <w:p w14:paraId="0A3C0455" w14:textId="77777777" w:rsidR="00FE5D64" w:rsidRDefault="00E40776">
            <w:pPr>
              <w:pStyle w:val="P68B1DB1-Normal91"/>
            </w:pPr>
            <w:r>
              <w:t>КУБАС</w:t>
            </w:r>
          </w:p>
        </w:tc>
      </w:tr>
      <w:tr w:rsidR="00FE5D64" w14:paraId="2B1C9B26" w14:textId="77777777">
        <w:trPr>
          <w:trHeight w:val="300"/>
        </w:trPr>
        <w:tc>
          <w:tcPr>
            <w:tcW w:w="9072" w:type="dxa"/>
            <w:tcBorders>
              <w:top w:val="nil"/>
              <w:left w:val="nil"/>
              <w:bottom w:val="nil"/>
              <w:right w:val="nil"/>
            </w:tcBorders>
            <w:noWrap/>
            <w:vAlign w:val="bottom"/>
            <w:hideMark/>
          </w:tcPr>
          <w:p w14:paraId="0C36BDD0" w14:textId="77777777" w:rsidR="00FE5D64" w:rsidRDefault="00E40776">
            <w:pPr>
              <w:pStyle w:val="P68B1DB1-Normal91"/>
            </w:pPr>
            <w:r>
              <w:t>Система за прехвърляне на голяма стойност (LVTS)</w:t>
            </w:r>
          </w:p>
        </w:tc>
      </w:tr>
      <w:tr w:rsidR="00FE5D64" w14:paraId="494438D8" w14:textId="77777777">
        <w:trPr>
          <w:trHeight w:val="300"/>
        </w:trPr>
        <w:tc>
          <w:tcPr>
            <w:tcW w:w="9072" w:type="dxa"/>
            <w:tcBorders>
              <w:top w:val="nil"/>
              <w:left w:val="nil"/>
              <w:bottom w:val="nil"/>
              <w:right w:val="nil"/>
            </w:tcBorders>
            <w:noWrap/>
            <w:vAlign w:val="bottom"/>
            <w:hideMark/>
          </w:tcPr>
          <w:p w14:paraId="0378B855" w14:textId="77777777" w:rsidR="00FE5D64" w:rsidRDefault="00E40776">
            <w:pPr>
              <w:pStyle w:val="P68B1DB1-Normal91"/>
            </w:pPr>
            <w:r>
              <w:t>LCH Ltd</w:t>
            </w:r>
          </w:p>
        </w:tc>
      </w:tr>
      <w:tr w:rsidR="00FE5D64" w14:paraId="5DD1EBF4" w14:textId="77777777">
        <w:trPr>
          <w:trHeight w:val="300"/>
        </w:trPr>
        <w:tc>
          <w:tcPr>
            <w:tcW w:w="9072" w:type="dxa"/>
            <w:tcBorders>
              <w:top w:val="nil"/>
              <w:left w:val="nil"/>
              <w:bottom w:val="nil"/>
              <w:right w:val="nil"/>
            </w:tcBorders>
            <w:noWrap/>
            <w:vAlign w:val="bottom"/>
            <w:hideMark/>
          </w:tcPr>
          <w:p w14:paraId="59459780" w14:textId="77777777" w:rsidR="00FE5D64" w:rsidRDefault="00E40776">
            <w:pPr>
              <w:pStyle w:val="P68B1DB1-Normal91"/>
            </w:pPr>
            <w:r>
              <w:t>LCH SA</w:t>
            </w:r>
          </w:p>
        </w:tc>
      </w:tr>
      <w:tr w:rsidR="00FE5D64" w14:paraId="4F01D89C" w14:textId="77777777">
        <w:trPr>
          <w:trHeight w:val="300"/>
        </w:trPr>
        <w:tc>
          <w:tcPr>
            <w:tcW w:w="9072" w:type="dxa"/>
            <w:tcBorders>
              <w:top w:val="nil"/>
              <w:left w:val="nil"/>
              <w:bottom w:val="nil"/>
              <w:right w:val="nil"/>
            </w:tcBorders>
            <w:noWrap/>
            <w:vAlign w:val="bottom"/>
            <w:hideMark/>
          </w:tcPr>
          <w:p w14:paraId="5955E367" w14:textId="77777777" w:rsidR="00FE5D64" w:rsidRDefault="00E40776">
            <w:pPr>
              <w:pStyle w:val="P68B1DB1-Normal91"/>
            </w:pPr>
            <w:r>
              <w:t>Фондова борса-Любляна</w:t>
            </w:r>
          </w:p>
        </w:tc>
      </w:tr>
      <w:tr w:rsidR="00FE5D64" w14:paraId="63C7A928" w14:textId="77777777">
        <w:trPr>
          <w:trHeight w:val="300"/>
        </w:trPr>
        <w:tc>
          <w:tcPr>
            <w:tcW w:w="9072" w:type="dxa"/>
            <w:tcBorders>
              <w:top w:val="nil"/>
              <w:left w:val="nil"/>
              <w:bottom w:val="nil"/>
              <w:right w:val="nil"/>
            </w:tcBorders>
            <w:noWrap/>
            <w:vAlign w:val="bottom"/>
            <w:hideMark/>
          </w:tcPr>
          <w:p w14:paraId="14DFAB9F" w14:textId="77777777" w:rsidR="00FE5D64" w:rsidRDefault="00E40776">
            <w:pPr>
              <w:pStyle w:val="P68B1DB1-Normal91"/>
            </w:pPr>
            <w:r>
              <w:t>LME Clear Limited</w:t>
            </w:r>
          </w:p>
        </w:tc>
      </w:tr>
      <w:tr w:rsidR="00FE5D64" w14:paraId="188E3D82" w14:textId="77777777">
        <w:trPr>
          <w:trHeight w:val="300"/>
        </w:trPr>
        <w:tc>
          <w:tcPr>
            <w:tcW w:w="9072" w:type="dxa"/>
            <w:tcBorders>
              <w:top w:val="nil"/>
              <w:left w:val="nil"/>
              <w:bottom w:val="nil"/>
              <w:right w:val="nil"/>
            </w:tcBorders>
            <w:noWrap/>
            <w:vAlign w:val="bottom"/>
            <w:hideMark/>
          </w:tcPr>
          <w:p w14:paraId="7DB15EC9" w14:textId="77777777" w:rsidR="00FE5D64" w:rsidRDefault="00E40776">
            <w:pPr>
              <w:pStyle w:val="P68B1DB1-Normal91"/>
            </w:pPr>
            <w:r>
              <w:t>London Stock Exchange Ltd (LSE)</w:t>
            </w:r>
          </w:p>
        </w:tc>
      </w:tr>
      <w:tr w:rsidR="00FE5D64" w14:paraId="0AD660E5" w14:textId="77777777">
        <w:trPr>
          <w:trHeight w:val="300"/>
        </w:trPr>
        <w:tc>
          <w:tcPr>
            <w:tcW w:w="9072" w:type="dxa"/>
            <w:tcBorders>
              <w:top w:val="nil"/>
              <w:left w:val="nil"/>
              <w:bottom w:val="nil"/>
              <w:right w:val="nil"/>
            </w:tcBorders>
            <w:noWrap/>
            <w:vAlign w:val="bottom"/>
            <w:hideMark/>
          </w:tcPr>
          <w:p w14:paraId="23DA5AB4" w14:textId="77777777" w:rsidR="00FE5D64" w:rsidRDefault="00E40776">
            <w:pPr>
              <w:pStyle w:val="P68B1DB1-Normal91"/>
            </w:pPr>
            <w:r>
              <w:t>LUX CSD</w:t>
            </w:r>
          </w:p>
        </w:tc>
      </w:tr>
      <w:tr w:rsidR="00FE5D64" w14:paraId="5B3E1A3A" w14:textId="77777777">
        <w:trPr>
          <w:trHeight w:val="300"/>
        </w:trPr>
        <w:tc>
          <w:tcPr>
            <w:tcW w:w="9072" w:type="dxa"/>
            <w:tcBorders>
              <w:top w:val="nil"/>
              <w:left w:val="nil"/>
              <w:bottom w:val="nil"/>
              <w:right w:val="nil"/>
            </w:tcBorders>
            <w:noWrap/>
            <w:vAlign w:val="bottom"/>
            <w:hideMark/>
          </w:tcPr>
          <w:p w14:paraId="5D4FD8D4" w14:textId="77777777" w:rsidR="00FE5D64" w:rsidRDefault="00E40776">
            <w:pPr>
              <w:pStyle w:val="P68B1DB1-Normal91"/>
            </w:pPr>
            <w:r>
              <w:t>Малтийска клирингова къща</w:t>
            </w:r>
          </w:p>
        </w:tc>
      </w:tr>
      <w:tr w:rsidR="00FE5D64" w14:paraId="0739CAE8" w14:textId="77777777">
        <w:trPr>
          <w:trHeight w:val="300"/>
        </w:trPr>
        <w:tc>
          <w:tcPr>
            <w:tcW w:w="9072" w:type="dxa"/>
            <w:tcBorders>
              <w:top w:val="nil"/>
              <w:left w:val="nil"/>
              <w:bottom w:val="nil"/>
              <w:right w:val="nil"/>
            </w:tcBorders>
            <w:noWrap/>
            <w:vAlign w:val="bottom"/>
            <w:hideMark/>
          </w:tcPr>
          <w:p w14:paraId="7880FB68" w14:textId="77777777" w:rsidR="00FE5D64" w:rsidRDefault="00E40776">
            <w:pPr>
              <w:pStyle w:val="P68B1DB1-Normal91"/>
            </w:pPr>
            <w:r>
              <w:t>Малтийска фондова борса</w:t>
            </w:r>
          </w:p>
        </w:tc>
      </w:tr>
      <w:tr w:rsidR="00FE5D64" w14:paraId="1462AFD7" w14:textId="77777777">
        <w:trPr>
          <w:trHeight w:val="300"/>
        </w:trPr>
        <w:tc>
          <w:tcPr>
            <w:tcW w:w="9072" w:type="dxa"/>
            <w:tcBorders>
              <w:top w:val="nil"/>
              <w:left w:val="nil"/>
              <w:bottom w:val="nil"/>
              <w:right w:val="nil"/>
            </w:tcBorders>
            <w:noWrap/>
            <w:vAlign w:val="bottom"/>
            <w:hideMark/>
          </w:tcPr>
          <w:p w14:paraId="4F29DF27" w14:textId="77777777" w:rsidR="00FE5D64" w:rsidRDefault="00E40776">
            <w:pPr>
              <w:pStyle w:val="P68B1DB1-Normal91"/>
            </w:pPr>
            <w:r>
              <w:t>ЦДЦК на малтийската фондова борса</w:t>
            </w:r>
          </w:p>
        </w:tc>
      </w:tr>
      <w:tr w:rsidR="00FE5D64" w14:paraId="147A9AFE" w14:textId="77777777">
        <w:trPr>
          <w:trHeight w:val="300"/>
        </w:trPr>
        <w:tc>
          <w:tcPr>
            <w:tcW w:w="9072" w:type="dxa"/>
            <w:tcBorders>
              <w:top w:val="nil"/>
              <w:left w:val="nil"/>
              <w:bottom w:val="nil"/>
              <w:right w:val="nil"/>
            </w:tcBorders>
            <w:noWrap/>
            <w:vAlign w:val="bottom"/>
            <w:hideMark/>
          </w:tcPr>
          <w:p w14:paraId="29008853" w14:textId="77777777" w:rsidR="00FE5D64" w:rsidRDefault="00E40776">
            <w:pPr>
              <w:pStyle w:val="P68B1DB1-Normal91"/>
            </w:pPr>
            <w:r>
              <w:t>MEFF Sociedad Rectora de Productos Derivados S. A.</w:t>
            </w:r>
          </w:p>
        </w:tc>
      </w:tr>
      <w:tr w:rsidR="00FE5D64" w14:paraId="03A3D6E0" w14:textId="77777777">
        <w:trPr>
          <w:trHeight w:val="300"/>
        </w:trPr>
        <w:tc>
          <w:tcPr>
            <w:tcW w:w="9072" w:type="dxa"/>
            <w:tcBorders>
              <w:top w:val="nil"/>
              <w:left w:val="nil"/>
              <w:bottom w:val="nil"/>
              <w:right w:val="nil"/>
            </w:tcBorders>
            <w:noWrap/>
            <w:vAlign w:val="bottom"/>
            <w:hideMark/>
          </w:tcPr>
          <w:p w14:paraId="3E98B6A6" w14:textId="77777777" w:rsidR="00FE5D64" w:rsidRDefault="00E40776">
            <w:pPr>
              <w:pStyle w:val="P68B1DB1-Normal91"/>
            </w:pPr>
            <w:r>
              <w:t>Mercados de Deuda Pública en anotaciones</w:t>
            </w:r>
          </w:p>
        </w:tc>
      </w:tr>
      <w:tr w:rsidR="00FE5D64" w14:paraId="51FA8AC8" w14:textId="77777777">
        <w:trPr>
          <w:trHeight w:val="300"/>
        </w:trPr>
        <w:tc>
          <w:tcPr>
            <w:tcW w:w="9072" w:type="dxa"/>
            <w:tcBorders>
              <w:top w:val="nil"/>
              <w:left w:val="nil"/>
              <w:bottom w:val="nil"/>
              <w:right w:val="nil"/>
            </w:tcBorders>
            <w:noWrap/>
            <w:vAlign w:val="bottom"/>
            <w:hideMark/>
          </w:tcPr>
          <w:p w14:paraId="3F76F750" w14:textId="77777777" w:rsidR="00FE5D64" w:rsidRDefault="00E40776">
            <w:pPr>
              <w:pStyle w:val="P68B1DB1-Normal91"/>
            </w:pPr>
            <w:r>
              <w:t>Монте Титоли</w:t>
            </w:r>
          </w:p>
        </w:tc>
      </w:tr>
      <w:tr w:rsidR="00FE5D64" w14:paraId="23805AA2" w14:textId="77777777">
        <w:trPr>
          <w:trHeight w:val="300"/>
        </w:trPr>
        <w:tc>
          <w:tcPr>
            <w:tcW w:w="9072" w:type="dxa"/>
            <w:tcBorders>
              <w:top w:val="nil"/>
              <w:left w:val="nil"/>
              <w:bottom w:val="nil"/>
              <w:right w:val="nil"/>
            </w:tcBorders>
            <w:noWrap/>
            <w:vAlign w:val="bottom"/>
            <w:hideMark/>
          </w:tcPr>
          <w:p w14:paraId="13AB08E1" w14:textId="77777777" w:rsidR="00FE5D64" w:rsidRDefault="00E40776">
            <w:pPr>
              <w:pStyle w:val="P68B1DB1-Normal91"/>
            </w:pPr>
            <w:r>
              <w:t>MTS</w:t>
            </w:r>
          </w:p>
        </w:tc>
      </w:tr>
      <w:tr w:rsidR="00FE5D64" w14:paraId="4149713C" w14:textId="77777777">
        <w:trPr>
          <w:trHeight w:val="300"/>
        </w:trPr>
        <w:tc>
          <w:tcPr>
            <w:tcW w:w="9072" w:type="dxa"/>
            <w:tcBorders>
              <w:top w:val="nil"/>
              <w:left w:val="nil"/>
              <w:bottom w:val="nil"/>
              <w:right w:val="nil"/>
            </w:tcBorders>
            <w:noWrap/>
            <w:vAlign w:val="bottom"/>
            <w:hideMark/>
          </w:tcPr>
          <w:p w14:paraId="0E21C9DA" w14:textId="77777777" w:rsidR="00FE5D64" w:rsidRDefault="00E40776">
            <w:pPr>
              <w:pStyle w:val="P68B1DB1-Normal91"/>
            </w:pPr>
            <w:r>
              <w:t>Národný Centralny Depositar Cennych Papierov (nCDCP) като</w:t>
            </w:r>
          </w:p>
        </w:tc>
      </w:tr>
      <w:tr w:rsidR="00FE5D64" w14:paraId="7826A921" w14:textId="77777777">
        <w:trPr>
          <w:trHeight w:val="300"/>
        </w:trPr>
        <w:tc>
          <w:tcPr>
            <w:tcW w:w="9072" w:type="dxa"/>
            <w:tcBorders>
              <w:top w:val="nil"/>
              <w:left w:val="nil"/>
              <w:bottom w:val="nil"/>
              <w:right w:val="nil"/>
            </w:tcBorders>
            <w:noWrap/>
            <w:vAlign w:val="bottom"/>
            <w:hideMark/>
          </w:tcPr>
          <w:p w14:paraId="3989D7C0" w14:textId="77777777" w:rsidR="00FE5D64" w:rsidRDefault="00E40776">
            <w:pPr>
              <w:pStyle w:val="P68B1DB1-Normal91"/>
            </w:pPr>
            <w:r>
              <w:t>Nasdaq CSD SE</w:t>
            </w:r>
          </w:p>
        </w:tc>
      </w:tr>
      <w:tr w:rsidR="00FE5D64" w14:paraId="0F9127FC" w14:textId="77777777">
        <w:trPr>
          <w:trHeight w:val="300"/>
        </w:trPr>
        <w:tc>
          <w:tcPr>
            <w:tcW w:w="9072" w:type="dxa"/>
            <w:tcBorders>
              <w:top w:val="nil"/>
              <w:left w:val="nil"/>
              <w:bottom w:val="nil"/>
              <w:right w:val="nil"/>
            </w:tcBorders>
            <w:noWrap/>
            <w:vAlign w:val="bottom"/>
            <w:hideMark/>
          </w:tcPr>
          <w:p w14:paraId="7E3342A8" w14:textId="77777777" w:rsidR="00FE5D64" w:rsidRDefault="00E40776">
            <w:pPr>
              <w:pStyle w:val="P68B1DB1-Normal91"/>
            </w:pPr>
            <w:r>
              <w:t>Nasdaq Helsinki</w:t>
            </w:r>
          </w:p>
        </w:tc>
      </w:tr>
      <w:tr w:rsidR="00FE5D64" w14:paraId="794AA9C2" w14:textId="77777777">
        <w:trPr>
          <w:trHeight w:val="300"/>
        </w:trPr>
        <w:tc>
          <w:tcPr>
            <w:tcW w:w="9072" w:type="dxa"/>
            <w:tcBorders>
              <w:top w:val="nil"/>
              <w:left w:val="nil"/>
              <w:bottom w:val="nil"/>
              <w:right w:val="nil"/>
            </w:tcBorders>
            <w:noWrap/>
            <w:vAlign w:val="bottom"/>
            <w:hideMark/>
          </w:tcPr>
          <w:p w14:paraId="4EB7B940" w14:textId="77777777" w:rsidR="00FE5D64" w:rsidRDefault="00E40776">
            <w:pPr>
              <w:pStyle w:val="P68B1DB1-Normal91"/>
            </w:pPr>
            <w:r>
              <w:t>Nasdaq OMX Клиринг</w:t>
            </w:r>
          </w:p>
        </w:tc>
      </w:tr>
      <w:tr w:rsidR="00FE5D64" w14:paraId="27B334A7" w14:textId="77777777">
        <w:trPr>
          <w:trHeight w:val="300"/>
        </w:trPr>
        <w:tc>
          <w:tcPr>
            <w:tcW w:w="9072" w:type="dxa"/>
            <w:tcBorders>
              <w:top w:val="nil"/>
              <w:left w:val="nil"/>
              <w:bottom w:val="nil"/>
              <w:right w:val="nil"/>
            </w:tcBorders>
            <w:noWrap/>
            <w:vAlign w:val="bottom"/>
            <w:hideMark/>
          </w:tcPr>
          <w:p w14:paraId="405F6BB1" w14:textId="77777777" w:rsidR="00FE5D64" w:rsidRDefault="00E40776">
            <w:pPr>
              <w:pStyle w:val="P68B1DB1-Normal91"/>
            </w:pPr>
            <w:r>
              <w:t>Nasdaq OMX Стокхолм</w:t>
            </w:r>
          </w:p>
        </w:tc>
      </w:tr>
      <w:tr w:rsidR="00FE5D64" w14:paraId="5888CB72" w14:textId="77777777">
        <w:trPr>
          <w:trHeight w:val="300"/>
        </w:trPr>
        <w:tc>
          <w:tcPr>
            <w:tcW w:w="9072" w:type="dxa"/>
            <w:tcBorders>
              <w:top w:val="nil"/>
              <w:left w:val="nil"/>
              <w:bottom w:val="nil"/>
              <w:right w:val="nil"/>
            </w:tcBorders>
            <w:noWrap/>
            <w:vAlign w:val="bottom"/>
            <w:hideMark/>
          </w:tcPr>
          <w:p w14:paraId="20F7ABDC" w14:textId="77777777" w:rsidR="00FE5D64" w:rsidRDefault="00E40776">
            <w:pPr>
              <w:pStyle w:val="P68B1DB1-Normal91"/>
            </w:pPr>
            <w:r>
              <w:t>National Securities Clearing Corp. (NSCC)</w:t>
            </w:r>
          </w:p>
        </w:tc>
      </w:tr>
      <w:tr w:rsidR="00FE5D64" w14:paraId="5E9C8F6D" w14:textId="77777777">
        <w:trPr>
          <w:trHeight w:val="300"/>
        </w:trPr>
        <w:tc>
          <w:tcPr>
            <w:tcW w:w="9072" w:type="dxa"/>
            <w:tcBorders>
              <w:top w:val="nil"/>
              <w:left w:val="nil"/>
              <w:bottom w:val="nil"/>
              <w:right w:val="nil"/>
            </w:tcBorders>
            <w:noWrap/>
            <w:vAlign w:val="bottom"/>
            <w:hideMark/>
          </w:tcPr>
          <w:p w14:paraId="12F1BAEB" w14:textId="77777777" w:rsidR="00FE5D64" w:rsidRDefault="00E40776">
            <w:pPr>
              <w:pStyle w:val="P68B1DB1-Normal91"/>
            </w:pPr>
            <w:r>
              <w:t>NBB SSS</w:t>
            </w:r>
          </w:p>
        </w:tc>
      </w:tr>
      <w:tr w:rsidR="00FE5D64" w14:paraId="5DFC5D23" w14:textId="77777777">
        <w:trPr>
          <w:trHeight w:val="300"/>
        </w:trPr>
        <w:tc>
          <w:tcPr>
            <w:tcW w:w="9072" w:type="dxa"/>
            <w:tcBorders>
              <w:top w:val="nil"/>
              <w:left w:val="nil"/>
              <w:bottom w:val="nil"/>
              <w:right w:val="nil"/>
            </w:tcBorders>
            <w:noWrap/>
            <w:vAlign w:val="bottom"/>
            <w:hideMark/>
          </w:tcPr>
          <w:p w14:paraId="3737426F" w14:textId="77777777" w:rsidR="00FE5D64" w:rsidRDefault="00E40776">
            <w:pPr>
              <w:pStyle w:val="P68B1DB1-Normal91"/>
            </w:pPr>
            <w:r>
              <w:t>Регистър на съкровищните бонове и съкровищните бонове</w:t>
            </w:r>
          </w:p>
        </w:tc>
      </w:tr>
      <w:tr w:rsidR="00FE5D64" w14:paraId="1FC22E5F" w14:textId="77777777">
        <w:trPr>
          <w:trHeight w:val="300"/>
        </w:trPr>
        <w:tc>
          <w:tcPr>
            <w:tcW w:w="9072" w:type="dxa"/>
            <w:tcBorders>
              <w:top w:val="nil"/>
              <w:left w:val="nil"/>
              <w:bottom w:val="nil"/>
              <w:right w:val="nil"/>
            </w:tcBorders>
            <w:noWrap/>
            <w:vAlign w:val="bottom"/>
            <w:hideMark/>
          </w:tcPr>
          <w:p w14:paraId="358DE620" w14:textId="77777777" w:rsidR="00FE5D64" w:rsidRDefault="00E40776">
            <w:pPr>
              <w:pStyle w:val="P68B1DB1-Normal91"/>
            </w:pPr>
            <w:r>
              <w:t>NEX Abide Trade Repository AB</w:t>
            </w:r>
          </w:p>
        </w:tc>
      </w:tr>
      <w:tr w:rsidR="00FE5D64" w14:paraId="1362AFBF" w14:textId="77777777">
        <w:trPr>
          <w:trHeight w:val="300"/>
        </w:trPr>
        <w:tc>
          <w:tcPr>
            <w:tcW w:w="9072" w:type="dxa"/>
            <w:tcBorders>
              <w:top w:val="nil"/>
              <w:left w:val="nil"/>
              <w:bottom w:val="nil"/>
              <w:right w:val="nil"/>
            </w:tcBorders>
            <w:noWrap/>
            <w:vAlign w:val="bottom"/>
            <w:hideMark/>
          </w:tcPr>
          <w:p w14:paraId="7779B6B2" w14:textId="77777777" w:rsidR="00FE5D64" w:rsidRDefault="00E40776">
            <w:pPr>
              <w:pStyle w:val="P68B1DB1-Normal91"/>
            </w:pPr>
            <w:r>
              <w:t>NIC (Norwegian Inter Bank Clearing System — Норвежка система за клиринг на банки)</w:t>
            </w:r>
          </w:p>
        </w:tc>
      </w:tr>
      <w:tr w:rsidR="00FE5D64" w14:paraId="403EDEA1" w14:textId="77777777">
        <w:trPr>
          <w:trHeight w:val="300"/>
        </w:trPr>
        <w:tc>
          <w:tcPr>
            <w:tcW w:w="9072" w:type="dxa"/>
            <w:tcBorders>
              <w:top w:val="nil"/>
              <w:left w:val="nil"/>
              <w:bottom w:val="nil"/>
              <w:right w:val="nil"/>
            </w:tcBorders>
            <w:noWrap/>
            <w:vAlign w:val="bottom"/>
            <w:hideMark/>
          </w:tcPr>
          <w:p w14:paraId="4BFCE736" w14:textId="77777777" w:rsidR="00FE5D64" w:rsidRDefault="00E40776">
            <w:pPr>
              <w:pStyle w:val="P68B1DB1-Normal91"/>
            </w:pPr>
            <w:r>
              <w:lastRenderedPageBreak/>
              <w:t>NKS (Национална клирингова система)/EuroNKS</w:t>
            </w:r>
          </w:p>
        </w:tc>
      </w:tr>
      <w:tr w:rsidR="00FE5D64" w14:paraId="72370490" w14:textId="77777777">
        <w:trPr>
          <w:trHeight w:val="300"/>
        </w:trPr>
        <w:tc>
          <w:tcPr>
            <w:tcW w:w="9072" w:type="dxa"/>
            <w:tcBorders>
              <w:top w:val="nil"/>
              <w:left w:val="nil"/>
              <w:bottom w:val="nil"/>
              <w:right w:val="nil"/>
            </w:tcBorders>
            <w:noWrap/>
            <w:vAlign w:val="bottom"/>
            <w:hideMark/>
          </w:tcPr>
          <w:p w14:paraId="46EFA26D" w14:textId="77777777" w:rsidR="00FE5D64" w:rsidRDefault="00E40776">
            <w:pPr>
              <w:pStyle w:val="P68B1DB1-Normal91"/>
            </w:pPr>
            <w:r>
              <w:t>NYSE Euronext Paris</w:t>
            </w:r>
          </w:p>
        </w:tc>
      </w:tr>
      <w:tr w:rsidR="00FE5D64" w14:paraId="5FB1C2FE" w14:textId="77777777">
        <w:trPr>
          <w:trHeight w:val="300"/>
        </w:trPr>
        <w:tc>
          <w:tcPr>
            <w:tcW w:w="9072" w:type="dxa"/>
            <w:tcBorders>
              <w:top w:val="nil"/>
              <w:left w:val="nil"/>
              <w:bottom w:val="nil"/>
              <w:right w:val="nil"/>
            </w:tcBorders>
            <w:noWrap/>
            <w:vAlign w:val="bottom"/>
            <w:hideMark/>
          </w:tcPr>
          <w:p w14:paraId="43B707C4" w14:textId="77777777" w:rsidR="00FE5D64" w:rsidRDefault="00E40776">
            <w:pPr>
              <w:pStyle w:val="P68B1DB1-Normal91"/>
            </w:pPr>
            <w:r>
              <w:t>OeKB CSD GmbH (WSB System)</w:t>
            </w:r>
          </w:p>
        </w:tc>
      </w:tr>
      <w:tr w:rsidR="00FE5D64" w14:paraId="297ECE0B" w14:textId="77777777">
        <w:trPr>
          <w:trHeight w:val="300"/>
        </w:trPr>
        <w:tc>
          <w:tcPr>
            <w:tcW w:w="9072" w:type="dxa"/>
            <w:tcBorders>
              <w:top w:val="nil"/>
              <w:left w:val="nil"/>
              <w:bottom w:val="nil"/>
              <w:right w:val="nil"/>
            </w:tcBorders>
            <w:noWrap/>
            <w:vAlign w:val="bottom"/>
            <w:hideMark/>
          </w:tcPr>
          <w:p w14:paraId="41926D7B" w14:textId="77777777" w:rsidR="00FE5D64" w:rsidRDefault="00E40776">
            <w:pPr>
              <w:pStyle w:val="P68B1DB1-Normal91"/>
            </w:pPr>
            <w:r>
              <w:t>Прочит на OMI</w:t>
            </w:r>
          </w:p>
        </w:tc>
      </w:tr>
      <w:tr w:rsidR="00FE5D64" w14:paraId="786A0182" w14:textId="77777777">
        <w:trPr>
          <w:trHeight w:val="300"/>
        </w:trPr>
        <w:tc>
          <w:tcPr>
            <w:tcW w:w="9072" w:type="dxa"/>
            <w:tcBorders>
              <w:top w:val="nil"/>
              <w:left w:val="nil"/>
              <w:bottom w:val="nil"/>
              <w:right w:val="nil"/>
            </w:tcBorders>
            <w:noWrap/>
            <w:vAlign w:val="bottom"/>
            <w:hideMark/>
          </w:tcPr>
          <w:p w14:paraId="00B344FB" w14:textId="77777777" w:rsidR="00FE5D64" w:rsidRDefault="00E40776">
            <w:pPr>
              <w:pStyle w:val="P68B1DB1-Normal91"/>
            </w:pPr>
            <w:r>
              <w:t>УОЗ</w:t>
            </w:r>
          </w:p>
        </w:tc>
      </w:tr>
      <w:tr w:rsidR="00FE5D64" w14:paraId="560CA6B2" w14:textId="77777777">
        <w:trPr>
          <w:trHeight w:val="300"/>
        </w:trPr>
        <w:tc>
          <w:tcPr>
            <w:tcW w:w="9072" w:type="dxa"/>
            <w:tcBorders>
              <w:top w:val="nil"/>
              <w:left w:val="nil"/>
              <w:bottom w:val="nil"/>
              <w:right w:val="nil"/>
            </w:tcBorders>
            <w:noWrap/>
            <w:vAlign w:val="bottom"/>
            <w:hideMark/>
          </w:tcPr>
          <w:p w14:paraId="15C8DE81" w14:textId="77777777" w:rsidR="00FE5D64" w:rsidRDefault="00E40776">
            <w:pPr>
              <w:pStyle w:val="P68B1DB1-Normal91"/>
            </w:pPr>
            <w:r>
              <w:t>РЕДЖИС</w:t>
            </w:r>
          </w:p>
        </w:tc>
      </w:tr>
      <w:tr w:rsidR="00FE5D64" w14:paraId="185A7956" w14:textId="77777777">
        <w:trPr>
          <w:trHeight w:val="300"/>
        </w:trPr>
        <w:tc>
          <w:tcPr>
            <w:tcW w:w="9072" w:type="dxa"/>
            <w:tcBorders>
              <w:top w:val="nil"/>
              <w:left w:val="nil"/>
              <w:bottom w:val="nil"/>
              <w:right w:val="nil"/>
            </w:tcBorders>
            <w:noWrap/>
            <w:vAlign w:val="bottom"/>
            <w:hideMark/>
          </w:tcPr>
          <w:p w14:paraId="3E63DE78" w14:textId="77777777" w:rsidR="00FE5D64" w:rsidRDefault="00E40776">
            <w:pPr>
              <w:pStyle w:val="P68B1DB1-Normal91"/>
            </w:pPr>
            <w:r>
              <w:t>Regis-TR</w:t>
            </w:r>
          </w:p>
        </w:tc>
      </w:tr>
      <w:tr w:rsidR="00FE5D64" w14:paraId="751DD516" w14:textId="77777777">
        <w:trPr>
          <w:trHeight w:val="300"/>
        </w:trPr>
        <w:tc>
          <w:tcPr>
            <w:tcW w:w="9072" w:type="dxa"/>
            <w:tcBorders>
              <w:top w:val="nil"/>
              <w:left w:val="nil"/>
              <w:bottom w:val="nil"/>
              <w:right w:val="nil"/>
            </w:tcBorders>
            <w:noWrap/>
            <w:vAlign w:val="bottom"/>
            <w:hideMark/>
          </w:tcPr>
          <w:p w14:paraId="61EDA69E" w14:textId="77777777" w:rsidR="00FE5D64" w:rsidRDefault="00E40776">
            <w:pPr>
              <w:pStyle w:val="P68B1DB1-Normal91"/>
            </w:pPr>
            <w:r>
              <w:t>Rings (междубанкова система за брутен сетълмент в реално време)</w:t>
            </w:r>
          </w:p>
        </w:tc>
      </w:tr>
      <w:tr w:rsidR="00FE5D64" w14:paraId="3DA52EFD" w14:textId="77777777">
        <w:trPr>
          <w:trHeight w:val="300"/>
        </w:trPr>
        <w:tc>
          <w:tcPr>
            <w:tcW w:w="9072" w:type="dxa"/>
            <w:tcBorders>
              <w:top w:val="nil"/>
              <w:left w:val="nil"/>
              <w:bottom w:val="nil"/>
              <w:right w:val="nil"/>
            </w:tcBorders>
            <w:noWrap/>
            <w:vAlign w:val="bottom"/>
            <w:hideMark/>
          </w:tcPr>
          <w:p w14:paraId="14849718" w14:textId="77777777" w:rsidR="00FE5D64" w:rsidRDefault="00E40776">
            <w:pPr>
              <w:pStyle w:val="P68B1DB1-Normal91"/>
            </w:pPr>
            <w:r>
              <w:t>RIX</w:t>
            </w:r>
          </w:p>
        </w:tc>
      </w:tr>
      <w:tr w:rsidR="00FE5D64" w14:paraId="2F5941C3" w14:textId="77777777">
        <w:trPr>
          <w:trHeight w:val="300"/>
        </w:trPr>
        <w:tc>
          <w:tcPr>
            <w:tcW w:w="9072" w:type="dxa"/>
            <w:tcBorders>
              <w:top w:val="nil"/>
              <w:left w:val="nil"/>
              <w:bottom w:val="nil"/>
              <w:right w:val="nil"/>
            </w:tcBorders>
            <w:noWrap/>
            <w:vAlign w:val="bottom"/>
            <w:hideMark/>
          </w:tcPr>
          <w:p w14:paraId="05086D64" w14:textId="77777777" w:rsidR="00FE5D64" w:rsidRDefault="00E40776">
            <w:pPr>
              <w:pStyle w:val="P68B1DB1-Normal91"/>
            </w:pPr>
            <w:r>
              <w:t>RM-SYSTEM Чешка фондова борса</w:t>
            </w:r>
          </w:p>
        </w:tc>
      </w:tr>
      <w:tr w:rsidR="00FE5D64" w14:paraId="4785EAE5" w14:textId="77777777">
        <w:trPr>
          <w:trHeight w:val="300"/>
        </w:trPr>
        <w:tc>
          <w:tcPr>
            <w:tcW w:w="9072" w:type="dxa"/>
            <w:tcBorders>
              <w:top w:val="nil"/>
              <w:left w:val="nil"/>
              <w:bottom w:val="nil"/>
              <w:right w:val="nil"/>
            </w:tcBorders>
            <w:noWrap/>
            <w:vAlign w:val="bottom"/>
            <w:hideMark/>
          </w:tcPr>
          <w:p w14:paraId="0E3CA4AB" w14:textId="77777777" w:rsidR="00FE5D64" w:rsidRDefault="00E40776">
            <w:pPr>
              <w:pStyle w:val="P68B1DB1-Normal91"/>
            </w:pPr>
            <w:r>
              <w:t>RoClear</w:t>
            </w:r>
          </w:p>
        </w:tc>
      </w:tr>
      <w:tr w:rsidR="00FE5D64" w14:paraId="16348C32" w14:textId="77777777">
        <w:trPr>
          <w:trHeight w:val="300"/>
        </w:trPr>
        <w:tc>
          <w:tcPr>
            <w:tcW w:w="9072" w:type="dxa"/>
            <w:tcBorders>
              <w:top w:val="nil"/>
              <w:left w:val="nil"/>
              <w:bottom w:val="nil"/>
              <w:right w:val="nil"/>
            </w:tcBorders>
            <w:noWrap/>
            <w:vAlign w:val="bottom"/>
            <w:hideMark/>
          </w:tcPr>
          <w:p w14:paraId="7791248F" w14:textId="77777777" w:rsidR="00FE5D64" w:rsidRDefault="00E40776">
            <w:pPr>
              <w:pStyle w:val="P68B1DB1-Normal91"/>
            </w:pPr>
            <w:r>
              <w:t>ПРК</w:t>
            </w:r>
          </w:p>
        </w:tc>
      </w:tr>
      <w:tr w:rsidR="00FE5D64" w14:paraId="201CD5B7" w14:textId="77777777">
        <w:trPr>
          <w:trHeight w:val="300"/>
        </w:trPr>
        <w:tc>
          <w:tcPr>
            <w:tcW w:w="9072" w:type="dxa"/>
            <w:tcBorders>
              <w:top w:val="nil"/>
              <w:left w:val="nil"/>
              <w:bottom w:val="nil"/>
              <w:right w:val="nil"/>
            </w:tcBorders>
            <w:noWrap/>
            <w:vAlign w:val="bottom"/>
            <w:hideMark/>
          </w:tcPr>
          <w:p w14:paraId="78F31295" w14:textId="77777777" w:rsidR="00FE5D64" w:rsidRDefault="00E40776">
            <w:pPr>
              <w:pStyle w:val="P68B1DB1-Normal91"/>
            </w:pPr>
            <w:r>
              <w:t>RT1</w:t>
            </w:r>
          </w:p>
        </w:tc>
      </w:tr>
      <w:tr w:rsidR="00FE5D64" w14:paraId="5D6D4D2F" w14:textId="77777777">
        <w:trPr>
          <w:trHeight w:val="300"/>
        </w:trPr>
        <w:tc>
          <w:tcPr>
            <w:tcW w:w="9072" w:type="dxa"/>
            <w:tcBorders>
              <w:top w:val="nil"/>
              <w:left w:val="nil"/>
              <w:bottom w:val="nil"/>
              <w:right w:val="nil"/>
            </w:tcBorders>
            <w:noWrap/>
            <w:vAlign w:val="bottom"/>
            <w:hideMark/>
          </w:tcPr>
          <w:p w14:paraId="0D3FA36D" w14:textId="77777777" w:rsidR="00FE5D64" w:rsidRDefault="00E40776">
            <w:pPr>
              <w:pStyle w:val="P68B1DB1-Normal91"/>
            </w:pPr>
            <w:r>
              <w:t>SAFIR</w:t>
            </w:r>
          </w:p>
        </w:tc>
      </w:tr>
      <w:tr w:rsidR="00FE5D64" w14:paraId="683945A8" w14:textId="77777777">
        <w:trPr>
          <w:trHeight w:val="300"/>
        </w:trPr>
        <w:tc>
          <w:tcPr>
            <w:tcW w:w="9072" w:type="dxa"/>
            <w:tcBorders>
              <w:top w:val="nil"/>
              <w:left w:val="nil"/>
              <w:bottom w:val="nil"/>
              <w:right w:val="nil"/>
            </w:tcBorders>
            <w:noWrap/>
            <w:vAlign w:val="bottom"/>
            <w:hideMark/>
          </w:tcPr>
          <w:p w14:paraId="4536F3F1" w14:textId="77777777" w:rsidR="00FE5D64" w:rsidRDefault="00E40776">
            <w:pPr>
              <w:pStyle w:val="P68B1DB1-Normal91"/>
            </w:pPr>
            <w:r>
              <w:t>ИЗПРАТЕНО</w:t>
            </w:r>
          </w:p>
        </w:tc>
      </w:tr>
      <w:tr w:rsidR="00FE5D64" w14:paraId="37207CC9" w14:textId="77777777">
        <w:trPr>
          <w:trHeight w:val="300"/>
        </w:trPr>
        <w:tc>
          <w:tcPr>
            <w:tcW w:w="9072" w:type="dxa"/>
            <w:tcBorders>
              <w:top w:val="nil"/>
              <w:left w:val="nil"/>
              <w:bottom w:val="nil"/>
              <w:right w:val="nil"/>
            </w:tcBorders>
            <w:noWrap/>
            <w:vAlign w:val="bottom"/>
            <w:hideMark/>
          </w:tcPr>
          <w:p w14:paraId="78322774" w14:textId="77777777" w:rsidR="00FE5D64" w:rsidRDefault="00E40776">
            <w:pPr>
              <w:pStyle w:val="P68B1DB1-Normal91"/>
            </w:pPr>
            <w:r>
              <w:t>SICOI</w:t>
            </w:r>
          </w:p>
        </w:tc>
      </w:tr>
      <w:tr w:rsidR="00FE5D64" w14:paraId="20A1D4E0" w14:textId="77777777">
        <w:trPr>
          <w:trHeight w:val="300"/>
        </w:trPr>
        <w:tc>
          <w:tcPr>
            <w:tcW w:w="9072" w:type="dxa"/>
            <w:tcBorders>
              <w:top w:val="nil"/>
              <w:left w:val="nil"/>
              <w:bottom w:val="nil"/>
              <w:right w:val="nil"/>
            </w:tcBorders>
            <w:noWrap/>
            <w:vAlign w:val="bottom"/>
            <w:hideMark/>
          </w:tcPr>
          <w:p w14:paraId="745FF75E" w14:textId="77777777" w:rsidR="00FE5D64" w:rsidRDefault="00E40776">
            <w:pPr>
              <w:pStyle w:val="P68B1DB1-Normal91"/>
            </w:pPr>
            <w:r>
              <w:t>SIMP — PS</w:t>
            </w:r>
          </w:p>
        </w:tc>
      </w:tr>
      <w:tr w:rsidR="00FE5D64" w14:paraId="1F8A8F25" w14:textId="77777777">
        <w:trPr>
          <w:trHeight w:val="300"/>
        </w:trPr>
        <w:tc>
          <w:tcPr>
            <w:tcW w:w="9072" w:type="dxa"/>
            <w:tcBorders>
              <w:top w:val="nil"/>
              <w:left w:val="nil"/>
              <w:bottom w:val="nil"/>
              <w:right w:val="nil"/>
            </w:tcBorders>
            <w:noWrap/>
            <w:vAlign w:val="bottom"/>
            <w:hideMark/>
          </w:tcPr>
          <w:p w14:paraId="7B70556F" w14:textId="77777777" w:rsidR="00FE5D64" w:rsidRDefault="00E40776">
            <w:pPr>
              <w:pStyle w:val="P68B1DB1-Normal91"/>
            </w:pPr>
            <w:r>
              <w:t>SIP SPlatobný iiém</w:t>
            </w:r>
          </w:p>
        </w:tc>
      </w:tr>
      <w:tr w:rsidR="00FE5D64" w14:paraId="661159A9" w14:textId="77777777">
        <w:trPr>
          <w:trHeight w:val="300"/>
        </w:trPr>
        <w:tc>
          <w:tcPr>
            <w:tcW w:w="9072" w:type="dxa"/>
            <w:tcBorders>
              <w:top w:val="nil"/>
              <w:left w:val="nil"/>
              <w:bottom w:val="nil"/>
              <w:right w:val="nil"/>
            </w:tcBorders>
            <w:noWrap/>
            <w:vAlign w:val="bottom"/>
            <w:hideMark/>
          </w:tcPr>
          <w:p w14:paraId="21A22FD2" w14:textId="77777777" w:rsidR="00FE5D64" w:rsidRDefault="00E40776">
            <w:pPr>
              <w:pStyle w:val="P68B1DB1-Normal91"/>
            </w:pPr>
            <w:r>
              <w:t>SIX</w:t>
            </w:r>
          </w:p>
        </w:tc>
      </w:tr>
      <w:tr w:rsidR="00FE5D64" w14:paraId="01B00784" w14:textId="77777777">
        <w:trPr>
          <w:trHeight w:val="300"/>
        </w:trPr>
        <w:tc>
          <w:tcPr>
            <w:tcW w:w="9072" w:type="dxa"/>
            <w:tcBorders>
              <w:top w:val="nil"/>
              <w:left w:val="nil"/>
              <w:bottom w:val="nil"/>
              <w:right w:val="nil"/>
            </w:tcBorders>
            <w:noWrap/>
            <w:vAlign w:val="bottom"/>
            <w:hideMark/>
          </w:tcPr>
          <w:p w14:paraId="42A9A872" w14:textId="77777777" w:rsidR="00FE5D64" w:rsidRDefault="00E40776">
            <w:pPr>
              <w:pStyle w:val="P68B1DB1-Normal91"/>
            </w:pPr>
            <w:r>
              <w:t>Шест междубанков клиринг (SIC)/EuroSIC</w:t>
            </w:r>
          </w:p>
        </w:tc>
      </w:tr>
      <w:tr w:rsidR="00FE5D64" w14:paraId="4AB76E2F" w14:textId="77777777">
        <w:trPr>
          <w:trHeight w:val="300"/>
        </w:trPr>
        <w:tc>
          <w:tcPr>
            <w:tcW w:w="9072" w:type="dxa"/>
            <w:tcBorders>
              <w:top w:val="nil"/>
              <w:left w:val="nil"/>
              <w:bottom w:val="nil"/>
              <w:right w:val="nil"/>
            </w:tcBorders>
            <w:noWrap/>
            <w:vAlign w:val="bottom"/>
            <w:hideMark/>
          </w:tcPr>
          <w:p w14:paraId="591D0E38" w14:textId="77777777" w:rsidR="00FE5D64" w:rsidRDefault="00E40776">
            <w:pPr>
              <w:pStyle w:val="P68B1DB1-Normal91"/>
            </w:pPr>
            <w:r>
              <w:t>SIX Swiss Exchange;</w:t>
            </w:r>
          </w:p>
        </w:tc>
      </w:tr>
      <w:tr w:rsidR="00FE5D64" w14:paraId="0FE15923" w14:textId="77777777">
        <w:trPr>
          <w:trHeight w:val="300"/>
        </w:trPr>
        <w:tc>
          <w:tcPr>
            <w:tcW w:w="9072" w:type="dxa"/>
            <w:tcBorders>
              <w:top w:val="nil"/>
              <w:left w:val="nil"/>
              <w:bottom w:val="nil"/>
              <w:right w:val="nil"/>
            </w:tcBorders>
            <w:noWrap/>
            <w:vAlign w:val="bottom"/>
            <w:hideMark/>
          </w:tcPr>
          <w:p w14:paraId="7A0AEADF" w14:textId="77777777" w:rsidR="00FE5D64" w:rsidRDefault="00E40776">
            <w:pPr>
              <w:pStyle w:val="P68B1DB1-Normal91"/>
            </w:pPr>
            <w:r>
              <w:t>Шест х-бистри</w:t>
            </w:r>
          </w:p>
        </w:tc>
      </w:tr>
      <w:tr w:rsidR="00FE5D64" w14:paraId="58C9ED3B" w14:textId="77777777">
        <w:trPr>
          <w:trHeight w:val="300"/>
        </w:trPr>
        <w:tc>
          <w:tcPr>
            <w:tcW w:w="9072" w:type="dxa"/>
            <w:tcBorders>
              <w:top w:val="nil"/>
              <w:left w:val="nil"/>
              <w:bottom w:val="nil"/>
              <w:right w:val="nil"/>
            </w:tcBorders>
            <w:noWrap/>
            <w:vAlign w:val="bottom"/>
            <w:hideMark/>
          </w:tcPr>
          <w:p w14:paraId="53254B63" w14:textId="77777777" w:rsidR="00FE5D64" w:rsidRDefault="00E40776">
            <w:pPr>
              <w:pStyle w:val="P68B1DB1-Normal91"/>
            </w:pPr>
            <w:r>
              <w:t>SKD (Система за краткосрочни облигации)</w:t>
            </w:r>
          </w:p>
        </w:tc>
      </w:tr>
      <w:tr w:rsidR="00FE5D64" w14:paraId="479A72E9" w14:textId="77777777">
        <w:trPr>
          <w:trHeight w:val="300"/>
        </w:trPr>
        <w:tc>
          <w:tcPr>
            <w:tcW w:w="9072" w:type="dxa"/>
            <w:tcBorders>
              <w:top w:val="nil"/>
              <w:left w:val="nil"/>
              <w:bottom w:val="nil"/>
              <w:right w:val="nil"/>
            </w:tcBorders>
            <w:noWrap/>
            <w:vAlign w:val="bottom"/>
            <w:hideMark/>
          </w:tcPr>
          <w:p w14:paraId="559EC939" w14:textId="77777777" w:rsidR="00FE5D64" w:rsidRDefault="00E40776">
            <w:pPr>
              <w:pStyle w:val="P68B1DB1-Normal91"/>
            </w:pPr>
            <w:r>
              <w:t>SNCE (Sistema Nacional de Compensación Electrónica)</w:t>
            </w:r>
          </w:p>
        </w:tc>
      </w:tr>
      <w:tr w:rsidR="00FE5D64" w14:paraId="61D37C20" w14:textId="77777777">
        <w:trPr>
          <w:trHeight w:val="300"/>
        </w:trPr>
        <w:tc>
          <w:tcPr>
            <w:tcW w:w="9072" w:type="dxa"/>
            <w:tcBorders>
              <w:top w:val="nil"/>
              <w:left w:val="nil"/>
              <w:bottom w:val="nil"/>
              <w:right w:val="nil"/>
            </w:tcBorders>
            <w:noWrap/>
            <w:vAlign w:val="bottom"/>
            <w:hideMark/>
          </w:tcPr>
          <w:p w14:paraId="0B37415E" w14:textId="77777777" w:rsidR="00FE5D64" w:rsidRDefault="00E40776">
            <w:pPr>
              <w:pStyle w:val="P68B1DB1-Normal91"/>
            </w:pPr>
            <w:r>
              <w:t>Société de la Bourse du Luxembourg SA</w:t>
            </w:r>
          </w:p>
        </w:tc>
      </w:tr>
      <w:tr w:rsidR="00FE5D64" w14:paraId="09E4F71F" w14:textId="77777777">
        <w:trPr>
          <w:trHeight w:val="300"/>
        </w:trPr>
        <w:tc>
          <w:tcPr>
            <w:tcW w:w="9072" w:type="dxa"/>
            <w:tcBorders>
              <w:top w:val="nil"/>
              <w:left w:val="nil"/>
              <w:bottom w:val="nil"/>
              <w:right w:val="nil"/>
            </w:tcBorders>
            <w:noWrap/>
            <w:vAlign w:val="bottom"/>
            <w:hideMark/>
          </w:tcPr>
          <w:p w14:paraId="094DD4AF" w14:textId="77777777" w:rsidR="00FE5D64" w:rsidRDefault="00E40776">
            <w:pPr>
              <w:pStyle w:val="P68B1DB1-Normal91"/>
            </w:pPr>
            <w:r>
              <w:t>SORBNET2</w:t>
            </w:r>
          </w:p>
        </w:tc>
      </w:tr>
      <w:tr w:rsidR="00FE5D64" w14:paraId="1E86EA3A" w14:textId="77777777">
        <w:trPr>
          <w:trHeight w:val="300"/>
        </w:trPr>
        <w:tc>
          <w:tcPr>
            <w:tcW w:w="9072" w:type="dxa"/>
            <w:tcBorders>
              <w:top w:val="nil"/>
              <w:left w:val="nil"/>
              <w:bottom w:val="nil"/>
              <w:right w:val="nil"/>
            </w:tcBorders>
            <w:noWrap/>
            <w:vAlign w:val="bottom"/>
            <w:hideMark/>
          </w:tcPr>
          <w:p w14:paraId="2FE926EC" w14:textId="77777777" w:rsidR="00FE5D64" w:rsidRDefault="00E40776">
            <w:pPr>
              <w:pStyle w:val="P68B1DB1-Normal91"/>
            </w:pPr>
            <w:r>
              <w:t>СТЪПКА 1</w:t>
            </w:r>
          </w:p>
        </w:tc>
      </w:tr>
      <w:tr w:rsidR="00FE5D64" w14:paraId="4A3D7A33" w14:textId="77777777">
        <w:trPr>
          <w:trHeight w:val="300"/>
        </w:trPr>
        <w:tc>
          <w:tcPr>
            <w:tcW w:w="9072" w:type="dxa"/>
            <w:tcBorders>
              <w:top w:val="nil"/>
              <w:left w:val="nil"/>
              <w:bottom w:val="nil"/>
              <w:right w:val="nil"/>
            </w:tcBorders>
            <w:noWrap/>
            <w:vAlign w:val="bottom"/>
            <w:hideMark/>
          </w:tcPr>
          <w:p w14:paraId="38D47947" w14:textId="77777777" w:rsidR="00FE5D64" w:rsidRDefault="00E40776">
            <w:pPr>
              <w:pStyle w:val="P68B1DB1-Normal91"/>
            </w:pPr>
            <w:r>
              <w:t>СТЪПКА 2</w:t>
            </w:r>
          </w:p>
        </w:tc>
      </w:tr>
      <w:tr w:rsidR="00FE5D64" w14:paraId="305AEF07" w14:textId="77777777">
        <w:trPr>
          <w:trHeight w:val="300"/>
        </w:trPr>
        <w:tc>
          <w:tcPr>
            <w:tcW w:w="9072" w:type="dxa"/>
            <w:tcBorders>
              <w:top w:val="nil"/>
              <w:left w:val="nil"/>
              <w:bottom w:val="nil"/>
              <w:right w:val="nil"/>
            </w:tcBorders>
            <w:noWrap/>
            <w:vAlign w:val="bottom"/>
            <w:hideMark/>
          </w:tcPr>
          <w:p w14:paraId="3385D576" w14:textId="77777777" w:rsidR="00FE5D64" w:rsidRDefault="00E40776">
            <w:pPr>
              <w:pStyle w:val="P68B1DB1-Normal91"/>
            </w:pPr>
            <w:r>
              <w:t>STET/ОСНОВНА</w:t>
            </w:r>
          </w:p>
        </w:tc>
      </w:tr>
      <w:tr w:rsidR="00FE5D64" w14:paraId="68530B39" w14:textId="77777777">
        <w:trPr>
          <w:trHeight w:val="300"/>
        </w:trPr>
        <w:tc>
          <w:tcPr>
            <w:tcW w:w="9072" w:type="dxa"/>
            <w:tcBorders>
              <w:top w:val="nil"/>
              <w:left w:val="nil"/>
              <w:bottom w:val="nil"/>
              <w:right w:val="nil"/>
            </w:tcBorders>
            <w:noWrap/>
            <w:vAlign w:val="bottom"/>
            <w:hideMark/>
          </w:tcPr>
          <w:p w14:paraId="2B90AD3F" w14:textId="77777777" w:rsidR="00FE5D64" w:rsidRDefault="00E40776">
            <w:pPr>
              <w:pStyle w:val="P68B1DB1-Normal91"/>
            </w:pPr>
            <w:r>
              <w:t>Straksclearingen</w:t>
            </w:r>
          </w:p>
        </w:tc>
      </w:tr>
      <w:tr w:rsidR="00FE5D64" w14:paraId="0E50A9AB" w14:textId="77777777">
        <w:trPr>
          <w:trHeight w:val="300"/>
        </w:trPr>
        <w:tc>
          <w:tcPr>
            <w:tcW w:w="9072" w:type="dxa"/>
            <w:tcBorders>
              <w:top w:val="nil"/>
              <w:left w:val="nil"/>
              <w:bottom w:val="nil"/>
              <w:right w:val="nil"/>
            </w:tcBorders>
            <w:noWrap/>
            <w:vAlign w:val="bottom"/>
            <w:hideMark/>
          </w:tcPr>
          <w:p w14:paraId="54E27288" w14:textId="77777777" w:rsidR="00FE5D64" w:rsidRDefault="00E40776">
            <w:pPr>
              <w:pStyle w:val="P68B1DB1-Normal91"/>
            </w:pPr>
            <w:r>
              <w:t>Sumclearingen</w:t>
            </w:r>
          </w:p>
        </w:tc>
      </w:tr>
      <w:tr w:rsidR="00FE5D64" w14:paraId="0C6135E4" w14:textId="77777777">
        <w:trPr>
          <w:trHeight w:val="300"/>
        </w:trPr>
        <w:tc>
          <w:tcPr>
            <w:tcW w:w="9072" w:type="dxa"/>
            <w:tcBorders>
              <w:top w:val="nil"/>
              <w:left w:val="nil"/>
              <w:bottom w:val="nil"/>
              <w:right w:val="nil"/>
            </w:tcBorders>
            <w:noWrap/>
            <w:vAlign w:val="bottom"/>
            <w:hideMark/>
          </w:tcPr>
          <w:p w14:paraId="4789CBEE" w14:textId="77777777" w:rsidR="00FE5D64" w:rsidRDefault="00E40776">
            <w:pPr>
              <w:pStyle w:val="P68B1DB1-Normal91"/>
            </w:pPr>
            <w:r>
              <w:t>T2S (SSS — само за пряка свързаност)</w:t>
            </w:r>
          </w:p>
        </w:tc>
      </w:tr>
      <w:tr w:rsidR="00FE5D64" w14:paraId="791932E6" w14:textId="77777777">
        <w:trPr>
          <w:trHeight w:val="300"/>
        </w:trPr>
        <w:tc>
          <w:tcPr>
            <w:tcW w:w="9072" w:type="dxa"/>
            <w:tcBorders>
              <w:top w:val="nil"/>
              <w:left w:val="nil"/>
              <w:bottom w:val="nil"/>
              <w:right w:val="nil"/>
            </w:tcBorders>
            <w:noWrap/>
            <w:vAlign w:val="bottom"/>
            <w:hideMark/>
          </w:tcPr>
          <w:p w14:paraId="085D29CC" w14:textId="77777777" w:rsidR="00FE5D64" w:rsidRDefault="00E40776">
            <w:pPr>
              <w:pStyle w:val="P68B1DB1-Normal91"/>
            </w:pPr>
            <w:r>
              <w:t>ТАРГЕТ2</w:t>
            </w:r>
          </w:p>
        </w:tc>
      </w:tr>
      <w:tr w:rsidR="00FE5D64" w14:paraId="0379A497" w14:textId="77777777">
        <w:trPr>
          <w:trHeight w:val="300"/>
        </w:trPr>
        <w:tc>
          <w:tcPr>
            <w:tcW w:w="9072" w:type="dxa"/>
            <w:tcBorders>
              <w:top w:val="nil"/>
              <w:left w:val="nil"/>
              <w:bottom w:val="nil"/>
              <w:right w:val="nil"/>
            </w:tcBorders>
            <w:noWrap/>
            <w:vAlign w:val="bottom"/>
            <w:hideMark/>
          </w:tcPr>
          <w:p w14:paraId="56C29FCF" w14:textId="77777777" w:rsidR="00FE5D64" w:rsidRDefault="00E40776">
            <w:pPr>
              <w:pStyle w:val="P68B1DB1-Normal91"/>
            </w:pPr>
            <w:r>
              <w:t>СЪВЕТИ</w:t>
            </w:r>
          </w:p>
        </w:tc>
      </w:tr>
      <w:tr w:rsidR="00FE5D64" w14:paraId="19C63903" w14:textId="77777777">
        <w:trPr>
          <w:trHeight w:val="300"/>
        </w:trPr>
        <w:tc>
          <w:tcPr>
            <w:tcW w:w="9072" w:type="dxa"/>
            <w:tcBorders>
              <w:top w:val="nil"/>
              <w:left w:val="nil"/>
              <w:bottom w:val="nil"/>
              <w:right w:val="nil"/>
            </w:tcBorders>
            <w:noWrap/>
            <w:vAlign w:val="bottom"/>
            <w:hideMark/>
          </w:tcPr>
          <w:p w14:paraId="6CABE6E8" w14:textId="77777777" w:rsidR="00FE5D64" w:rsidRDefault="00E40776">
            <w:pPr>
              <w:pStyle w:val="P68B1DB1-Normal91"/>
            </w:pPr>
            <w:r>
              <w:t>UnaVista Limited</w:t>
            </w:r>
          </w:p>
        </w:tc>
      </w:tr>
      <w:tr w:rsidR="00FE5D64" w14:paraId="7E731946" w14:textId="77777777">
        <w:trPr>
          <w:trHeight w:val="300"/>
        </w:trPr>
        <w:tc>
          <w:tcPr>
            <w:tcW w:w="9072" w:type="dxa"/>
            <w:tcBorders>
              <w:top w:val="nil"/>
              <w:left w:val="nil"/>
              <w:bottom w:val="nil"/>
              <w:right w:val="nil"/>
            </w:tcBorders>
            <w:noWrap/>
            <w:vAlign w:val="bottom"/>
            <w:hideMark/>
          </w:tcPr>
          <w:p w14:paraId="6485DCC3" w14:textId="77777777" w:rsidR="00FE5D64" w:rsidRDefault="00E40776">
            <w:pPr>
              <w:pStyle w:val="P68B1DB1-Normal91"/>
            </w:pPr>
            <w:r>
              <w:t>Verdipapirsentralen (VPS)</w:t>
            </w:r>
          </w:p>
        </w:tc>
      </w:tr>
      <w:tr w:rsidR="00FE5D64" w14:paraId="599BD0C0" w14:textId="77777777">
        <w:trPr>
          <w:trHeight w:val="300"/>
        </w:trPr>
        <w:tc>
          <w:tcPr>
            <w:tcW w:w="9072" w:type="dxa"/>
            <w:tcBorders>
              <w:top w:val="nil"/>
              <w:left w:val="nil"/>
              <w:bottom w:val="nil"/>
              <w:right w:val="nil"/>
            </w:tcBorders>
            <w:noWrap/>
            <w:vAlign w:val="bottom"/>
            <w:hideMark/>
          </w:tcPr>
          <w:p w14:paraId="209D9CF9" w14:textId="77777777" w:rsidR="00FE5D64" w:rsidRDefault="00E40776">
            <w:pPr>
              <w:pStyle w:val="P68B1DB1-Normal91"/>
            </w:pPr>
            <w:r>
              <w:t>ВИБЕР</w:t>
            </w:r>
          </w:p>
        </w:tc>
      </w:tr>
      <w:tr w:rsidR="00FE5D64" w14:paraId="3CBF4EA3" w14:textId="77777777">
        <w:trPr>
          <w:trHeight w:val="300"/>
        </w:trPr>
        <w:tc>
          <w:tcPr>
            <w:tcW w:w="9072" w:type="dxa"/>
            <w:tcBorders>
              <w:top w:val="nil"/>
              <w:left w:val="nil"/>
              <w:bottom w:val="nil"/>
              <w:right w:val="nil"/>
            </w:tcBorders>
            <w:noWrap/>
            <w:vAlign w:val="bottom"/>
            <w:hideMark/>
          </w:tcPr>
          <w:p w14:paraId="49A43CDA" w14:textId="77777777" w:rsidR="00FE5D64" w:rsidRDefault="00E40776">
            <w:pPr>
              <w:pStyle w:val="P68B1DB1-Normal91"/>
            </w:pPr>
            <w:r>
              <w:t>Заместник-председател Lux</w:t>
            </w:r>
          </w:p>
        </w:tc>
      </w:tr>
      <w:tr w:rsidR="00FE5D64" w14:paraId="20C89571" w14:textId="77777777">
        <w:trPr>
          <w:trHeight w:val="300"/>
        </w:trPr>
        <w:tc>
          <w:tcPr>
            <w:tcW w:w="9072" w:type="dxa"/>
            <w:tcBorders>
              <w:top w:val="nil"/>
              <w:left w:val="nil"/>
              <w:bottom w:val="nil"/>
              <w:right w:val="nil"/>
            </w:tcBorders>
            <w:noWrap/>
            <w:vAlign w:val="bottom"/>
            <w:hideMark/>
          </w:tcPr>
          <w:p w14:paraId="12389C15" w14:textId="77777777" w:rsidR="00FE5D64" w:rsidRDefault="00E40776">
            <w:pPr>
              <w:pStyle w:val="P68B1DB1-Normal91"/>
            </w:pPr>
            <w:r>
              <w:t>VP Securities A/S</w:t>
            </w:r>
          </w:p>
        </w:tc>
      </w:tr>
    </w:tbl>
    <w:p w14:paraId="1E4D7216" w14:textId="77777777" w:rsidR="00FE5D64" w:rsidRDefault="00FE5D64">
      <w:pPr>
        <w:pStyle w:val="body"/>
        <w:rPr>
          <w:rFonts w:ascii="Times New Roman" w:hAnsi="Times New Roman" w:cs="Times New Roman"/>
          <w:sz w:val="20"/>
          <w:szCs w:val="20"/>
        </w:rPr>
      </w:pPr>
    </w:p>
    <w:sectPr w:rsidR="00FE5D64">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FE5D64" w:rsidRDefault="00E40776">
      <w:r>
        <w:separator/>
      </w:r>
    </w:p>
  </w:endnote>
  <w:endnote w:type="continuationSeparator" w:id="0">
    <w:p w14:paraId="6597FB1C" w14:textId="77777777" w:rsidR="00FE5D64" w:rsidRDefault="00E40776">
      <w:r>
        <w:continuationSeparator/>
      </w:r>
    </w:p>
  </w:endnote>
  <w:endnote w:type="continuationNotice" w:id="1">
    <w:p w14:paraId="3A49FE7B" w14:textId="77777777" w:rsidR="00FE5D64" w:rsidRDefault="00FE5D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FE5D64" w:rsidRDefault="00E40776">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FE5D64" w:rsidRDefault="00FE5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FE5D64" w:rsidRDefault="00E40776">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Текстово поле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FE5D64" w:rsidRDefault="00E40776">
                      <w:pPr>
                        <w:pStyle w:val="P68B1DB1-Normal92"/>
                        <w:rPr>
                          <w:bCs/>
                        </w:rPr>
                      </w:pPr>
                      <w:r>
                        <w:t>Първоначално тези указания бяха изготвени на английски език. Преводът им на другите официални езици на ЕС се извършва чрез eTranslation — службата за машинен превод на Европейската комисия въз основа на полагане на максимални усилия.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FE5D64" w:rsidRDefault="00E40776">
      <w:r>
        <w:separator/>
      </w:r>
    </w:p>
  </w:footnote>
  <w:footnote w:type="continuationSeparator" w:id="0">
    <w:p w14:paraId="1BFD6958" w14:textId="77777777" w:rsidR="00FE5D64" w:rsidRDefault="00E40776">
      <w:r>
        <w:continuationSeparator/>
      </w:r>
    </w:p>
  </w:footnote>
  <w:footnote w:type="continuationNotice" w:id="1">
    <w:p w14:paraId="34EA159C" w14:textId="77777777" w:rsidR="00FE5D64" w:rsidRDefault="00FE5D64"/>
  </w:footnote>
  <w:footnote w:id="2">
    <w:p w14:paraId="0A3F5404" w14:textId="77777777" w:rsidR="00FE5D64" w:rsidRDefault="00E40776">
      <w:pPr>
        <w:pStyle w:val="FootnoteText"/>
      </w:pPr>
      <w:r>
        <w:rPr>
          <w:rStyle w:val="FootnoteReference"/>
        </w:rPr>
        <w:footnoteRef/>
      </w:r>
      <w:r>
        <w:t xml:space="preserve"> Регламент за изпълнение (ЕС) 2024/3117 на Комисията от 29 ноември 2024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2021/451 на Комисията</w:t>
      </w:r>
      <w:r>
        <w:rPr>
          <w:i/>
        </w:rPr>
        <w:t>(ОВ L, 2024/3117, 27.12.2024 г.,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FE5D64" w:rsidRDefault="00E40776">
      <w:pPr>
        <w:pStyle w:val="FootnoteText"/>
      </w:pPr>
      <w:r>
        <w:rPr>
          <w:rStyle w:val="FootnoteReference"/>
          <w:rFonts w:ascii="Times New Roman" w:hAnsi="Times New Roman"/>
        </w:rPr>
        <w:footnoteRef/>
      </w:r>
      <w:r>
        <w:t xml:space="preserve"> 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4">
    <w:p w14:paraId="7FE1D259" w14:textId="77777777" w:rsidR="00FE5D64" w:rsidRDefault="00E40776">
      <w:pPr>
        <w:pStyle w:val="FootnoteText"/>
      </w:pPr>
      <w:r>
        <w:rPr>
          <w:rStyle w:val="FootnoteReference"/>
          <w:rFonts w:ascii="Times New Roman" w:hAnsi="Times New Roman"/>
        </w:rPr>
        <w:footnoteRef/>
      </w:r>
      <w:r>
        <w:t xml:space="preserve"> 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5">
    <w:p w14:paraId="7FE1D25A" w14:textId="77777777" w:rsidR="00FE5D64" w:rsidRDefault="00E40776">
      <w:pPr>
        <w:pStyle w:val="FootnoteText"/>
      </w:pPr>
      <w:r>
        <w:rPr>
          <w:rStyle w:val="FootnoteReference"/>
          <w:rFonts w:ascii="Times New Roman" w:hAnsi="Times New Roman"/>
        </w:rPr>
        <w:footnoteRef/>
      </w:r>
      <w:r>
        <w:t xml:space="preserve"> 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6">
    <w:p w14:paraId="06EB0A65" w14:textId="77777777" w:rsidR="00FE5D64" w:rsidRDefault="00E40776">
      <w:pPr>
        <w:pStyle w:val="FootnoteText"/>
      </w:pPr>
      <w:r>
        <w:rPr>
          <w:rStyle w:val="FootnoteReference"/>
          <w:rFonts w:ascii="Times New Roman" w:hAnsi="Times New Roman"/>
        </w:rPr>
        <w:footnoteRef/>
      </w:r>
      <w:r>
        <w:t xml:space="preserve"> Регламент (ЕС) № 575/2013 на Европейския парламент и на Съвета от 26 юни 2 013 година относно пруденциалните изисквания за кредитните институции и инвестиционните посредници и за изменение на Регламент (ЕС) № 648/2012 (ОВ L 176, 27.6.2013 г., стр. 1).</w:t>
      </w:r>
    </w:p>
  </w:footnote>
  <w:footnote w:id="7">
    <w:p w14:paraId="7FE1D25C" w14:textId="77777777" w:rsidR="00FE5D64" w:rsidRDefault="00E40776">
      <w:pPr>
        <w:pStyle w:val="FootnoteText"/>
      </w:pPr>
      <w:r>
        <w:rPr>
          <w:rStyle w:val="FootnoteReference"/>
        </w:rPr>
        <w:footnoteRef/>
      </w:r>
      <w:r>
        <w:t xml:space="preserve"> 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8">
    <w:p w14:paraId="7FE1D25D" w14:textId="77777777" w:rsidR="00FE5D64" w:rsidRDefault="00E40776">
      <w:pPr>
        <w:pStyle w:val="FootnoteText"/>
      </w:pPr>
      <w:r>
        <w:rPr>
          <w:rStyle w:val="FootnoteReference"/>
        </w:rPr>
        <w:footnoteRef/>
      </w:r>
      <w:r>
        <w:t xml:space="preserve"> Регламент (ЕС) 2019/2033 на Европейския парламент и на Съвета от 27 ноември 2 019 година относно пруденциалните изисквания за инвестиционните посредници и за изменение на регламенти (ЕС) № 1093/2010, (ЕС) № 575/2013, (ЕС) № 600/2014 и (ЕС) № 806/2014 (ОВ L 314, 5.12.2019 г., стр. 1).</w:t>
      </w:r>
    </w:p>
  </w:footnote>
  <w:footnote w:id="9">
    <w:p w14:paraId="7FE1D25E" w14:textId="77777777" w:rsidR="00FE5D64" w:rsidRDefault="00E40776">
      <w:pPr>
        <w:pStyle w:val="FootnoteText"/>
      </w:pPr>
      <w:r>
        <w:rPr>
          <w:rStyle w:val="FootnoteReference"/>
        </w:rPr>
        <w:footnoteRef/>
      </w:r>
      <w:r>
        <w:t xml:space="preserve"> Директива (ЕС) 2019/2034 на Европейския парламент и на Съвета от 27 ноември 2019 г. относно пруденциалния надзор върху инвестиционните посредници и за изменение на директиви 2002/87/ЕО, 2009/65/ЕО, 2011/61/ЕС, 2013/36/ЕС, 2014/59/ЕС и 2014/65/ЕС (ОВ L 314, 5.12.2019 г., стр. 64)</w:t>
      </w:r>
    </w:p>
  </w:footnote>
  <w:footnote w:id="10">
    <w:p w14:paraId="7FE1D25F" w14:textId="77777777" w:rsidR="00FE5D64" w:rsidRDefault="00E40776">
      <w:pPr>
        <w:pStyle w:val="FootnoteText"/>
      </w:pPr>
      <w:r>
        <w:rPr>
          <w:rStyle w:val="FootnoteReference"/>
          <w:rFonts w:ascii="Times New Roman" w:hAnsi="Times New Roman"/>
        </w:rPr>
        <w:footnoteRef/>
      </w:r>
      <w:r>
        <w:t xml:space="preserve"> Директива 2009/138/ЕО на Европейския парламент и на Съвета от 25 ноември 2009 г. относно започването и упражняването на застрахователна и презастрахователна дейност (Платежоспособност II) (Текст от значение за ЕИП) (ОВ L 335, 17.12.2009 г., стр. 1).</w:t>
      </w:r>
    </w:p>
  </w:footnote>
  <w:footnote w:id="11">
    <w:p w14:paraId="7FE1D260" w14:textId="2ADC4F18" w:rsidR="00FE5D64" w:rsidRDefault="00E40776">
      <w:pPr>
        <w:pStyle w:val="FootnoteText"/>
      </w:pPr>
      <w:r>
        <w:rPr>
          <w:rStyle w:val="FootnoteReference"/>
          <w:rFonts w:ascii="Times New Roman" w:hAnsi="Times New Roman"/>
        </w:rPr>
        <w:footnoteRef/>
      </w:r>
      <w:r>
        <w:t xml:space="preserve"> Регламент (ЕС) 2021/379 на Европейската централна банка относно баланса на сектор „Парично-финансови институции“ (ОВ L 297 7.11.2013 г., стр. 1)</w:t>
      </w:r>
    </w:p>
  </w:footnote>
  <w:footnote w:id="12">
    <w:p w14:paraId="7FE1D261" w14:textId="77777777" w:rsidR="00FE5D64" w:rsidRDefault="00E40776">
      <w:pPr>
        <w:pStyle w:val="FootnoteText"/>
      </w:pPr>
      <w:r>
        <w:rPr>
          <w:rStyle w:val="FootnoteReference"/>
          <w:rFonts w:ascii="Times New Roman" w:hAnsi="Times New Roman"/>
        </w:rPr>
        <w:footnoteRef/>
      </w:r>
      <w:r>
        <w:t xml:space="preserve"> Препоръка на Комисията от 6 май 2003 г. относно определението за микро-, малки и средни предприятия (нотифицирано под номер C(2003) 1422) (ОВ L 124, 20.5.2003 г., стр. 36).</w:t>
      </w:r>
    </w:p>
  </w:footnote>
  <w:footnote w:id="13">
    <w:p w14:paraId="74BC1C09" w14:textId="2C5E1052" w:rsidR="00FE5D64" w:rsidRDefault="00E40776">
      <w:pPr>
        <w:pStyle w:val="FootnoteText"/>
      </w:pPr>
      <w:r>
        <w:rPr>
          <w:rStyle w:val="FootnoteReference"/>
        </w:rPr>
        <w:footnoteRef/>
      </w:r>
      <w:r>
        <w:t xml:space="preserve"> Директива 2014/65/ЕС на Европейския парламент и на Съвета от 15 май 2014 г. относно пазарите за финансови инструменти ( </w:t>
      </w:r>
      <w:r>
        <w:rPr>
          <w:rFonts w:hint="eastAsia"/>
        </w:rPr>
        <w:t>ОВ</w:t>
      </w:r>
      <w:r>
        <w:rPr>
          <w:rFonts w:hint="eastAsia"/>
        </w:rPr>
        <w:t xml:space="preserve"> L 173, 12.6.2014 </w:t>
      </w:r>
      <w:r>
        <w:rPr>
          <w:rFonts w:hint="eastAsia"/>
        </w:rPr>
        <w:t>г</w:t>
      </w:r>
      <w:r>
        <w:rPr>
          <w:rFonts w:hint="eastAsia"/>
        </w:rPr>
        <w:t xml:space="preserve">., </w:t>
      </w:r>
      <w:r>
        <w:rPr>
          <w:rFonts w:hint="eastAsia"/>
        </w:rPr>
        <w:t>стр</w:t>
      </w:r>
      <w:r>
        <w:rPr>
          <w:rFonts w:hint="eastAsia"/>
        </w:rPr>
        <w:t>. 349)</w:t>
      </w:r>
      <w:r>
        <w:t>.</w:t>
      </w:r>
    </w:p>
  </w:footnote>
  <w:footnote w:id="14">
    <w:p w14:paraId="7FE1D263" w14:textId="77777777" w:rsidR="00FE5D64" w:rsidRDefault="00E40776">
      <w:pPr>
        <w:pStyle w:val="FootnoteText"/>
      </w:pPr>
      <w:r>
        <w:rPr>
          <w:rStyle w:val="FootnoteReference"/>
        </w:rPr>
        <w:footnoteRef/>
      </w:r>
      <w:r>
        <w:t xml:space="preserve"> Директива 2014/59/ЕС на Европейския парламент и на Съвета от 15 май 2014 г. за създаване на рамка за възстановяване и преструктуриране на кредитни институции и инвестиционни посредници и за изменение на Директива 82/891/ЕИО на Съвета и директиви 2001/24/ЕО, 2002/47/ЕО, 2004/25/ЕО, 2005/56/ЕО, 2007/36/ЕО, 2011/35/ЕС, 2012/30/ЕС и 2013/36/ЕС и на регламенти (ЕС) № 1093/2010 и (ЕС) № 648/2012 на Европейския парламент и на Съвета (ОВ L 173, 12.6.2014 г., стр. 190).</w:t>
      </w:r>
    </w:p>
  </w:footnote>
  <w:footnote w:id="15">
    <w:p w14:paraId="7FE1D264" w14:textId="77777777" w:rsidR="00FE5D64" w:rsidRDefault="00E40776">
      <w:pPr>
        <w:pStyle w:val="FootnoteText"/>
      </w:pPr>
      <w:r>
        <w:rPr>
          <w:rStyle w:val="FootnoteReference"/>
        </w:rPr>
        <w:footnoteRef/>
      </w:r>
      <w:r>
        <w:t xml:space="preserve"> Директива 2014/49/ЕС на Европейския парламент и на Съвета от 16 април 2014 г. относно схемите за гарантиране на депозити (ОВ L 173, 12.6.2014 г., стр. 149).</w:t>
      </w:r>
    </w:p>
  </w:footnote>
  <w:footnote w:id="16">
    <w:p w14:paraId="7FE1D267" w14:textId="77777777" w:rsidR="00FE5D64" w:rsidRDefault="00E40776">
      <w:pPr>
        <w:pStyle w:val="FootnoteText"/>
      </w:pPr>
      <w:r>
        <w:rPr>
          <w:rStyle w:val="FootnoteReference"/>
        </w:rPr>
        <w:footnoteRef/>
      </w:r>
      <w:r>
        <w:t xml:space="preserve"> Делегиран регламент (ЕС) 2016/1401 на Комисията от 23 май 2016 г. за допълване на Директива 2014/59/ЕС на Европейския парламент и на Съвета за създаване на рамка за възстановяване и преструктуриране на кредитни институции и инвестиционни посредници по отношение на регулаторните технически стандарти за методологиите и принципите на оценяване на задълженията, произтичащи от деривати (ОВ L 228, 23.8.2016 г., стр. 7).</w:t>
      </w:r>
    </w:p>
  </w:footnote>
  <w:footnote w:id="17">
    <w:p w14:paraId="7FE1D268" w14:textId="77777777" w:rsidR="00FE5D64" w:rsidRDefault="00E40776">
      <w:pPr>
        <w:pStyle w:val="FootnoteText"/>
      </w:pPr>
      <w:r>
        <w:rPr>
          <w:rStyle w:val="FootnoteReference"/>
        </w:rPr>
        <w:footnoteRef/>
      </w:r>
      <w:r>
        <w:t xml:space="preserve"> Размера на предпазния капиталов буфер по член 129 от Директива 2013/36/ЕС;</w:t>
      </w:r>
    </w:p>
  </w:footnote>
  <w:footnote w:id="18">
    <w:p w14:paraId="7FE1D269" w14:textId="77777777" w:rsidR="00FE5D64" w:rsidRDefault="00E40776">
      <w:pPr>
        <w:pStyle w:val="FootnoteText"/>
      </w:pPr>
      <w:r>
        <w:rPr>
          <w:rStyle w:val="FootnoteReference"/>
        </w:rPr>
        <w:footnoteRef/>
      </w:r>
      <w:r>
        <w:t xml:space="preserve"> Делегиран регламент (ЕС) 2016/778 на Комисията от 2 февруари 2016 г. за допълване на Директива 2014/59/ЕС на Европейския парламент и на Съвета по отношение на обстоятелствата и условията, при които плащането на извънредните последващи вноски може да бъде частично или напълно отложено, както и по отношение на критериите за определяне на дейностите, услугите и операциите — във връзка с критичните функции, и за определяне на стопанските дейности и свързаните с тях услуги — във връзка с основните стопански дей</w:t>
      </w:r>
      <w:r>
        <w:t>ности (ОВ L 131, 20.5.2016 г., стр. 41).</w:t>
      </w:r>
    </w:p>
  </w:footnote>
  <w:footnote w:id="19">
    <w:p w14:paraId="7FE1D26D" w14:textId="77777777" w:rsidR="00FE5D64" w:rsidRDefault="00E40776">
      <w:pPr>
        <w:pStyle w:val="FootnoteText"/>
      </w:pPr>
      <w:r>
        <w:rPr>
          <w:rStyle w:val="FootnoteReference"/>
        </w:rPr>
        <w:footnoteRef/>
      </w:r>
      <w:r>
        <w:t xml:space="preserve"> Директива (ЕС) 2015/2366 на Европейския парламент и на Съвета от 25 ноември 2015 г. за платежните услуги във вътрешния пазар, за изменение на директиви 2002/65/ЕО, 2009/110/ЕО и 2013/36/ЕС и Регламент (ЕС) № 1093/2010 и за отмяна на Директива 2007/64/ЕО (ОВ L 337, 23.12.2015 г., стр. 35).</w:t>
      </w:r>
    </w:p>
  </w:footnote>
  <w:footnote w:id="20">
    <w:p w14:paraId="7FE1D26E" w14:textId="77777777" w:rsidR="00FE5D64" w:rsidRDefault="00E40776">
      <w:pPr>
        <w:pStyle w:val="FootnoteText"/>
      </w:pPr>
      <w:r>
        <w:rPr>
          <w:rStyle w:val="FootnoteReference"/>
        </w:rPr>
        <w:footnoteRef/>
      </w:r>
      <w:r>
        <w:t xml:space="preserve"> Регламент (ЕС) № 648/2012 на Европейския парламент и на Съвета на 4 юли 2012 г. относно извънборсовите деривати, централните контрагенти и регистрите на транзакции (ОВ L 201, 27.7.2012 г., стр. 1).</w:t>
      </w:r>
    </w:p>
  </w:footnote>
  <w:footnote w:id="21">
    <w:p w14:paraId="4F37B111" w14:textId="77777777" w:rsidR="00FE5D64" w:rsidRDefault="00E40776">
      <w:pPr>
        <w:pStyle w:val="FootnoteText"/>
      </w:pPr>
      <w:r>
        <w:rPr>
          <w:rStyle w:val="FootnoteReference"/>
        </w:rPr>
        <w:footnoteRef/>
      </w:r>
      <w:r>
        <w:t xml:space="preserve"> Съгласно член 1, параграф 2 от Насоки (ЕС) 2021/835 на Европейската централна банка от 26 март 2021 г. за отмяна на Насоки ECB/2014/15 относно паричната и финансовата статистика (ECB/2021/16) позоваванията на отменените насоки се считат за позовавания на Насоки (ЕС) 2021/830 (ECB/2021/11), Насоки (ЕС) 2021/831 (ECB/2021/12), Насоки (ЕС) 2021/833 (ECB/2021/14), Насоки (ЕС) 2021/832 (ECB/2021/13) и Насоки (ЕС) 2021/834 (ECB/2021/15), в зависимост от случая и в съответствие с таблиците на съответствието в при</w:t>
      </w:r>
      <w:r>
        <w:t>ложения II-VI.</w:t>
      </w:r>
    </w:p>
    <w:p w14:paraId="2690BEDB" w14:textId="77777777" w:rsidR="00FE5D64" w:rsidRDefault="00FE5D64">
      <w:pPr>
        <w:pStyle w:val="FootnoteText"/>
      </w:pPr>
    </w:p>
  </w:footnote>
  <w:footnote w:id="22">
    <w:p w14:paraId="7FE1D272" w14:textId="77777777" w:rsidR="00FE5D64" w:rsidRDefault="00E40776">
      <w:pPr>
        <w:pStyle w:val="FootnoteText"/>
      </w:pPr>
      <w:r>
        <w:footnoteRef/>
      </w:r>
      <w:r>
        <w:t xml:space="preserve"> Както е определено в точка 13 от Насоките на ЕБО относно възможността за преструктуриране</w:t>
      </w:r>
    </w:p>
  </w:footnote>
  <w:footnote w:id="23">
    <w:p w14:paraId="7FE1D273" w14:textId="60D312AD" w:rsidR="00FE5D64" w:rsidRDefault="00E40776">
      <w:pPr>
        <w:pStyle w:val="FootnoteText"/>
      </w:pPr>
      <w:r>
        <w:rPr>
          <w:rStyle w:val="FootnoteReference"/>
          <w:rFonts w:ascii="Verdana" w:hAnsi="Verdana"/>
          <w:sz w:val="16"/>
          <w:szCs w:val="16"/>
        </w:rPr>
        <w:footnoteRef/>
      </w:r>
      <w:r>
        <w:t xml:space="preserve"> Делегиран регламент (ЕС) 2016/778 на Комисията, член 6 и съображение (8).</w:t>
      </w:r>
    </w:p>
  </w:footnote>
  <w:footnote w:id="24">
    <w:p w14:paraId="7FE1D274" w14:textId="1C805137" w:rsidR="00FE5D64" w:rsidRDefault="00E40776">
      <w:pPr>
        <w:pStyle w:val="FootnoteText"/>
      </w:pPr>
      <w:r>
        <w:rPr>
          <w:rStyle w:val="FootnoteReference"/>
          <w:rFonts w:ascii="Verdana" w:hAnsi="Verdana"/>
          <w:sz w:val="16"/>
          <w:szCs w:val="16"/>
        </w:rPr>
        <w:footnoteRef/>
      </w:r>
      <w:r>
        <w:t xml:space="preserve"> Делегиран регламент (ЕС) 2016/778 на Комисията, член 7. </w:t>
      </w:r>
    </w:p>
  </w:footnote>
  <w:footnote w:id="25">
    <w:p w14:paraId="7FE1D275" w14:textId="77777777" w:rsidR="00FE5D64" w:rsidRDefault="00E40776">
      <w:pPr>
        <w:pStyle w:val="FootnoteText"/>
      </w:pPr>
      <w:r>
        <w:footnoteRef/>
      </w:r>
      <w:r>
        <w:t xml:space="preserve"> Непрекъснатостта на основните услуги може да е необходима за постигане на цели на преструктурирането, различни от поддържането на критични функции (напр. финансова стабилност чрез гарантиране на жизнеспособността на субекта след преструктурирането). </w:t>
      </w:r>
    </w:p>
    <w:p w14:paraId="7FE1D276" w14:textId="77777777" w:rsidR="00FE5D64" w:rsidRDefault="00FE5D64">
      <w:pPr>
        <w:pStyle w:val="FootnoteText"/>
      </w:pPr>
    </w:p>
  </w:footnote>
  <w:footnote w:id="26">
    <w:p w14:paraId="7FE1D27C" w14:textId="77777777" w:rsidR="00FE5D64" w:rsidRDefault="00E40776">
      <w:pPr>
        <w:pStyle w:val="FootnoteText"/>
        <w:rPr>
          <w:rFonts w:ascii="Segoe UI" w:hAnsi="Segoe UI" w:cs="Segoe UI"/>
        </w:rPr>
      </w:pPr>
      <w:r>
        <w:footnoteRef/>
      </w:r>
      <w:r>
        <w:t xml:space="preserve"> Разпоредбите на дял IV, глава VI от ДВПБ предвиждат устойчивост на преструктурирането, по-специално в контекста на упражняването на правомощия от органа за преструктуриране, с изключение на изпълнението на плановете за оздравяване на дейността.</w:t>
      </w:r>
    </w:p>
  </w:footnote>
  <w:footnote w:id="27">
    <w:p w14:paraId="3F998E2E" w14:textId="7BDE8075" w:rsidR="00FE5D64" w:rsidRDefault="00E40776">
      <w:pPr>
        <w:pStyle w:val="FootnoteText"/>
      </w:pPr>
      <w:r>
        <w:rPr>
          <w:rStyle w:val="FootnoteReference"/>
        </w:rPr>
        <w:footnoteRef/>
      </w:r>
      <w:r>
        <w:t xml:space="preserve"> Регламент (ЕС) 2022/2554 на Европейския парламент и на Съвета от 14 декември 2022 г. относно оперативната устойчивост на цифровите технологии във финансовия сектор и за изменение на регламенти (ЕО) № 1060/2009, (ЕС) № 648/2012, (ЕС) № 600/2014, (ЕС) № 909/2014 и (ЕС) 2016/1011.</w:t>
      </w:r>
    </w:p>
    <w:p w14:paraId="3A2C28B9" w14:textId="00F04738" w:rsidR="00FE5D64" w:rsidRDefault="00FE5D64">
      <w:pPr>
        <w:pStyle w:val="FootnoteText"/>
      </w:pPr>
    </w:p>
  </w:footnote>
  <w:footnote w:id="28">
    <w:p w14:paraId="7FE1D27F" w14:textId="77777777" w:rsidR="00FE5D64" w:rsidRDefault="00E40776">
      <w:pPr>
        <w:pStyle w:val="FootnoteText"/>
        <w:rPr>
          <w:rFonts w:ascii="Segoe UI" w:hAnsi="Segoe UI" w:cs="Segoe UI"/>
        </w:rPr>
      </w:pPr>
      <w:r>
        <w:footnoteRef/>
      </w:r>
      <w:r>
        <w:t xml:space="preserve"> Разпоредбите на дял IV, глава VI от ДВПБ предвиждат устойчивост на преструктурирането, по-специално в контекста на упражняването на правомощия от органа за преструктуриране, с изключение на изпълнението на плановете за оздравяване на дейността.</w:t>
      </w:r>
    </w:p>
  </w:footnote>
  <w:footnote w:id="29">
    <w:p w14:paraId="7FE1D280" w14:textId="77777777" w:rsidR="00FE5D64" w:rsidRDefault="00E40776">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Дългови ценни книжа, капиталови инструменти и други ценни книжа, репо сделки.</w:t>
      </w:r>
    </w:p>
  </w:footnote>
  <w:footnote w:id="30">
    <w:p w14:paraId="7FE1D281" w14:textId="77777777" w:rsidR="00FE5D64" w:rsidRDefault="00E40776">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Многостранни системи или механизми, в които многобройни интереси на трети лица за покупка и продажба на финансови инструменти могат да взаимодействат в системата; За системите, разположени в ЕИП, това определение обхваща регулираните пазари, МСТ и ОСТ.</w:t>
      </w:r>
    </w:p>
  </w:footnote>
  <w:footnote w:id="31">
    <w:p w14:paraId="7FE1D282" w14:textId="77777777" w:rsidR="00FE5D64" w:rsidRDefault="00E40776">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Например Речник на ЕЦБ за плащанията и пазарите: Пряк участник: „участник в [...] система, който може да извършва всички разрешени в системата дейности, без да използва посредник (включително по-специално прякото въвеждане на нареждания в системата и извършването на операции по сетълмент).“; Непряк участник: „участник в [...] система с диференцирана структура, който използва пряк участник като посредник за изпълнение на някои от дейностите, позволени в системата (особено сетълмент)“.</w:t>
      </w:r>
    </w:p>
    <w:p w14:paraId="7FE1D283" w14:textId="77777777" w:rsidR="00FE5D64" w:rsidRDefault="00FE5D64">
      <w:pPr>
        <w:pStyle w:val="FootnoteText"/>
      </w:pPr>
    </w:p>
  </w:footnote>
  <w:footnote w:id="32">
    <w:p w14:paraId="7FE1D284" w14:textId="77777777" w:rsidR="00FE5D64" w:rsidRDefault="00E40776">
      <w:pPr>
        <w:pStyle w:val="FootnoteText"/>
      </w:pPr>
      <w:r>
        <w:rPr>
          <w:rStyle w:val="FootnoteReference"/>
        </w:rPr>
        <w:footnoteRef/>
      </w:r>
      <w:r>
        <w:t xml:space="preserve"> За определението за устойчивост на преструктуриране за целите на настоящия доклад вж. Z.08.01, колона 150.</w:t>
      </w:r>
    </w:p>
  </w:footnote>
  <w:footnote w:id="33">
    <w:p w14:paraId="7FE1D285" w14:textId="50A26E27" w:rsidR="00FE5D64" w:rsidRDefault="00E40776">
      <w:pPr>
        <w:pStyle w:val="FootnoteText"/>
      </w:pPr>
      <w:r>
        <w:rPr>
          <w:rStyle w:val="FootnoteReference"/>
        </w:rPr>
        <w:footnoteRef/>
      </w:r>
      <w:r>
        <w:t xml:space="preserve"> За целите на съответните показатели за докладване „картови схеми „се приравняват на „платежни услуги“; „NA „се приравняват на „централни депозитари на ценни книжа„, ако работят с ценни книжа, и „Платежни системи“, ако извършват услуги, свързани с пари в брой.</w:t>
      </w:r>
    </w:p>
  </w:footnote>
  <w:footnote w:id="34">
    <w:p w14:paraId="7FE1D286" w14:textId="77777777" w:rsidR="00FE5D64" w:rsidRDefault="00E40776">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За целите на настоящия доклад значението на видовете сметки следва да се тълкува в съответствие с член 39 (4) и (5) от Регламента за европейската пазарна инфраструктура. Значението на позицията следва да се тълкува в съответствие с членове 2 (3), 39 (4) и 39 (5) от Регламента за европейската пазарна инфраструктура. Клиентски сметки: докладва се само когато правният субект предоставя непряк достъп до ИФП.</w:t>
      </w:r>
    </w:p>
  </w:footnote>
  <w:footnote w:id="35">
    <w:p w14:paraId="7FE1D287" w14:textId="21F2F8F9" w:rsidR="00FE5D64" w:rsidRDefault="00E40776">
      <w:pPr>
        <w:pStyle w:val="FootnoteText"/>
      </w:pPr>
      <w:r>
        <w:rPr>
          <w:rStyle w:val="FootnoteReference"/>
        </w:rPr>
        <w:footnoteRef/>
      </w:r>
      <w:r>
        <w:t xml:space="preserve"> Например Методологически бележки на ЕЦБ относно статистиката за търговията с ценни книжа, клиринга и сетълмента.</w:t>
      </w:r>
    </w:p>
  </w:footnote>
  <w:footnote w:id="36">
    <w:p w14:paraId="7FE1D289" w14:textId="77777777" w:rsidR="00FE5D64" w:rsidRDefault="00E40776">
      <w:pPr>
        <w:pStyle w:val="FootnoteText"/>
      </w:pPr>
      <w:r>
        <w:rPr>
          <w:rStyle w:val="FootnoteReference"/>
        </w:rPr>
        <w:footnoteRef/>
      </w:r>
      <w:r>
        <w:t xml:space="preserve"> Някои капиталови инструменти, като например кооперативните участия, не попадат в обхвата на определението за ценни книжа, но все пак следва да се отчитат тук.</w:t>
      </w:r>
    </w:p>
  </w:footnote>
  <w:footnote w:id="37">
    <w:p w14:paraId="4A19D249" w14:textId="77777777" w:rsidR="00FE5D64" w:rsidRDefault="00E40776">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е новото търговско наименование на Cassa Compensazione e Garanzia (CC CONS 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FE5D64" w:rsidRDefault="00E40776">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Текстово поле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FE5D64" w:rsidRDefault="00E40776">
                      <w:pPr>
                        <w:pStyle w:val="P68B1DB1-Normal93"/>
                      </w:pPr>
                      <w: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FE5D64" w:rsidRDefault="00E40776">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Текстово поле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FE5D64" w:rsidRDefault="00FE5D6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BG</w:t>
    </w:r>
  </w:p>
  <w:p w14:paraId="7FE1D24D" w14:textId="77777777" w:rsidR="00FE5D64" w:rsidRDefault="00E40776">
    <w:pPr>
      <w:pStyle w:val="P68B1DB1-Header94"/>
      <w:jc w:val="center"/>
    </w:pPr>
    <w:r>
      <w:t>ПРИЛОЖЕНИЕ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FE5D64" w:rsidRDefault="00E40776">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Текстово поле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FE5D64" w:rsidRDefault="00FE5D6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40776"/>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0FE5D64"/>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114</Pages>
  <Words>38842</Words>
  <Characters>221402</Characters>
  <Application>Microsoft Office Word</Application>
  <DocSecurity>0</DocSecurity>
  <Lines>1845</Lines>
  <Paragraphs>519</Paragraphs>
  <ScaleCrop>false</ScaleCrop>
  <Company/>
  <LinksUpToDate>false</LinksUpToDate>
  <CharactersWithSpaces>259725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