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sidRPr="007F4CC8">
        <w:rPr>
          <w:u w:val="none"/>
        </w:rPr>
        <w:t>ANNEX XXXIV– Instructions for the disclosure of remuneration policy templates</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lang w:val="fr-BE"/>
        </w:rPr>
      </w:pPr>
      <w:r>
        <w:rPr>
          <w:rFonts w:ascii="Times New Roman" w:hAnsi="Times New Roman" w:cs="Times New Roman"/>
          <w:b/>
          <w:color w:val="auto"/>
          <w:sz w:val="24"/>
          <w:lang w:val="fr-BE"/>
        </w:rPr>
        <w:t xml:space="preserve">Table EU </w:t>
      </w:r>
      <w:r w:rsidRPr="00DD0C4D">
        <w:rPr>
          <w:rFonts w:ascii="Times New Roman" w:hAnsi="Times New Roman" w:cs="Times New Roman"/>
          <w:b/>
          <w:color w:val="auto"/>
          <w:sz w:val="24"/>
          <w:lang w:val="fr-BE"/>
        </w:rPr>
        <w:t xml:space="preserve">REMA – Remuneration policy: </w:t>
      </w:r>
      <w:r w:rsidRPr="00DD0C4D">
        <w:rPr>
          <w:rFonts w:ascii="Times New Roman" w:hAnsi="Times New Roman" w:cs="Times New Roman"/>
          <w:color w:val="auto"/>
          <w:sz w:val="24"/>
          <w:lang w:val="fr-BE"/>
        </w:rPr>
        <w:t>Flexible format</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to in points (a), (b), (c), (d), (e), (f), (j) and (k) of Article 450(1) and of Article 450(2) CRR</w:t>
      </w:r>
      <w:r w:rsidRPr="007F4CC8">
        <w:rPr>
          <w:rStyle w:val="FootnoteReference"/>
          <w:rFonts w:ascii="Times New Roman" w:eastAsiaTheme="minorEastAsia" w:hAnsi="Times New Roman" w:cs="Times New Roman"/>
          <w:bCs w:val="0"/>
          <w:color w:val="auto"/>
          <w:sz w:val="24"/>
          <w:lang w:val="en-GB"/>
        </w:rPr>
        <w:footnoteReference w:id="1"/>
      </w:r>
      <w:r w:rsidRPr="007F4CC8">
        <w:rPr>
          <w:rFonts w:ascii="Times New Roman" w:eastAsiaTheme="minorEastAsia" w:hAnsi="Times New Roman" w:cs="Times New Roman"/>
          <w:bCs w:val="0"/>
          <w:color w:val="auto"/>
          <w:sz w:val="24"/>
          <w:lang w:val="en-GB"/>
        </w:rPr>
        <w:t xml:space="preserve"> by following the instructions provided below in this Annex to complete </w:t>
      </w:r>
      <w:r>
        <w:rPr>
          <w:rFonts w:ascii="Times New Roman" w:eastAsiaTheme="minorEastAsia" w:hAnsi="Times New Roman" w:cs="Times New Roman"/>
          <w:bCs w:val="0"/>
          <w:color w:val="auto"/>
          <w:sz w:val="24"/>
          <w:lang w:val="en-GB"/>
        </w:rPr>
        <w:t xml:space="preserve">table EU </w:t>
      </w:r>
      <w:r w:rsidRPr="007F4CC8">
        <w:rPr>
          <w:rFonts w:ascii="Times New Roman" w:eastAsiaTheme="minorEastAsia" w:hAnsi="Times New Roman" w:cs="Times New Roman"/>
          <w:bCs w:val="0"/>
          <w:color w:val="auto"/>
          <w:sz w:val="24"/>
          <w:lang w:val="en-GB"/>
        </w:rPr>
        <w:t xml:space="preserve">REMA which is presented in Annex XXXIII </w:t>
      </w:r>
      <w:r w:rsidR="009E1CBE">
        <w:rPr>
          <w:rFonts w:ascii="Times New Roman" w:eastAsiaTheme="minorEastAsia" w:hAnsi="Times New Roman" w:cs="Times New Roman"/>
          <w:bCs w:val="0"/>
          <w:color w:val="auto"/>
          <w:sz w:val="24"/>
          <w:lang w:val="en-GB"/>
        </w:rPr>
        <w:t>of the EBA IT solutions</w:t>
      </w:r>
      <w:r w:rsidRPr="007F4CC8">
        <w:rPr>
          <w:rFonts w:ascii="Times New Roman" w:eastAsiaTheme="minorEastAsia" w:hAnsi="Times New Roman" w:cs="Times New Roman"/>
          <w:bCs w:val="0"/>
          <w:color w:val="auto"/>
          <w:sz w:val="24"/>
          <w:lang w:val="en-GB"/>
        </w:rPr>
        <w:t>.</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This table has a flexible format. In case that institutions apply a different format, they shall provide information comparable with the information required in this table, with a similar level of granularity and including all the substance information required.</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For the purpose of this table and the templates explained in this annex, award means the granting of variable remuneration for a specific accrual period, independently of the actual point in time where the awarded amount is paid.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w:t>
            </w:r>
            <w:r w:rsidRPr="007F4CC8">
              <w:t>a</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bodies that oversee remuneration. Disclosures shall include:</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name, composition and mandate of the main body (management body and remuneration committee where established) overseeing the remuneration policy and the number of meetings held by that main body during the financial year;</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external consultants whose advice has been sought, the body by which they were commissioned, and in which areas of the remuneration framework;</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a description of the scope of the institution’s remuneration policy (eg by regions, business lines), including the extent to which it is applicable to subsidiaries and branches located in third countries;</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sidRPr="007F4CC8">
              <w:rPr>
                <w:rFonts w:ascii="Times New Roman" w:hAnsi="Times New Roman"/>
                <w:sz w:val="24"/>
                <w:szCs w:val="24"/>
              </w:rPr>
              <w:t>a description of the staff or categories of staff whose professional activities have a material impact on institutions' risk profile (identified staff).</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w:t>
            </w:r>
            <w:r w:rsidRPr="007F4CC8">
              <w:t>b</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design and structure of the remuneration system for identified staff. Disclosures shall include:</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the key features and objectives of remuneration policy, and information about the decision-making process used for determining the remuneration policy and the role of the relevant stakeholders (e.g. the shareholders’ meeting);</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for performance measurement and ex ante and ex post risk adjustment;</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lastRenderedPageBreak/>
              <w:t>whether the management body and the remuneration committee, where established, reviewed the institution’s remuneration policy during the past year, and if so, an overview of any changes that were made, the reasons for those changes and their impact on remuneration;</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of how the institution ensures that staff in internal control functions are remunerated independently of the businesses they oversee;</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policies and criteria applied for the award of guaranteed variable remuneration and severance payments.</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w:t>
            </w:r>
            <w:r w:rsidRPr="007F4CC8">
              <w:t>c</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Description of the ways in which current and future risks are taken into account in the remuneration processes</w:t>
            </w:r>
            <w:r w:rsidRPr="007F4CC8">
              <w:rPr>
                <w:rFonts w:ascii="Times New Roman" w:hAnsi="Times New Roman" w:cs="Times New Roman"/>
                <w:sz w:val="24"/>
              </w:rPr>
              <w:t xml:space="preserve"> </w:t>
            </w:r>
          </w:p>
          <w:p w14:paraId="5A14C6D4"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Disclosures shall include an overview of the key risks, their measurement and how these measures affect remuneration.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w:t>
            </w:r>
            <w:r w:rsidRPr="007F4CC8">
              <w:t>d</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ratios between fixed and variable remuneration set in accordance with point (g) of Article 94(1) of Directive (EU) 2013/36(“CRD”)</w:t>
            </w:r>
            <w:r w:rsidRPr="007F4CC8">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w:t>
            </w:r>
            <w:r w:rsidRPr="007F4CC8">
              <w:t>e</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link performance during a performance measurement period with levels of remuneration</w:t>
            </w:r>
          </w:p>
          <w:p w14:paraId="2C4FFE47"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main performance criteria and metrics for institution, business lines and individuals.</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how amounts of individual variable remuneration are linked to institution-wide and individual performance.</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to determine the balance between different types of instruments awarded including shares, equivalent ownership interest, options and other instruments</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sidRPr="007F4CC8">
              <w:rPr>
                <w:rFonts w:ascii="Times New Roman" w:hAnsi="Times New Roman"/>
                <w:sz w:val="24"/>
                <w:szCs w:val="24"/>
              </w:rPr>
              <w:t>information of the measures the institution will implement to adjust variable remuneration in the event that performance metrics are weak, including the institution’s criteria for determining performance metrics when the performance metrics are considered “weak”. In accordance with point (n) of Article 94(1) CRD, to be paid or vested the variable remuneration has to be justified on the basis of the performance of the institution, the business unit and the individual concerned. Institutions shall explain the criteria/thresholds for determining that the performance is weak and that does not justify that the variable remuneration can be paid or vested.</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w:t>
            </w:r>
            <w:r w:rsidRPr="007F4CC8">
              <w:t>f</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adjust remuneration to take account of long-term performance</w:t>
            </w:r>
          </w:p>
          <w:p w14:paraId="6FD7FDE9"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lastRenderedPageBreak/>
              <w:t>an overview of the institution’s policy on deferral, payout in instrument, retention periods and vesting of variable remuneration including where it is different among staff or categories of staff.</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of the institution’ criteria for ex post adjustments (malus during deferral and clawback after vesting, if permitted by national law).</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sidRPr="007F4CC8">
              <w:rPr>
                <w:rFonts w:ascii="Times New Roman" w:hAnsi="Times New Roman"/>
                <w:sz w:val="24"/>
                <w:szCs w:val="24"/>
              </w:rPr>
              <w:t>where applicable, shareholding requirements that may be imposed on identified staff.</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lastRenderedPageBreak/>
              <w:t>(</w:t>
            </w:r>
            <w:r w:rsidRPr="007F4CC8">
              <w:t>g</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description of the main parameters and rationale for any variable components scheme and any other non-cash benefit</w:t>
            </w:r>
            <w:r w:rsidRPr="007F4CC8">
              <w:rPr>
                <w:rFonts w:ascii="Times New Roman" w:hAnsi="Times New Roman" w:cs="Times New Roman"/>
                <w:sz w:val="24"/>
              </w:rPr>
              <w:t>, as referred to</w:t>
            </w:r>
            <w:r w:rsidRPr="007F4CC8">
              <w:rPr>
                <w:rFonts w:ascii="Times New Roman" w:hAnsi="Times New Roman"/>
                <w:sz w:val="24"/>
              </w:rPr>
              <w:t xml:space="preserve"> in point (f) of Article 450(1) CRR. Disclosures shall include:</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specific risk/performance indicators used to determine the variable components of remuneration and the criteria used to determine the balance between different types of instruments awarded, including shares, equivalent ownership interests, share-linked instruments, equivalent non cash-instruments, options and other instruments.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w:t>
            </w:r>
            <w:r w:rsidRPr="007F4CC8">
              <w:t>h</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Upon demand from the relevant Member State or competent authority, the total remuneration for each member of the management body or senior management</w:t>
            </w:r>
            <w:r w:rsidRPr="007F4CC8">
              <w:rPr>
                <w:rFonts w:ascii="Times New Roman" w:hAnsi="Times New Roman" w:cs="Times New Roman"/>
                <w:sz w:val="24"/>
              </w:rPr>
              <w:t>, as referred to in point (j) of Article 450(1)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w:t>
            </w:r>
            <w:r w:rsidRPr="007F4CC8">
              <w:t>i</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on whether the institution benefits from a derogation laid down in Article 94(3) CRD</w:t>
            </w:r>
            <w:r w:rsidRPr="007F4CC8">
              <w:rPr>
                <w:rFonts w:ascii="Times New Roman" w:hAnsi="Times New Roman" w:cs="Times New Roman"/>
                <w:sz w:val="24"/>
              </w:rPr>
              <w:t>, as referred to</w:t>
            </w:r>
            <w:r w:rsidRPr="007F4CC8">
              <w:rPr>
                <w:rFonts w:ascii="Times New Roman" w:hAnsi="Times New Roman"/>
                <w:sz w:val="24"/>
              </w:rPr>
              <w:t xml:space="preserve"> in point (k) of Article 450(1) CRR</w:t>
            </w:r>
          </w:p>
          <w:p w14:paraId="43880B53" w14:textId="77777777" w:rsidR="00965CEB" w:rsidRPr="007F4CC8" w:rsidRDefault="00965CEB" w:rsidP="004F3087">
            <w:pPr>
              <w:spacing w:before="60" w:after="120"/>
              <w:jc w:val="both"/>
              <w:rPr>
                <w:rFonts w:ascii="Times New Roman" w:hAnsi="Times New Roman"/>
                <w:sz w:val="24"/>
              </w:rPr>
            </w:pPr>
            <w:r w:rsidRPr="007F4CC8">
              <w:rPr>
                <w:rFonts w:ascii="Times New Roman" w:eastAsia="Calibri" w:hAnsi="Times New Roman" w:cs="Times New Roman"/>
                <w:sz w:val="24"/>
              </w:rPr>
              <w:t>For the purposes of this point, institutions that benefit from such a derogation shall indicate whether this is on the basis of point (a) and/or point (b) of Article 94(3) CRD. They shall also indicate which of the remuneration requirements they apply the derogation(s), (</w:t>
            </w:r>
            <w:r w:rsidRPr="007F4CC8">
              <w:rPr>
                <w:rFonts w:ascii="Times New Roman" w:hAnsi="Times New Roman"/>
                <w:sz w:val="24"/>
              </w:rPr>
              <w:t>i.e.</w:t>
            </w:r>
            <w:r w:rsidRPr="007F4CC8">
              <w:rPr>
                <w:rFonts w:ascii="Times New Roman" w:eastAsia="Calibri" w:hAnsi="Times New Roman" w:cs="Times New Roman"/>
                <w:sz w:val="24"/>
              </w:rPr>
              <w:t>, point (l) and/or (m) and/or (o) of Article 94(1) CRD), the number of staff members that benefit from the derogation(s) and their total remuneration, split into fixed and variable remuneration.</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w:t>
            </w:r>
            <w:r w:rsidRPr="007F4CC8">
              <w:t>j</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Large institutions shall disclose the quantitative information on the remuneration of their collective management body, differentiating between executive and non-executive members</w:t>
            </w:r>
            <w:r w:rsidRPr="007F4CC8">
              <w:rPr>
                <w:rFonts w:ascii="Times New Roman" w:hAnsi="Times New Roman" w:cs="Times New Roman"/>
                <w:sz w:val="24"/>
              </w:rPr>
              <w:t>, as referred to</w:t>
            </w:r>
            <w:r w:rsidRPr="007F4CC8">
              <w:rPr>
                <w:rFonts w:ascii="Times New Roman" w:hAnsi="Times New Roman"/>
                <w:sz w:val="24"/>
              </w:rPr>
              <w:t xml:space="preserve"> in Article 450(2) CRR.</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REM1 – Remuneration awarded for the financial year: </w:t>
      </w:r>
      <w:r w:rsidRPr="007F4CC8">
        <w:rPr>
          <w:rFonts w:ascii="Times New Roman" w:hAnsi="Times New Roman" w:cs="Times New Roman"/>
          <w:color w:val="auto"/>
          <w:sz w:val="24"/>
          <w:lang w:val="en-GB"/>
        </w:rPr>
        <w:t>Fixed format</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apply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REM1 as presented in Annex XXXIII to this Implementing Regulation, in application of point (h)(i)-(ii) of Article 450(1) CRR.</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and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Number of identified staff</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number of staff whose professional activities have a material impact on the institutions` risk profile in accordance with Article 92 CRD and the Commission Delegated Regulation on identified staff</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implementing Article 94(2) CRD (identified staff) and are beneficiaries of the remuneration components listed in this template. It shall be calculated using the FTE (full time equivalent) approach for identified staff other than members of the management body where numbers shall be disclosed as headcount.</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fixed remuneration</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3 to 7 </w:t>
            </w:r>
            <w:r w:rsidRPr="007F4CC8">
              <w:rPr>
                <w:rFonts w:ascii="Times New Roman" w:eastAsia="Times New Roman" w:hAnsi="Times New Roman" w:cs="Times New Roman"/>
                <w:sz w:val="24"/>
              </w:rPr>
              <w:t>of this template</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amount of cash-based remuneration within the fixed remuneration</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fixed remuneration.</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fixed remuneration</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fixed remuneration</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fixed remuneration awarded for the financial year that are other than disclosed in other rows under the total fixed remuneration heading</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variable remuneration</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Sum of amounts in rows 11, EU-13a, EU-13b, EU-14x and 15 </w:t>
            </w:r>
            <w:r w:rsidRPr="007F4CC8">
              <w:rPr>
                <w:rFonts w:ascii="Times New Roman" w:eastAsia="Times New Roman" w:hAnsi="Times New Roman" w:cs="Times New Roman"/>
                <w:sz w:val="24"/>
              </w:rPr>
              <w:t>of this template</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that are not fixed remuneration that is disclosed in row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including guaranteed variable and severance payments awarded during that year.</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cs="Times New Roman"/>
                <w:sz w:val="24"/>
              </w:rPr>
              <w:t>The amount of cash-based remuneration within the variable remuneration</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lang w:val="es-ES"/>
              </w:rPr>
            </w:pPr>
            <w:r w:rsidRPr="00346640">
              <w:rPr>
                <w:rFonts w:ascii="Times New Roman" w:hAnsi="Times New Roman" w:cs="Times New Roman"/>
                <w:sz w:val="24"/>
                <w:lang w:val="es-ES"/>
              </w:rPr>
              <w:t>12, EU-14a, EU-14b, EU-14y and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deferred</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by different types of component that are deferred, determined in accordance with Article 94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awarded for the financial year that are other than those disclosed in other rows under the variable remuneration heading</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remuneration</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2 and 10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MB Supervisory function</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Management Body in its Supervisory function, as the management body acting in its role of overseeing and monitoring management decision-making, as defined in point (8) of Article 3(1) CRD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information based on headcount.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 xml:space="preserve">MB Management function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lastRenderedPageBreak/>
              <w:t>The members of the Management Body, who are responsible for its Management functions</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 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senior management</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Institutions shall disclose information based on FTE.</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identified staff</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Other staff than Management Body in its Supervisory function or in its Management function, and other than senior management, whose professional activities have a material impact on the institution`s risk profile in accordance with the criteria set out in the Commission Delegated Regulation on identified staff implementing Article 94(2) CRD</w:t>
            </w:r>
            <w:r w:rsidRPr="007F4CC8" w:rsidDel="009E79EB">
              <w:rPr>
                <w:rFonts w:ascii="Times New Roman" w:hAnsi="Times New Roman" w:cs="Times New Roman"/>
                <w:sz w:val="24"/>
              </w:rPr>
              <w:t xml:space="preserve"> </w:t>
            </w:r>
            <w:r w:rsidRPr="007F4CC8">
              <w:rPr>
                <w:rFonts w:ascii="Times New Roman" w:hAnsi="Times New Roman" w:cs="Times New Roman"/>
                <w:sz w:val="24"/>
              </w:rPr>
              <w:t xml:space="preserve">and where appropriate in addition based on institutions´ criteria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may include in this template the breakdown by business areas proposed in template EU REM5. Institutions shall disclose information based on FTE.</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REM2 – Special payments to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in point (h)(v)-(vii)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REM2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rsidRPr="007F4CC8">
              <w:t>1, 4 and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Number of identified staff</w:t>
            </w:r>
          </w:p>
          <w:p w14:paraId="50587A1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number of identified staff whose professional activities have a material impact on the institutions` risk profile in accordance with Article 92 CRD and the Commission Delegated Regulation on identified staff implementing Article 94(2) CRD, for each specific remuneration components</w:t>
            </w:r>
          </w:p>
          <w:p w14:paraId="6D4FEBDD"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For columns a and b (MB)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based on headcount. For columns c and d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calculated using the FTE (full time equivalent) method.</w:t>
            </w:r>
          </w:p>
          <w:p w14:paraId="2E1869A2"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Row 4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 xml:space="preserve">refers to severance payments awarded in previous periods and paid out during the financial year (present year) while row 6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refers to awarded during the financial year (present year).</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rsidRPr="007F4CC8">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Guaranteed variable remuneration awards – Total amount</w:t>
            </w:r>
          </w:p>
          <w:p w14:paraId="6D0F7C1C"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guaranteed variable remuneration awards, as referred to in point (e) of Article 94(1)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rsidRPr="007F4CC8">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guaranteed variable remuneration awards paid during the financial year, that are not taken into account in the bonus cap</w:t>
            </w:r>
          </w:p>
          <w:p w14:paraId="35D0912A"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guaranteed variable remuneration awards as referred to in point (e)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(present year), which are not taken into account in the bonus cap</w:t>
            </w:r>
          </w:p>
          <w:p w14:paraId="1D5DC4D6"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rsidRPr="007F4CC8">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in previous periods, that have been paid out during the financial year – Total amount</w:t>
            </w:r>
          </w:p>
          <w:p w14:paraId="6BDFFBCB"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that have been awarded in previous periods and have been paid out during the financial year (present year)</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during the financial year – Total amount</w:t>
            </w:r>
          </w:p>
          <w:p w14:paraId="370D85D3"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awarded during the financial year (present year)</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rsidRPr="007F4CC8">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Paid during the financial year</w:t>
            </w:r>
          </w:p>
          <w:p w14:paraId="75DA4E07"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severance payments as referred to in point (h) of Article 94(1) CRD, awarded during the financial year that has been paid during the financial year</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rsidRPr="007F4CC8">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Deferred</w:t>
            </w:r>
          </w:p>
          <w:p w14:paraId="2B8A3E35"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amounts of severance payments as referred to in point (h) of Article 94(1) CRD, awarded during the financial year, which are deferred, determined in accordance with Article 94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rsidRPr="007F4CC8">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paid during the financial year, that are not taken into account in the bonus cap</w:t>
            </w:r>
          </w:p>
          <w:p w14:paraId="3020E32C"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The amounts of severance payments as referred to in point (h)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which are not taken into account in the bonus cap</w:t>
            </w:r>
          </w:p>
          <w:p w14:paraId="78B7D63D"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rsidRPr="007F4CC8">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Highest payment that has been awarded to a single person</w:t>
            </w:r>
          </w:p>
          <w:p w14:paraId="69C2783A"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the highest severance payment, as referred to in point (h) of Article 94(1) CRD, that has been awarded to a single person during the financial year.</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3734590D"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 (Headcount)</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Management function</w:t>
            </w:r>
          </w:p>
          <w:p w14:paraId="1A03D44D"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members of the Management Body, who are responsible for its Management functions (Headcount)</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Other senior management</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(FTE).</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Other identified staff</w:t>
            </w:r>
          </w:p>
          <w:p w14:paraId="01528962"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w:t>
            </w:r>
          </w:p>
          <w:p w14:paraId="566D1319" w14:textId="77777777"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Institutions may include in this template the breakdown by business areas proposed in template EU REM5 (FTE).</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REM3 –Deferred remuneration: </w:t>
      </w:r>
      <w:r w:rsidRPr="007F4CC8">
        <w:rPr>
          <w:rFonts w:ascii="Times New Roman" w:hAnsi="Times New Roman" w:cs="Times New Roman"/>
          <w:color w:val="auto"/>
          <w:sz w:val="24"/>
          <w:lang w:val="en-GB"/>
        </w:rPr>
        <w:t>Fixed format</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point (h)(iii)-(iv) of Article 450(1) CRR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REM3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rsidRPr="007F4CC8">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42F62B75"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w:t>
            </w:r>
          </w:p>
          <w:p w14:paraId="78EE1100"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Sum of amounts in rows 2, 3, 4, 5, and 6 </w:t>
            </w:r>
            <w:r w:rsidRPr="007F4CC8">
              <w:rPr>
                <w:rFonts w:ascii="Times New Roman" w:eastAsia="Times New Roman" w:hAnsi="Times New Roman" w:cs="Times New Roman"/>
                <w:sz w:val="24"/>
              </w:rPr>
              <w:t>of this template</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rsidRPr="007F4CC8">
              <w:t>2, 8, 14 and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Cash-based</w:t>
            </w:r>
          </w:p>
          <w:p w14:paraId="0BC40D8E"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cash-based remuneration within the variable remuneration</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rsidRPr="007F4CC8">
              <w:t>3, 9, 15 and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sidRPr="009D2F9B">
              <w:rPr>
                <w:rFonts w:ascii="Times New Roman" w:hAnsi="Times New Roman"/>
                <w:b/>
                <w:sz w:val="24"/>
              </w:rPr>
              <w:t xml:space="preserve">Shares or equivalent ownership interests </w:t>
            </w:r>
          </w:p>
          <w:p w14:paraId="4B63188A" w14:textId="77777777" w:rsidR="00965CEB" w:rsidRPr="007F4CC8" w:rsidRDefault="00965CEB" w:rsidP="004F3087">
            <w:pPr>
              <w:spacing w:before="60" w:after="120"/>
              <w:jc w:val="both"/>
              <w:rPr>
                <w:rFonts w:ascii="Times New Roman" w:hAnsi="Times New Roman"/>
                <w:b/>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rsidRPr="007F4CC8">
              <w:t>4, 10, 16 and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 xml:space="preserve">Share-linked instruments or equivalent non-cash instruments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rsidRPr="007F4CC8">
              <w:t>5, 11, 17 and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instruments</w:t>
            </w:r>
          </w:p>
          <w:p w14:paraId="4C0BEEE9"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rsidRPr="007F4CC8">
              <w:t>6, 12, 18 and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Other forms</w:t>
            </w:r>
          </w:p>
          <w:p w14:paraId="05DE9AE7"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variable remuneration other than disclosed in rows </w:t>
            </w:r>
            <w:r w:rsidRPr="007F4CC8">
              <w:rPr>
                <w:rFonts w:ascii="Times New Roman" w:hAnsi="Times New Roman"/>
                <w:sz w:val="24"/>
              </w:rPr>
              <w:t>“Cash-based”,</w:t>
            </w:r>
            <w:r w:rsidRPr="007F4CC8">
              <w:rPr>
                <w:rFonts w:ascii="Times New Roman" w:hAnsi="Times New Roman" w:cs="Times New Roman"/>
                <w:sz w:val="24"/>
              </w:rPr>
              <w:t xml:space="preserve"> </w:t>
            </w:r>
            <w:r w:rsidRPr="007F4CC8">
              <w:rPr>
                <w:rFonts w:ascii="Times New Roman" w:hAnsi="Times New Roman"/>
                <w:sz w:val="24"/>
              </w:rPr>
              <w:t>“Shares or equivalent ownership interests, subject to the legal structure of the institution concerned or share-linked instruments or equivalent non-cash instruments”</w:t>
            </w:r>
            <w:r w:rsidRPr="007F4CC8">
              <w:rPr>
                <w:rFonts w:ascii="Times New Roman" w:hAnsi="Times New Roman" w:cs="Times New Roman"/>
                <w:sz w:val="24"/>
              </w:rPr>
              <w:t xml:space="preserve"> and </w:t>
            </w:r>
            <w:r w:rsidRPr="007F4CC8">
              <w:rPr>
                <w:rFonts w:ascii="Times New Roman" w:hAnsi="Times New Roman"/>
                <w:sz w:val="24"/>
              </w:rPr>
              <w:t>“Other instruments</w:t>
            </w:r>
            <w:r w:rsidRPr="007F4CC8">
              <w:rPr>
                <w:rFonts w:ascii="Times New Roman" w:hAnsi="Times New Roman" w:cs="Times New Roman"/>
                <w:sz w:val="24"/>
              </w:rPr>
              <w:t>”</w:t>
            </w:r>
          </w:p>
          <w:p w14:paraId="47E931D3"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 xml:space="preserve">MB Management function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members of the Management Body, who are responsible for its Management functions; sum of amounts in rows 8, 9, 10, 11 and 12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rsidRPr="007F4CC8">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Other senior management</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Senior management as defined in point (9) of Article 3(1) CRD; sum of amounts in rows 14, 15, 16, 17 and 18 </w:t>
            </w:r>
            <w:r w:rsidRPr="007F4CC8">
              <w:rPr>
                <w:rFonts w:ascii="Times New Roman" w:eastAsia="Times New Roman" w:hAnsi="Times New Roman" w:cs="Times New Roman"/>
                <w:sz w:val="24"/>
              </w:rPr>
              <w:t>of this template</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rsidRPr="007F4CC8">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identified staff</w:t>
            </w:r>
          </w:p>
          <w:p w14:paraId="1561B753" w14:textId="77777777"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 sum of amounts in rows 20, 21, 22, 23 and 24 </w:t>
            </w:r>
            <w:r w:rsidRPr="007F4CC8">
              <w:rPr>
                <w:rFonts w:ascii="Times New Roman" w:eastAsia="Times New Roman" w:hAnsi="Times New Roman" w:cs="Times New Roman"/>
                <w:sz w:val="24"/>
              </w:rPr>
              <w:t>of this template</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rsidRPr="007F4CC8">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Total amount</w:t>
            </w:r>
          </w:p>
          <w:p w14:paraId="70B531DE" w14:textId="77777777"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Sum of amounts in rows 1, 7, 13 and 19 </w:t>
            </w:r>
            <w:r w:rsidRPr="007F4CC8">
              <w:rPr>
                <w:rFonts w:ascii="Times New Roman" w:eastAsia="Times New Roman" w:hAnsi="Times New Roman" w:cs="Times New Roman"/>
                <w:sz w:val="24"/>
              </w:rPr>
              <w:t>of this template</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sidRPr="00E94B0F">
              <w:rPr>
                <w:rFonts w:ascii="Times New Roman" w:hAnsi="Times New Roman"/>
                <w:b/>
                <w:color w:val="000000"/>
                <w:sz w:val="24"/>
              </w:rPr>
              <w:t xml:space="preserve">Total </w:t>
            </w:r>
            <w:r w:rsidRPr="00E94B0F">
              <w:rPr>
                <w:rFonts w:ascii="Times New Roman" w:hAnsi="Times New Roman"/>
                <w:b/>
                <w:sz w:val="24"/>
              </w:rPr>
              <w:t>amount of deferred remuneration awarded for previous performance periods</w:t>
            </w:r>
          </w:p>
          <w:p w14:paraId="7D355FC1"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amount of deferred remuneration, as determined in accordance with Article 94 CRD, that has been awarded for previous performance periods (sum of amounts in columns b and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due to vest in the financial year</w:t>
            </w:r>
          </w:p>
          <w:p w14:paraId="1877D636" w14:textId="77777777"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is due to vest in the financial year</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vesting in subsequent financial years</w:t>
            </w:r>
          </w:p>
          <w:p w14:paraId="41D97AF8" w14:textId="77777777"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will be vested in the subsequent financial years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w:t>
            </w:r>
            <w:r w:rsidRPr="00E94B0F">
              <w:rPr>
                <w:rFonts w:ascii="Times New Roman" w:hAnsi="Times New Roman" w:cs="Times New Roman"/>
                <w:b/>
                <w:sz w:val="24"/>
              </w:rPr>
              <w:t xml:space="preserve"> </w:t>
            </w:r>
            <w:r w:rsidRPr="00E94B0F">
              <w:rPr>
                <w:rFonts w:ascii="Times New Roman" w:hAnsi="Times New Roman"/>
                <w:b/>
                <w:sz w:val="24"/>
              </w:rPr>
              <w:t>made in the financial year to deferred remuneration that was due to vest in the financial year</w:t>
            </w:r>
          </w:p>
          <w:p w14:paraId="1571AC97"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the financial years</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rsidRPr="007F4CC8">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 made in the financial year to deferred remuneration that was due to vest in future financial years</w:t>
            </w:r>
          </w:p>
          <w:p w14:paraId="2D3814DB"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future performance years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w:t>
            </w:r>
            <w:r w:rsidRPr="00E94B0F">
              <w:rPr>
                <w:b/>
              </w:rPr>
              <w:t xml:space="preserve"> </w:t>
            </w:r>
            <w:r w:rsidRPr="00E94B0F">
              <w:rPr>
                <w:rFonts w:ascii="Times New Roman" w:hAnsi="Times New Roman"/>
                <w:b/>
                <w:sz w:val="24"/>
              </w:rPr>
              <w:t>adjustment during the financial year due to ex post implicit adjustments during the financial year (i.e. changes of value of deferred remuneration due to the changes of prices of instruments)</w:t>
            </w:r>
          </w:p>
          <w:p w14:paraId="6472C5F0"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When relevant the amount of change of value during the financial year due to ex post implicit adjustments, like changes of value of deferred remuneration due to the changes of prices of instruments, estimated on a best effort basis.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rsidRPr="007F4CC8">
              <w:lastRenderedPageBreak/>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 deferred remuneration awarded before the financial year actually paid out in the financial year</w:t>
            </w:r>
          </w:p>
          <w:p w14:paraId="711625D8"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as determined in accordance with Article 94 CRD, that has been paid out in the financial year</w:t>
            </w:r>
          </w:p>
          <w:p w14:paraId="79B6CE2B"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As soon as the deferred remuneration is vested it shall be considered as paid out.</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rsidRPr="007F4CC8">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sidRPr="007479E6">
              <w:rPr>
                <w:rFonts w:ascii="Times New Roman" w:hAnsi="Times New Roman"/>
                <w:b/>
                <w:sz w:val="24"/>
              </w:rPr>
              <w:t>Total of amount of deferred remuneration awarded for previous performance period that has vested but is subject to retention periods</w:t>
            </w:r>
          </w:p>
          <w:p w14:paraId="64A6D4B4" w14:textId="77777777"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awarded for previous performance periods, that has been vested but is subject to retention periods, as determined in accordance with Article 94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REM4 – Remuneration of 1 million EUR or more per year: </w:t>
      </w:r>
      <w:r w:rsidRPr="007F4CC8">
        <w:rPr>
          <w:rFonts w:ascii="Times New Roman" w:hAnsi="Times New Roman" w:cs="Times New Roman"/>
          <w:color w:val="auto"/>
          <w:sz w:val="24"/>
          <w:lang w:val="en-GB"/>
        </w:rPr>
        <w:t>Fixed format</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(i)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REM4 which is presented in Annex XXXIII to this Implementing Regulation.</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Data shall be submitted using accounting year-end figures in EUR. All amounts shall be disclosed as full amounts, i.e. not rounded amounts, in euro (e.g. EUR 1 234 567 instead of EUR 1.2 million). Where remuneration is in a currency other than EUR, the exchange rate used by the Commission for financial programming and the budget for December of the reporting year shall be used for the conversion of the consolidated figures to be disclosed.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to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between 1 and 5 million EUR per financial year, broken down by 500.000 EUR bands</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9 to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more than 5 million EUR per financial year, broken down by 1 million EUR bands</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sz w:val="24"/>
              </w:rPr>
              <w:t>Number of identified staff that have been remunerated EUR 1 million or more per financial year</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w:t>
            </w:r>
            <w:r w:rsidRPr="007F4CC8">
              <w:rPr>
                <w:rFonts w:ascii="Times New Roman" w:hAnsi="Times New Roman"/>
                <w:sz w:val="24"/>
              </w:rPr>
              <w:t xml:space="preserve"> shall </w:t>
            </w:r>
            <w:r w:rsidRPr="007F4CC8">
              <w:rPr>
                <w:rFonts w:ascii="Times New Roman" w:hAnsi="Times New Roman" w:cs="Times New Roman"/>
                <w:sz w:val="24"/>
              </w:rPr>
              <w:t>disclose information</w:t>
            </w:r>
            <w:r w:rsidRPr="007F4CC8">
              <w:rPr>
                <w:rFonts w:ascii="Times New Roman" w:hAnsi="Times New Roman"/>
                <w:sz w:val="24"/>
              </w:rPr>
              <w:t xml:space="preserve"> based on headcount.</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REM5 – Information of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(g)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REM5 which is presented in Annex XXXIII to this Implementing Regulation.</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Regarding the columns with the business areas breakdown, all lending, including wholesale lending, shall be included in retail lending. For investment banking, it shall </w:t>
      </w:r>
      <w:r w:rsidRPr="007F4CC8">
        <w:rPr>
          <w:rFonts w:ascii="Times New Roman" w:eastAsiaTheme="minorEastAsia" w:hAnsi="Times New Roman" w:cs="Times New Roman"/>
          <w:bCs w:val="0"/>
          <w:color w:val="auto"/>
          <w:sz w:val="24"/>
          <w:lang w:val="en-GB"/>
        </w:rPr>
        <w:lastRenderedPageBreak/>
        <w:t>include corporate finance and trading and sales. Further guidance on the activities comprised in those business lines can be found in Article 317 CRR within the table defining the business lines within the standardised approach for operational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sidRPr="007479E6">
              <w:rPr>
                <w:rFonts w:ascii="Times New Roman" w:hAnsi="Times New Roman"/>
                <w:b/>
                <w:sz w:val="24"/>
              </w:rPr>
              <w:t>Total number of identified staff</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Staff members, whose professional activities have a material impact on institutions’ risk profile (identified staff) of an institution and its subsidiaries, including subsidiaries not subject to the CRD and all members of their respective management bodies</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 shall be disclosed based on FTE.</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members of the MB</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number of members in the respective Management body in its Supervisory function and in its Management function, and in the whole Management body</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senior management</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Other staff than the members of the Management Body, who are senior management as defined in point (9) of Article 3(1)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identified staff</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sidRPr="007F4CC8">
              <w:rPr>
                <w:rFonts w:ascii="Times New Roman" w:hAnsi="Times New Roman" w:cs="Times New Roman"/>
                <w:sz w:val="24"/>
              </w:rPr>
              <w:t>Other staff than members of the Management Body, and other than senior management, whose professional activities have a material impact on the institution`s risk profile in accordance with the criteria set out in the Commission Delegated Regulation on identified staff implementing Article 94(2) CRD and where appropriate in addition based on institutions´ criteria</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Total remuneration of identified staff</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total amount of remuneration shall mean all forms of fixed and variable remuneration and shall include payments and benefits, monetary or non-monetary, awarded directly to staff by or on behalf of institutions in exchange for professional services rendered by staff, carried interest payments within the meaning of point (d) of Article 4(1) </w:t>
            </w:r>
            <w:r>
              <w:rPr>
                <w:rFonts w:ascii="Times New Roman" w:hAnsi="Times New Roman" w:cs="Times New Roman"/>
                <w:sz w:val="24"/>
              </w:rPr>
              <w:t>of Directive 2011/61/EU</w:t>
            </w:r>
            <w:r>
              <w:rPr>
                <w:rStyle w:val="FootnoteReference"/>
                <w:rFonts w:cs="Times New Roman"/>
              </w:rPr>
              <w:footnoteReference w:id="4"/>
            </w:r>
            <w:r w:rsidRPr="007F4CC8">
              <w:rPr>
                <w:rFonts w:ascii="Times New Roman" w:hAnsi="Times New Roman" w:cs="Times New Roman"/>
                <w:sz w:val="24"/>
              </w:rPr>
              <w:t>, and other payments made via methods and vehicles which, if they were not considered as remuneration, would lead to a circumvention of the remuneration requirements of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variable remuneration</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which are not fixed remuneration that are referred to in row 7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fixed remuneration</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Institutions shall consider remuneration fixed where the conditions for its award and its amount: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based on a predetermined criteria;</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non-discretionary reflecting the level of professional experience and seniority of staff;</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transparent with respect to the individual amount awarded to the individual staff member;</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permanent, i.e. maintained over a period tied to the specific role and organisational responsibilities;</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non-revocable; the permanent amount i</w:t>
            </w:r>
            <w:r>
              <w:rPr>
                <w:rFonts w:ascii="Times New Roman" w:hAnsi="Times New Roman"/>
                <w:sz w:val="24"/>
                <w:szCs w:val="24"/>
              </w:rPr>
              <w:t>s</w:t>
            </w:r>
            <w:r w:rsidRPr="007F4CC8">
              <w:rPr>
                <w:rFonts w:ascii="Times New Roman" w:hAnsi="Times New Roman"/>
                <w:sz w:val="24"/>
                <w:szCs w:val="24"/>
              </w:rPr>
              <w:t xml:space="preserve"> only changed via collective bargaining or following renegotiation in line with national criteria on wage setting;</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cannot be reduced, suspended or cancelled by the institution;</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provide incentives for risk assumption; and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depend on performance.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a, b and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Management body (MB)</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Management body of the institution, with the breakdown of Supervisory function and Management function</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d to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Business areas</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major business areas of the institution, as Investment banking, Retail banking, Asset management, Corporate functions, Independent internal control functions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All other</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All other business areas that were not covered in the previous columns separately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rPr>
            <w:noProof/>
          </w:rPr>
          <w:t>13</w:t>
        </w:r>
        <w:r>
          <w:rPr>
            <w:noProof/>
          </w:rP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040252">
        <w:rPr>
          <w:lang w:eastAsia="en-GB"/>
        </w:rPr>
        <w:t>Regulation (EU) No 575/2013 of the European Parliament and of the Council of 26 June 2013 on prudential requirements for credit institutions and amending Regulation (EU) No 648/2012, as amended by Regulation (EU) No 2024/1623</w:t>
      </w:r>
      <w:r w:rsidR="00040252">
        <w:rPr>
          <w:lang w:eastAsia="en-GB"/>
        </w:rPr>
        <w:t xml:space="preserve"> </w:t>
      </w:r>
      <w:r w:rsidR="009E1CBE">
        <w:rPr>
          <w:color w:val="444444"/>
          <w:lang w:eastAsia="en-GB"/>
        </w:rPr>
        <w:t>(</w:t>
      </w:r>
      <w:hyperlink r:id="rId1" w:history="1">
        <w:r w:rsidR="009E1CBE">
          <w:rPr>
            <w:rStyle w:val="Hyperlink"/>
            <w:color w:val="800080"/>
            <w:lang w:eastAsia="en-GB"/>
          </w:rPr>
          <w:t>OJ L 176, 27.6.2013, p. 1</w:t>
        </w:r>
      </w:hyperlink>
      <w:r w:rsidR="009E1CBE">
        <w:rPr>
          <w:color w:val="800080"/>
          <w:u w:val="single"/>
          <w:lang w:eastAsia="en-GB"/>
        </w:rPr>
        <w:t xml:space="preserve">; </w:t>
      </w:r>
      <w:hyperlink r:id="rId2" w:history="1">
        <w:r w:rsidR="009E1CBE">
          <w:rPr>
            <w:rStyle w:val="Hyperlink"/>
          </w:rPr>
          <w:t>Regulation - EU - 2024/1623 - EN - EUR-Lex (europa.eu)</w:t>
        </w:r>
      </w:hyperlink>
      <w:r w:rsidR="009E1CBE">
        <w:rPr>
          <w:color w:val="444444"/>
          <w:lang w:eastAsia="en-GB"/>
        </w:rPr>
        <w:t>)</w:t>
      </w:r>
      <w:r w:rsidR="009E1CBE">
        <w:rPr>
          <w:lang w:eastAsia="en-GB"/>
        </w:rPr>
        <w:t>.</w:t>
      </w:r>
    </w:p>
  </w:footnote>
  <w:footnote w:id="2">
    <w:p w14:paraId="42E416B2" w14:textId="29EBE71D"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2013/36/EU OF THE EUROPEAN PARLIAMENT AND OF THE COUNCIL of 26 June 2013 on access to the activity of credit institutions and the prudential supervision of credit institutions, amending Directive 2002/87/EC and repealing Directives 2006/48/EC and 2006/49/EC (OJ L 176, 27.6.2013, p. 338).</w:t>
      </w:r>
    </w:p>
  </w:footnote>
  <w:footnote w:id="3">
    <w:p w14:paraId="43477CEF" w14:textId="77777777" w:rsidR="00965CEB" w:rsidRPr="00346640" w:rsidRDefault="00965CEB" w:rsidP="00965CEB">
      <w:pPr>
        <w:pStyle w:val="FootnoteText"/>
        <w:rPr>
          <w:rFonts w:cstheme="minorHAnsi"/>
        </w:rPr>
      </w:pPr>
      <w:r w:rsidRPr="00222AAB">
        <w:rPr>
          <w:rStyle w:val="FootnoteReference"/>
          <w:rFonts w:cstheme="minorHAnsi"/>
        </w:rPr>
        <w:footnoteRef/>
      </w:r>
      <w:r w:rsidRPr="00222AAB">
        <w:rPr>
          <w:rFonts w:cstheme="minorHAnsi"/>
        </w:rPr>
        <w:t xml:space="preserve"> </w:t>
      </w:r>
      <w:r>
        <w:rPr>
          <w:rFonts w:cstheme="minorHAnsi"/>
        </w:rPr>
        <w:tab/>
      </w:r>
      <w:r w:rsidRPr="00346640">
        <w:rPr>
          <w:rFonts w:cstheme="minorHAnsi"/>
          <w:bCs/>
        </w:rPr>
        <w:t>COMMISSION DELEGATED REGULATION (EU) No 604/2014 of 4 March 2014 supplementing Directive 2013/36/EU of the European Parliament and of the Council with regard to regulatory technical standards with respect to qualitative and appropriate quantitative criteria to identify categories of staff whose professional activities have a material impact on an institution's risk profile (OJ L 167, 6.6.2014, p. 30).</w:t>
      </w:r>
    </w:p>
  </w:footnote>
  <w:footnote w:id="4">
    <w:p w14:paraId="2890C799" w14:textId="77777777" w:rsidR="00965CEB" w:rsidRDefault="00965CEB" w:rsidP="00965CEB">
      <w:pPr>
        <w:pStyle w:val="FootnoteText"/>
      </w:pPr>
      <w:r>
        <w:rPr>
          <w:rStyle w:val="FootnoteReference"/>
        </w:rPr>
        <w:footnoteRef/>
      </w:r>
      <w:r>
        <w:t xml:space="preserve"> </w:t>
      </w:r>
      <w:r w:rsidRPr="00972012">
        <w:t>Directive 2011/61/EU of the European Parliament and of the Council of 8 June 2011 on Alternative Investment Fund Managers and amending Directives 2003/41/EC and 2009/65/EC and Regulations (EC) No 1060/2009 and (EU) No 1095/2010 (OJ L 174,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sidRPr="009E1CBE">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965CEB"/>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78D69-5E79-4BFA-87EA-7F392B68826E}"/>
</file>

<file path=customXml/itemProps2.xml><?xml version="1.0" encoding="utf-8"?>
<ds:datastoreItem xmlns:ds="http://schemas.openxmlformats.org/officeDocument/2006/customXml" ds:itemID="{815AB92B-49D0-4BA6-B8C1-1A18C5911D82}"/>
</file>

<file path=customXml/itemProps3.xml><?xml version="1.0" encoding="utf-8"?>
<ds:datastoreItem xmlns:ds="http://schemas.openxmlformats.org/officeDocument/2006/customXml" ds:itemID="{57737E2A-BE0E-48DA-BB2E-9D4DE3F77B9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European Banking Authority</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